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B14028">
      <w:pPr>
        <w:widowControl/>
        <w:ind w:firstLine="640"/>
        <w:jc w:val="center"/>
        <w:outlineLvl w:val="0"/>
        <w:rPr>
          <w:rFonts w:hint="eastAsia" w:ascii="黑体" w:hAnsi="黑体" w:eastAsia="黑体"/>
          <w:snapToGrid w:val="0"/>
          <w:color w:val="auto"/>
          <w:kern w:val="0"/>
          <w:sz w:val="32"/>
          <w:szCs w:val="32"/>
          <w:highlight w:val="none"/>
        </w:rPr>
      </w:pPr>
      <w:r>
        <w:drawing>
          <wp:inline distT="0" distB="0" distL="114300" distR="114300">
            <wp:extent cx="5610860" cy="7781925"/>
            <wp:effectExtent l="0" t="0" r="889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610860" cy="7781925"/>
                    </a:xfrm>
                    <a:prstGeom prst="rect">
                      <a:avLst/>
                    </a:prstGeom>
                    <a:noFill/>
                    <a:ln>
                      <a:noFill/>
                    </a:ln>
                  </pic:spPr>
                </pic:pic>
              </a:graphicData>
            </a:graphic>
          </wp:inline>
        </w:drawing>
      </w:r>
      <w:r>
        <w:drawing>
          <wp:inline distT="0" distB="0" distL="114300" distR="114300">
            <wp:extent cx="5610860" cy="7622540"/>
            <wp:effectExtent l="0" t="0" r="8890" b="698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
                    <a:stretch>
                      <a:fillRect/>
                    </a:stretch>
                  </pic:blipFill>
                  <pic:spPr>
                    <a:xfrm>
                      <a:off x="0" y="0"/>
                      <a:ext cx="5610860" cy="7622540"/>
                    </a:xfrm>
                    <a:prstGeom prst="rect">
                      <a:avLst/>
                    </a:prstGeom>
                    <a:noFill/>
                    <a:ln>
                      <a:noFill/>
                    </a:ln>
                  </pic:spPr>
                </pic:pic>
              </a:graphicData>
            </a:graphic>
          </wp:inline>
        </w:drawing>
      </w:r>
      <w:r>
        <w:drawing>
          <wp:inline distT="0" distB="0" distL="114300" distR="114300">
            <wp:extent cx="5611495" cy="8420100"/>
            <wp:effectExtent l="0" t="0" r="8255"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0"/>
                    <a:stretch>
                      <a:fillRect/>
                    </a:stretch>
                  </pic:blipFill>
                  <pic:spPr>
                    <a:xfrm>
                      <a:off x="0" y="0"/>
                      <a:ext cx="5611495" cy="8420100"/>
                    </a:xfrm>
                    <a:prstGeom prst="rect">
                      <a:avLst/>
                    </a:prstGeom>
                    <a:noFill/>
                    <a:ln>
                      <a:noFill/>
                    </a:ln>
                  </pic:spPr>
                </pic:pic>
              </a:graphicData>
            </a:graphic>
          </wp:inline>
        </w:drawing>
      </w:r>
      <w:r>
        <w:drawing>
          <wp:inline distT="0" distB="0" distL="114300" distR="114300">
            <wp:extent cx="5612130" cy="4010025"/>
            <wp:effectExtent l="0" t="0" r="7620" b="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1"/>
                    <a:stretch>
                      <a:fillRect/>
                    </a:stretch>
                  </pic:blipFill>
                  <pic:spPr>
                    <a:xfrm>
                      <a:off x="0" y="0"/>
                      <a:ext cx="5612130" cy="4010025"/>
                    </a:xfrm>
                    <a:prstGeom prst="rect">
                      <a:avLst/>
                    </a:prstGeom>
                    <a:noFill/>
                    <a:ln>
                      <a:noFill/>
                    </a:ln>
                  </pic:spPr>
                </pic:pic>
              </a:graphicData>
            </a:graphic>
          </wp:inline>
        </w:drawing>
      </w:r>
      <w:r>
        <w:drawing>
          <wp:inline distT="0" distB="0" distL="114300" distR="114300">
            <wp:extent cx="5610860" cy="7825740"/>
            <wp:effectExtent l="0" t="0" r="8890" b="381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2"/>
                    <a:stretch>
                      <a:fillRect/>
                    </a:stretch>
                  </pic:blipFill>
                  <pic:spPr>
                    <a:xfrm>
                      <a:off x="0" y="0"/>
                      <a:ext cx="5610860" cy="7825740"/>
                    </a:xfrm>
                    <a:prstGeom prst="rect">
                      <a:avLst/>
                    </a:prstGeom>
                    <a:noFill/>
                    <a:ln>
                      <a:noFill/>
                    </a:ln>
                  </pic:spPr>
                </pic:pic>
              </a:graphicData>
            </a:graphic>
          </wp:inline>
        </w:drawing>
      </w:r>
      <w:r>
        <w:drawing>
          <wp:inline distT="0" distB="0" distL="114300" distR="114300">
            <wp:extent cx="5607685" cy="5090795"/>
            <wp:effectExtent l="0" t="0" r="2540"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3"/>
                    <a:stretch>
                      <a:fillRect/>
                    </a:stretch>
                  </pic:blipFill>
                  <pic:spPr>
                    <a:xfrm>
                      <a:off x="0" y="0"/>
                      <a:ext cx="5607685" cy="5090795"/>
                    </a:xfrm>
                    <a:prstGeom prst="rect">
                      <a:avLst/>
                    </a:prstGeom>
                    <a:noFill/>
                    <a:ln>
                      <a:noFill/>
                    </a:ln>
                  </pic:spPr>
                </pic:pic>
              </a:graphicData>
            </a:graphic>
          </wp:inline>
        </w:drawing>
      </w:r>
    </w:p>
    <w:p w14:paraId="333A8ADC">
      <w:pPr>
        <w:widowControl/>
        <w:ind w:firstLine="640"/>
        <w:jc w:val="center"/>
        <w:outlineLvl w:val="0"/>
        <w:rPr>
          <w:rFonts w:ascii="黑体" w:hAnsi="黑体" w:eastAsia="黑体"/>
          <w:snapToGrid w:val="0"/>
          <w:color w:val="auto"/>
          <w:kern w:val="0"/>
          <w:sz w:val="32"/>
          <w:szCs w:val="32"/>
          <w:highlight w:val="none"/>
        </w:rPr>
      </w:pPr>
      <w:r>
        <w:rPr>
          <w:rFonts w:hint="eastAsia" w:ascii="黑体" w:hAnsi="黑体" w:eastAsia="黑体"/>
          <w:snapToGrid w:val="0"/>
          <w:color w:val="auto"/>
          <w:kern w:val="0"/>
          <w:sz w:val="32"/>
          <w:szCs w:val="32"/>
          <w:highlight w:val="none"/>
        </w:rPr>
        <w:t>一、建设项目基本情况</w:t>
      </w:r>
    </w:p>
    <w:tbl>
      <w:tblPr>
        <w:tblStyle w:val="20"/>
        <w:tblW w:w="8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84"/>
        <w:gridCol w:w="2777"/>
        <w:gridCol w:w="1962"/>
        <w:gridCol w:w="3049"/>
      </w:tblGrid>
      <w:tr w14:paraId="56008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4D0424EB">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建设项目名称</w:t>
            </w:r>
          </w:p>
        </w:tc>
        <w:tc>
          <w:tcPr>
            <w:tcW w:w="7788" w:type="dxa"/>
            <w:gridSpan w:val="3"/>
            <w:noWrap w:val="0"/>
            <w:vAlign w:val="center"/>
          </w:tcPr>
          <w:p w14:paraId="7F52B1B4">
            <w:pPr>
              <w:snapToGrid w:val="0"/>
              <w:spacing w:line="276" w:lineRule="auto"/>
              <w:jc w:val="center"/>
              <w:rPr>
                <w:rFonts w:hint="eastAsia" w:ascii="Times New Roman" w:hAnsi="Times New Roman" w:eastAsia="宋体"/>
                <w:color w:val="auto"/>
                <w:sz w:val="24"/>
                <w:szCs w:val="24"/>
                <w:highlight w:val="none"/>
                <w:lang w:eastAsia="zh-CN"/>
              </w:rPr>
            </w:pPr>
            <w:r>
              <w:rPr>
                <w:rFonts w:hint="eastAsia" w:ascii="Times New Roman" w:hAnsi="Times New Roman"/>
                <w:color w:val="auto"/>
                <w:sz w:val="24"/>
                <w:szCs w:val="24"/>
                <w:highlight w:val="none"/>
                <w:lang w:eastAsia="zh-CN"/>
              </w:rPr>
              <w:t>淮南无双新能源科技有限公司双玻组件用光伏玻璃深加工项目</w:t>
            </w:r>
          </w:p>
        </w:tc>
      </w:tr>
      <w:tr w14:paraId="447E1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177F51EA">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项目代码</w:t>
            </w:r>
          </w:p>
        </w:tc>
        <w:tc>
          <w:tcPr>
            <w:tcW w:w="7788" w:type="dxa"/>
            <w:gridSpan w:val="3"/>
            <w:noWrap w:val="0"/>
            <w:vAlign w:val="center"/>
          </w:tcPr>
          <w:p w14:paraId="09DAFE34">
            <w:pPr>
              <w:snapToGrid w:val="0"/>
              <w:spacing w:line="276" w:lineRule="auto"/>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2603-340421-04-03-407767</w:t>
            </w:r>
          </w:p>
        </w:tc>
      </w:tr>
      <w:tr w14:paraId="636C5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6D3AD082">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建设单位联系人</w:t>
            </w:r>
          </w:p>
        </w:tc>
        <w:tc>
          <w:tcPr>
            <w:tcW w:w="2777" w:type="dxa"/>
            <w:noWrap w:val="0"/>
            <w:vAlign w:val="center"/>
          </w:tcPr>
          <w:p w14:paraId="214BDE8A">
            <w:pPr>
              <w:snapToGrid w:val="0"/>
              <w:spacing w:line="276" w:lineRule="auto"/>
              <w:jc w:val="center"/>
              <w:rPr>
                <w:rFonts w:hint="default" w:ascii="Times New Roman" w:hAnsi="Times New Roman" w:eastAsia="宋体"/>
                <w:color w:val="auto"/>
                <w:sz w:val="24"/>
                <w:szCs w:val="24"/>
                <w:highlight w:val="none"/>
                <w:lang w:val="en-US" w:eastAsia="zh-CN"/>
              </w:rPr>
            </w:pPr>
          </w:p>
        </w:tc>
        <w:tc>
          <w:tcPr>
            <w:tcW w:w="1962" w:type="dxa"/>
            <w:noWrap w:val="0"/>
            <w:vAlign w:val="center"/>
          </w:tcPr>
          <w:p w14:paraId="752C5046">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highlight w:val="none"/>
              </w:rPr>
              <w:t>联系方式</w:t>
            </w:r>
          </w:p>
        </w:tc>
        <w:tc>
          <w:tcPr>
            <w:tcW w:w="3049" w:type="dxa"/>
            <w:noWrap w:val="0"/>
            <w:vAlign w:val="center"/>
          </w:tcPr>
          <w:p w14:paraId="0B13DD70">
            <w:pPr>
              <w:snapToGrid w:val="0"/>
              <w:spacing w:line="276" w:lineRule="auto"/>
              <w:jc w:val="center"/>
              <w:rPr>
                <w:rFonts w:ascii="Times New Roman" w:hAnsi="Times New Roman"/>
                <w:b/>
                <w:bCs/>
                <w:color w:val="auto"/>
                <w:sz w:val="24"/>
                <w:szCs w:val="24"/>
                <w:highlight w:val="none"/>
              </w:rPr>
            </w:pPr>
            <w:bookmarkStart w:id="6" w:name="_GoBack"/>
            <w:bookmarkEnd w:id="6"/>
          </w:p>
        </w:tc>
      </w:tr>
      <w:tr w14:paraId="00DA0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0C865E96">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建设地点</w:t>
            </w:r>
          </w:p>
        </w:tc>
        <w:tc>
          <w:tcPr>
            <w:tcW w:w="7788" w:type="dxa"/>
            <w:gridSpan w:val="3"/>
            <w:noWrap w:val="0"/>
            <w:vAlign w:val="center"/>
          </w:tcPr>
          <w:p w14:paraId="28CC1D5F">
            <w:pPr>
              <w:snapToGrid w:val="0"/>
              <w:spacing w:line="276" w:lineRule="auto"/>
              <w:jc w:val="center"/>
              <w:rPr>
                <w:rFonts w:ascii="Times New Roman" w:hAnsi="Times New Roman"/>
                <w:bCs/>
                <w:color w:val="auto"/>
                <w:sz w:val="24"/>
                <w:szCs w:val="24"/>
                <w:highlight w:val="none"/>
              </w:rPr>
            </w:pPr>
            <w:r>
              <w:rPr>
                <w:rFonts w:hint="eastAsia" w:ascii="Times New Roman" w:hAnsi="宋体"/>
                <w:color w:val="auto"/>
                <w:sz w:val="24"/>
                <w:highlight w:val="none"/>
              </w:rPr>
              <w:t>安徽省淮南市凤台经济开发区国晟</w:t>
            </w:r>
            <w:r>
              <w:rPr>
                <w:rFonts w:hint="eastAsia" w:ascii="Times New Roman" w:hAnsi="宋体"/>
                <w:color w:val="auto"/>
                <w:sz w:val="24"/>
                <w:highlight w:val="none"/>
                <w:lang w:eastAsia="zh-CN"/>
              </w:rPr>
              <w:t>（</w:t>
            </w:r>
            <w:r>
              <w:rPr>
                <w:rFonts w:hint="eastAsia" w:ascii="Times New Roman" w:hAnsi="宋体"/>
                <w:color w:val="auto"/>
                <w:sz w:val="24"/>
                <w:highlight w:val="none"/>
              </w:rPr>
              <w:t>凤台</w:t>
            </w:r>
            <w:r>
              <w:rPr>
                <w:rFonts w:hint="eastAsia" w:ascii="Times New Roman" w:hAnsi="宋体"/>
                <w:color w:val="auto"/>
                <w:sz w:val="24"/>
                <w:highlight w:val="none"/>
                <w:lang w:eastAsia="zh-CN"/>
              </w:rPr>
              <w:t>）</w:t>
            </w:r>
            <w:r>
              <w:rPr>
                <w:rFonts w:hint="eastAsia" w:ascii="Times New Roman" w:hAnsi="宋体"/>
                <w:color w:val="auto"/>
                <w:sz w:val="24"/>
                <w:highlight w:val="none"/>
              </w:rPr>
              <w:t>异质结双碳产业园内</w:t>
            </w:r>
          </w:p>
        </w:tc>
      </w:tr>
      <w:tr w14:paraId="105CF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264DA28F">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地理坐标</w:t>
            </w:r>
          </w:p>
        </w:tc>
        <w:tc>
          <w:tcPr>
            <w:tcW w:w="7788" w:type="dxa"/>
            <w:gridSpan w:val="3"/>
            <w:noWrap w:val="0"/>
            <w:vAlign w:val="center"/>
          </w:tcPr>
          <w:p w14:paraId="5F414D4F">
            <w:pPr>
              <w:snapToGrid w:val="0"/>
              <w:spacing w:line="276" w:lineRule="auto"/>
              <w:jc w:val="center"/>
              <w:rPr>
                <w:rFonts w:ascii="Times New Roman" w:hAnsi="Times New Roman"/>
                <w:color w:val="auto"/>
                <w:sz w:val="24"/>
                <w:szCs w:val="24"/>
                <w:highlight w:val="none"/>
              </w:rPr>
            </w:pPr>
            <w:r>
              <w:rPr>
                <w:rFonts w:ascii="Times New Roman" w:hAnsi="宋体"/>
                <w:color w:val="auto"/>
                <w:sz w:val="24"/>
                <w:highlight w:val="none"/>
              </w:rPr>
              <w:t>（</w:t>
            </w:r>
            <w:r>
              <w:rPr>
                <w:rFonts w:hint="eastAsia" w:ascii="Times New Roman" w:hAnsi="Times New Roman"/>
                <w:color w:val="auto"/>
                <w:sz w:val="24"/>
                <w:highlight w:val="none"/>
                <w:u w:val="single"/>
              </w:rPr>
              <w:t>116</w:t>
            </w:r>
            <w:r>
              <w:rPr>
                <w:rFonts w:hint="eastAsia" w:ascii="Times New Roman" w:hAnsi="Times New Roman"/>
                <w:color w:val="auto"/>
                <w:sz w:val="24"/>
                <w:highlight w:val="none"/>
              </w:rPr>
              <w:t>度</w:t>
            </w:r>
            <w:r>
              <w:rPr>
                <w:rFonts w:hint="eastAsia" w:ascii="Times New Roman" w:hAnsi="Times New Roman"/>
                <w:color w:val="auto"/>
                <w:sz w:val="24"/>
                <w:highlight w:val="none"/>
                <w:u w:val="single"/>
                <w:lang w:val="en-US" w:eastAsia="zh-CN"/>
              </w:rPr>
              <w:t>45</w:t>
            </w:r>
            <w:r>
              <w:rPr>
                <w:rFonts w:hint="eastAsia" w:ascii="Times New Roman" w:hAnsi="Times New Roman"/>
                <w:color w:val="auto"/>
                <w:sz w:val="24"/>
                <w:highlight w:val="none"/>
              </w:rPr>
              <w:t>分</w:t>
            </w:r>
            <w:r>
              <w:rPr>
                <w:rFonts w:hint="eastAsia" w:ascii="Times New Roman" w:hAnsi="Times New Roman"/>
                <w:color w:val="auto"/>
                <w:sz w:val="24"/>
                <w:highlight w:val="none"/>
                <w:u w:val="single"/>
                <w:lang w:val="en-US" w:eastAsia="zh-CN"/>
              </w:rPr>
              <w:t>26.798</w:t>
            </w:r>
            <w:r>
              <w:rPr>
                <w:rFonts w:hint="eastAsia" w:ascii="Times New Roman" w:hAnsi="Times New Roman"/>
                <w:color w:val="auto"/>
                <w:sz w:val="24"/>
                <w:highlight w:val="none"/>
              </w:rPr>
              <w:t>秒，</w:t>
            </w:r>
            <w:r>
              <w:rPr>
                <w:rFonts w:hint="eastAsia" w:ascii="Times New Roman" w:hAnsi="Times New Roman"/>
                <w:color w:val="auto"/>
                <w:sz w:val="24"/>
                <w:highlight w:val="none"/>
                <w:u w:val="single"/>
              </w:rPr>
              <w:t>32</w:t>
            </w:r>
            <w:r>
              <w:rPr>
                <w:rFonts w:hint="eastAsia" w:ascii="Times New Roman" w:hAnsi="Times New Roman"/>
                <w:color w:val="auto"/>
                <w:sz w:val="24"/>
                <w:highlight w:val="none"/>
              </w:rPr>
              <w:t>度</w:t>
            </w:r>
            <w:r>
              <w:rPr>
                <w:rFonts w:hint="eastAsia" w:ascii="Times New Roman" w:hAnsi="Times New Roman"/>
                <w:color w:val="auto"/>
                <w:sz w:val="24"/>
                <w:highlight w:val="none"/>
                <w:u w:val="single"/>
                <w:lang w:val="en-US" w:eastAsia="zh-CN"/>
              </w:rPr>
              <w:t>42</w:t>
            </w:r>
            <w:r>
              <w:rPr>
                <w:rFonts w:hint="eastAsia" w:ascii="Times New Roman" w:hAnsi="Times New Roman"/>
                <w:color w:val="auto"/>
                <w:sz w:val="24"/>
                <w:highlight w:val="none"/>
              </w:rPr>
              <w:t>分</w:t>
            </w:r>
            <w:r>
              <w:rPr>
                <w:rFonts w:hint="eastAsia" w:ascii="Times New Roman" w:hAnsi="Times New Roman"/>
                <w:color w:val="auto"/>
                <w:sz w:val="24"/>
                <w:highlight w:val="none"/>
                <w:u w:val="single"/>
                <w:lang w:val="en-US" w:eastAsia="zh-CN"/>
              </w:rPr>
              <w:t>46.023</w:t>
            </w:r>
            <w:r>
              <w:rPr>
                <w:rFonts w:hint="eastAsia" w:ascii="Times New Roman" w:hAnsi="Times New Roman"/>
                <w:color w:val="auto"/>
                <w:sz w:val="24"/>
                <w:highlight w:val="none"/>
              </w:rPr>
              <w:t>秒</w:t>
            </w:r>
            <w:r>
              <w:rPr>
                <w:rFonts w:ascii="Times New Roman" w:hAnsi="宋体"/>
                <w:color w:val="auto"/>
                <w:sz w:val="24"/>
                <w:highlight w:val="none"/>
              </w:rPr>
              <w:t>）</w:t>
            </w:r>
          </w:p>
        </w:tc>
      </w:tr>
      <w:tr w14:paraId="14755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076DA1D0">
            <w:pPr>
              <w:snapToGrid w:val="0"/>
              <w:spacing w:line="276" w:lineRule="auto"/>
              <w:jc w:val="center"/>
              <w:rPr>
                <w:rFonts w:ascii="Times New Roman" w:hAnsi="宋体"/>
                <w:color w:val="auto"/>
                <w:sz w:val="24"/>
                <w:szCs w:val="24"/>
                <w:highlight w:val="none"/>
              </w:rPr>
            </w:pPr>
            <w:r>
              <w:rPr>
                <w:rFonts w:ascii="Times New Roman" w:hAnsi="宋体"/>
                <w:color w:val="auto"/>
                <w:sz w:val="24"/>
                <w:szCs w:val="24"/>
                <w:highlight w:val="none"/>
              </w:rPr>
              <w:t>国民经济</w:t>
            </w:r>
          </w:p>
          <w:p w14:paraId="7D349E38">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行业类别</w:t>
            </w:r>
          </w:p>
        </w:tc>
        <w:tc>
          <w:tcPr>
            <w:tcW w:w="2777" w:type="dxa"/>
            <w:noWrap w:val="0"/>
            <w:vAlign w:val="center"/>
          </w:tcPr>
          <w:p w14:paraId="019D4382">
            <w:pPr>
              <w:snapToGrid w:val="0"/>
              <w:spacing w:line="276" w:lineRule="auto"/>
              <w:jc w:val="center"/>
              <w:rPr>
                <w:rStyle w:val="25"/>
                <w:color w:val="auto"/>
                <w:highlight w:val="none"/>
              </w:rPr>
            </w:pPr>
            <w:r>
              <w:rPr>
                <w:rFonts w:hint="eastAsia" w:ascii="Times New Roman" w:hAnsi="宋体" w:eastAsia="宋体" w:cs="Times New Roman"/>
                <w:color w:val="auto"/>
                <w:sz w:val="24"/>
                <w:highlight w:val="none"/>
              </w:rPr>
              <w:t>C3042 特种玻璃制造</w:t>
            </w:r>
          </w:p>
        </w:tc>
        <w:tc>
          <w:tcPr>
            <w:tcW w:w="1962" w:type="dxa"/>
            <w:noWrap w:val="0"/>
            <w:vAlign w:val="center"/>
          </w:tcPr>
          <w:p w14:paraId="31C1A11A">
            <w:pPr>
              <w:snapToGrid w:val="0"/>
              <w:spacing w:line="276" w:lineRule="auto"/>
              <w:jc w:val="center"/>
              <w:rPr>
                <w:rFonts w:ascii="Times New Roman" w:hAnsi="Times New Roman"/>
                <w:color w:val="auto"/>
                <w:sz w:val="24"/>
                <w:szCs w:val="24"/>
                <w:highlight w:val="none"/>
              </w:rPr>
            </w:pPr>
            <w:bookmarkStart w:id="0" w:name="_Hlk49843745"/>
            <w:r>
              <w:rPr>
                <w:rFonts w:ascii="Times New Roman" w:hAnsi="宋体"/>
                <w:color w:val="auto"/>
                <w:sz w:val="24"/>
                <w:szCs w:val="24"/>
                <w:highlight w:val="none"/>
              </w:rPr>
              <w:t>建设项目</w:t>
            </w:r>
          </w:p>
          <w:p w14:paraId="1CC72B2C">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行业类别</w:t>
            </w:r>
            <w:bookmarkEnd w:id="0"/>
          </w:p>
        </w:tc>
        <w:tc>
          <w:tcPr>
            <w:tcW w:w="3049" w:type="dxa"/>
            <w:noWrap w:val="0"/>
            <w:vAlign w:val="center"/>
          </w:tcPr>
          <w:p w14:paraId="094CCD39">
            <w:pPr>
              <w:snapToGrid w:val="0"/>
              <w:spacing w:line="276" w:lineRule="auto"/>
              <w:jc w:val="center"/>
              <w:rPr>
                <w:rFonts w:ascii="Times New Roman" w:hAnsi="Times New Roman"/>
                <w:color w:val="auto"/>
                <w:sz w:val="24"/>
                <w:highlight w:val="none"/>
              </w:rPr>
            </w:pPr>
            <w:r>
              <w:rPr>
                <w:rFonts w:hint="eastAsia" w:ascii="Times New Roman" w:hAnsi="Times New Roman"/>
                <w:color w:val="auto"/>
                <w:sz w:val="24"/>
                <w:highlight w:val="none"/>
              </w:rPr>
              <w:t>二十</w:t>
            </w:r>
            <w:r>
              <w:rPr>
                <w:rFonts w:hint="eastAsia" w:ascii="Times New Roman" w:hAnsi="Times New Roman"/>
                <w:color w:val="auto"/>
                <w:sz w:val="24"/>
                <w:highlight w:val="none"/>
                <w:lang w:val="en-US" w:eastAsia="zh-CN"/>
              </w:rPr>
              <w:t>七</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非金属矿物制品</w:t>
            </w:r>
            <w:r>
              <w:rPr>
                <w:rFonts w:hint="eastAsia" w:ascii="Times New Roman" w:hAnsi="Times New Roman"/>
                <w:color w:val="auto"/>
                <w:sz w:val="24"/>
                <w:highlight w:val="none"/>
              </w:rPr>
              <w:t>业</w:t>
            </w:r>
            <w:r>
              <w:rPr>
                <w:rFonts w:hint="eastAsia" w:ascii="Times New Roman" w:hAnsi="Times New Roman"/>
                <w:color w:val="auto"/>
                <w:sz w:val="24"/>
                <w:highlight w:val="none"/>
                <w:lang w:val="en-US" w:eastAsia="zh-CN"/>
              </w:rPr>
              <w:t>57 玻璃制造 304</w:t>
            </w:r>
          </w:p>
        </w:tc>
      </w:tr>
      <w:tr w14:paraId="67285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4829C179">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建设性质</w:t>
            </w:r>
          </w:p>
        </w:tc>
        <w:tc>
          <w:tcPr>
            <w:tcW w:w="2777" w:type="dxa"/>
            <w:noWrap w:val="0"/>
            <w:vAlign w:val="center"/>
          </w:tcPr>
          <w:p w14:paraId="3FAB936E">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highlight w:val="none"/>
              </w:rPr>
              <w:sym w:font="Wingdings 2" w:char="F052"/>
            </w:r>
            <w:r>
              <w:rPr>
                <w:rFonts w:ascii="Times New Roman" w:hAnsi="宋体"/>
                <w:color w:val="auto"/>
                <w:sz w:val="24"/>
                <w:szCs w:val="24"/>
                <w:highlight w:val="none"/>
              </w:rPr>
              <w:t>新建（迁建）</w:t>
            </w:r>
          </w:p>
          <w:p w14:paraId="5FBD7504">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z w:val="24"/>
                <w:szCs w:val="24"/>
                <w:highlight w:val="none"/>
              </w:rPr>
              <w:t>改建</w:t>
            </w:r>
          </w:p>
          <w:p w14:paraId="0D8AAB64">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z w:val="24"/>
                <w:szCs w:val="24"/>
                <w:highlight w:val="none"/>
              </w:rPr>
              <w:t>扩建</w:t>
            </w:r>
          </w:p>
          <w:p w14:paraId="3831A905">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z w:val="24"/>
                <w:szCs w:val="24"/>
                <w:highlight w:val="none"/>
              </w:rPr>
              <w:t>技术改造</w:t>
            </w:r>
          </w:p>
        </w:tc>
        <w:tc>
          <w:tcPr>
            <w:tcW w:w="1962" w:type="dxa"/>
            <w:noWrap w:val="0"/>
            <w:vAlign w:val="center"/>
          </w:tcPr>
          <w:p w14:paraId="5C045AF9">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建设项目</w:t>
            </w:r>
          </w:p>
          <w:p w14:paraId="645CB8E9">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申报情形</w:t>
            </w:r>
          </w:p>
        </w:tc>
        <w:tc>
          <w:tcPr>
            <w:tcW w:w="3049" w:type="dxa"/>
            <w:noWrap w:val="0"/>
            <w:vAlign w:val="center"/>
          </w:tcPr>
          <w:p w14:paraId="20639010">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highlight w:val="none"/>
              </w:rPr>
              <w:sym w:font="Wingdings 2" w:char="F052"/>
            </w:r>
            <w:r>
              <w:rPr>
                <w:rFonts w:ascii="Times New Roman" w:hAnsi="宋体"/>
                <w:color w:val="auto"/>
                <w:sz w:val="24"/>
                <w:szCs w:val="24"/>
                <w:highlight w:val="none"/>
              </w:rPr>
              <w:t>首次申报项目</w:t>
            </w:r>
          </w:p>
          <w:p w14:paraId="1DF2F024">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pacing w:val="-6"/>
                <w:sz w:val="24"/>
                <w:szCs w:val="24"/>
                <w:highlight w:val="none"/>
              </w:rPr>
              <w:t>不予批准后再次申报项目</w:t>
            </w:r>
          </w:p>
          <w:p w14:paraId="26A48EC2">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z w:val="24"/>
                <w:szCs w:val="24"/>
                <w:highlight w:val="none"/>
              </w:rPr>
              <w:t>超五年重新审核项目</w:t>
            </w:r>
          </w:p>
          <w:p w14:paraId="0D06757F">
            <w:pPr>
              <w:snapToGrid w:val="0"/>
              <w:spacing w:line="276" w:lineRule="auto"/>
              <w:jc w:val="left"/>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z w:val="24"/>
                <w:szCs w:val="24"/>
                <w:highlight w:val="none"/>
              </w:rPr>
              <w:t>重大变动重新报批项目</w:t>
            </w:r>
          </w:p>
        </w:tc>
      </w:tr>
      <w:tr w14:paraId="483FB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35A26DB2">
            <w:pPr>
              <w:snapToGrid w:val="0"/>
              <w:spacing w:line="276"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t>项目审批（核准/备案）部门（选填）</w:t>
            </w:r>
          </w:p>
        </w:tc>
        <w:tc>
          <w:tcPr>
            <w:tcW w:w="2777" w:type="dxa"/>
            <w:noWrap w:val="0"/>
            <w:vAlign w:val="center"/>
          </w:tcPr>
          <w:p w14:paraId="325226E3">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凤台县发展和改革委员会</w:t>
            </w:r>
          </w:p>
        </w:tc>
        <w:tc>
          <w:tcPr>
            <w:tcW w:w="1962" w:type="dxa"/>
            <w:noWrap w:val="0"/>
            <w:vAlign w:val="center"/>
          </w:tcPr>
          <w:p w14:paraId="48BE8947">
            <w:pPr>
              <w:snapToGrid w:val="0"/>
              <w:spacing w:line="276"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t>项目审批（核准/备案）文号（选填）</w:t>
            </w:r>
          </w:p>
        </w:tc>
        <w:tc>
          <w:tcPr>
            <w:tcW w:w="3049" w:type="dxa"/>
            <w:noWrap w:val="0"/>
            <w:vAlign w:val="center"/>
          </w:tcPr>
          <w:p w14:paraId="2FAC18A9">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w:t>
            </w:r>
          </w:p>
        </w:tc>
      </w:tr>
      <w:tr w14:paraId="0E2FC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2C6D0932">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总投资（万元）</w:t>
            </w:r>
          </w:p>
        </w:tc>
        <w:tc>
          <w:tcPr>
            <w:tcW w:w="2777" w:type="dxa"/>
            <w:noWrap w:val="0"/>
            <w:vAlign w:val="center"/>
          </w:tcPr>
          <w:p w14:paraId="5B7D5BA7">
            <w:pPr>
              <w:snapToGrid w:val="0"/>
              <w:spacing w:line="276" w:lineRule="auto"/>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highlight w:val="none"/>
                <w:lang w:val="en-US" w:eastAsia="zh-CN"/>
              </w:rPr>
              <w:t>12000</w:t>
            </w:r>
          </w:p>
        </w:tc>
        <w:tc>
          <w:tcPr>
            <w:tcW w:w="1962" w:type="dxa"/>
            <w:noWrap w:val="0"/>
            <w:tcMar>
              <w:top w:w="16" w:type="dxa"/>
              <w:left w:w="16" w:type="dxa"/>
              <w:right w:w="16" w:type="dxa"/>
            </w:tcMar>
            <w:vAlign w:val="center"/>
          </w:tcPr>
          <w:p w14:paraId="5E75905C">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环保投资（万元）</w:t>
            </w:r>
          </w:p>
        </w:tc>
        <w:tc>
          <w:tcPr>
            <w:tcW w:w="3049" w:type="dxa"/>
            <w:noWrap w:val="0"/>
            <w:vAlign w:val="center"/>
          </w:tcPr>
          <w:p w14:paraId="6BF2595C">
            <w:pPr>
              <w:snapToGrid w:val="0"/>
              <w:spacing w:line="276" w:lineRule="auto"/>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500</w:t>
            </w:r>
          </w:p>
        </w:tc>
      </w:tr>
      <w:tr w14:paraId="5E4BA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68AD81F2">
            <w:pPr>
              <w:snapToGrid w:val="0"/>
              <w:spacing w:line="276"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t>环保投资</w:t>
            </w:r>
          </w:p>
          <w:p w14:paraId="502D9C47">
            <w:pPr>
              <w:snapToGrid w:val="0"/>
              <w:spacing w:line="276"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t>占比</w:t>
            </w:r>
            <w:r>
              <w:rPr>
                <w:rFonts w:hint="eastAsia" w:ascii="Times New Roman" w:hAnsi="Times New Roman"/>
                <w:color w:val="auto"/>
                <w:sz w:val="24"/>
                <w:szCs w:val="24"/>
                <w:highlight w:val="none"/>
              </w:rPr>
              <w:t>（%）</w:t>
            </w:r>
          </w:p>
        </w:tc>
        <w:tc>
          <w:tcPr>
            <w:tcW w:w="2777" w:type="dxa"/>
            <w:noWrap w:val="0"/>
            <w:vAlign w:val="center"/>
          </w:tcPr>
          <w:p w14:paraId="32B359A2">
            <w:pPr>
              <w:snapToGrid w:val="0"/>
              <w:spacing w:line="276" w:lineRule="auto"/>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4.17</w:t>
            </w:r>
          </w:p>
        </w:tc>
        <w:tc>
          <w:tcPr>
            <w:tcW w:w="1962" w:type="dxa"/>
            <w:noWrap w:val="0"/>
            <w:tcMar>
              <w:top w:w="16" w:type="dxa"/>
              <w:left w:w="16" w:type="dxa"/>
              <w:right w:w="16" w:type="dxa"/>
            </w:tcMar>
            <w:vAlign w:val="center"/>
          </w:tcPr>
          <w:p w14:paraId="6EA9C11E">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施工工期</w:t>
            </w:r>
          </w:p>
        </w:tc>
        <w:tc>
          <w:tcPr>
            <w:tcW w:w="3049" w:type="dxa"/>
            <w:noWrap w:val="0"/>
            <w:vAlign w:val="center"/>
          </w:tcPr>
          <w:p w14:paraId="7BFEDA54">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highlight w:val="none"/>
                <w:lang w:val="en-US" w:eastAsia="zh-CN"/>
              </w:rPr>
              <w:t>6</w:t>
            </w:r>
            <w:r>
              <w:rPr>
                <w:rFonts w:ascii="Times New Roman" w:hAnsi="宋体"/>
                <w:color w:val="auto"/>
                <w:sz w:val="24"/>
                <w:highlight w:val="none"/>
              </w:rPr>
              <w:t>个月</w:t>
            </w:r>
          </w:p>
        </w:tc>
      </w:tr>
      <w:tr w14:paraId="07768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noWrap w:val="0"/>
            <w:tcMar>
              <w:top w:w="16" w:type="dxa"/>
              <w:left w:w="16" w:type="dxa"/>
              <w:right w:w="16" w:type="dxa"/>
            </w:tcMar>
            <w:vAlign w:val="center"/>
          </w:tcPr>
          <w:p w14:paraId="3548CC9C">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是否开工建设</w:t>
            </w:r>
          </w:p>
        </w:tc>
        <w:tc>
          <w:tcPr>
            <w:tcW w:w="2777" w:type="dxa"/>
            <w:noWrap w:val="0"/>
            <w:vAlign w:val="center"/>
          </w:tcPr>
          <w:p w14:paraId="372C6622">
            <w:pPr>
              <w:snapToGrid w:val="0"/>
              <w:spacing w:line="276" w:lineRule="auto"/>
              <w:rPr>
                <w:rFonts w:ascii="Times New Roman" w:hAnsi="宋体"/>
                <w:color w:val="auto"/>
                <w:sz w:val="24"/>
                <w:szCs w:val="24"/>
                <w:highlight w:val="none"/>
              </w:rPr>
            </w:pPr>
            <w:r>
              <w:rPr>
                <w:rFonts w:ascii="Times New Roman" w:hAnsi="Times New Roman"/>
                <w:color w:val="auto"/>
                <w:sz w:val="24"/>
                <w:highlight w:val="none"/>
              </w:rPr>
              <w:sym w:font="Wingdings 2" w:char="F052"/>
            </w:r>
            <w:r>
              <w:rPr>
                <w:rFonts w:ascii="Times New Roman" w:hAnsi="宋体"/>
                <w:color w:val="auto"/>
                <w:sz w:val="24"/>
                <w:szCs w:val="24"/>
                <w:highlight w:val="none"/>
              </w:rPr>
              <w:t>否</w:t>
            </w:r>
          </w:p>
          <w:p w14:paraId="2E2702E9">
            <w:pPr>
              <w:snapToGrid w:val="0"/>
              <w:spacing w:line="276" w:lineRule="auto"/>
              <w:rPr>
                <w:rFonts w:ascii="Times New Roman" w:hAnsi="Times New Roman"/>
                <w:color w:val="auto"/>
                <w:sz w:val="24"/>
                <w:szCs w:val="24"/>
                <w:highlight w:val="none"/>
              </w:rPr>
            </w:pPr>
            <w:r>
              <w:rPr>
                <w:rFonts w:ascii="Times New Roman" w:hAnsi="Times New Roman"/>
                <w:color w:val="auto"/>
                <w:sz w:val="24"/>
                <w:szCs w:val="24"/>
                <w:highlight w:val="none"/>
              </w:rPr>
              <w:sym w:font="Wingdings 2" w:char="00A3"/>
            </w:r>
            <w:r>
              <w:rPr>
                <w:rFonts w:ascii="Times New Roman" w:hAnsi="宋体"/>
                <w:color w:val="auto"/>
                <w:sz w:val="24"/>
                <w:szCs w:val="24"/>
                <w:highlight w:val="none"/>
              </w:rPr>
              <w:t>是</w:t>
            </w:r>
            <w:r>
              <w:rPr>
                <w:rFonts w:hint="eastAsia" w:ascii="Times New Roman" w:hAnsi="宋体"/>
                <w:color w:val="auto"/>
                <w:sz w:val="24"/>
                <w:szCs w:val="24"/>
                <w:highlight w:val="none"/>
              </w:rPr>
              <w:t>：</w:t>
            </w:r>
          </w:p>
        </w:tc>
        <w:tc>
          <w:tcPr>
            <w:tcW w:w="1962" w:type="dxa"/>
            <w:noWrap w:val="0"/>
            <w:tcMar>
              <w:top w:w="16" w:type="dxa"/>
              <w:left w:w="16" w:type="dxa"/>
              <w:right w:w="16" w:type="dxa"/>
            </w:tcMar>
            <w:vAlign w:val="center"/>
          </w:tcPr>
          <w:p w14:paraId="388E9973">
            <w:pPr>
              <w:snapToGrid w:val="0"/>
              <w:spacing w:line="276" w:lineRule="auto"/>
              <w:jc w:val="center"/>
              <w:rPr>
                <w:rFonts w:ascii="Times New Roman" w:hAnsi="Times New Roman"/>
                <w:color w:val="auto"/>
                <w:sz w:val="24"/>
                <w:szCs w:val="24"/>
                <w:highlight w:val="none"/>
              </w:rPr>
            </w:pPr>
            <w:r>
              <w:rPr>
                <w:rFonts w:ascii="Times New Roman" w:hAnsi="宋体"/>
                <w:color w:val="auto"/>
                <w:spacing w:val="-6"/>
                <w:sz w:val="24"/>
                <w:szCs w:val="24"/>
                <w:highlight w:val="none"/>
              </w:rPr>
              <w:t>用地（用海）面积（</w:t>
            </w:r>
            <w:r>
              <w:rPr>
                <w:rFonts w:ascii="Times New Roman" w:hAnsi="Times New Roman"/>
                <w:color w:val="auto"/>
                <w:spacing w:val="-6"/>
                <w:sz w:val="24"/>
                <w:szCs w:val="24"/>
                <w:highlight w:val="none"/>
              </w:rPr>
              <w:t>m</w:t>
            </w:r>
            <w:r>
              <w:rPr>
                <w:rFonts w:ascii="Times New Roman" w:hAnsi="Times New Roman"/>
                <w:color w:val="auto"/>
                <w:spacing w:val="-6"/>
                <w:sz w:val="24"/>
                <w:szCs w:val="24"/>
                <w:highlight w:val="none"/>
                <w:vertAlign w:val="superscript"/>
              </w:rPr>
              <w:t>2</w:t>
            </w:r>
            <w:r>
              <w:rPr>
                <w:rFonts w:ascii="Times New Roman" w:hAnsi="宋体"/>
                <w:color w:val="auto"/>
                <w:spacing w:val="-6"/>
                <w:sz w:val="24"/>
                <w:szCs w:val="24"/>
                <w:highlight w:val="none"/>
              </w:rPr>
              <w:t>）</w:t>
            </w:r>
          </w:p>
        </w:tc>
        <w:tc>
          <w:tcPr>
            <w:tcW w:w="3049" w:type="dxa"/>
            <w:noWrap w:val="0"/>
            <w:vAlign w:val="center"/>
          </w:tcPr>
          <w:p w14:paraId="321F9DF1">
            <w:pPr>
              <w:snapToGrid w:val="0"/>
              <w:spacing w:line="276" w:lineRule="auto"/>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8588.85</w:t>
            </w:r>
          </w:p>
        </w:tc>
      </w:tr>
      <w:tr w14:paraId="226A3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noWrap w:val="0"/>
            <w:vAlign w:val="center"/>
          </w:tcPr>
          <w:p w14:paraId="71A9319B">
            <w:pPr>
              <w:autoSpaceDE w:val="0"/>
              <w:autoSpaceDN w:val="0"/>
              <w:snapToGrid w:val="0"/>
              <w:spacing w:line="276" w:lineRule="auto"/>
              <w:jc w:val="center"/>
              <w:rPr>
                <w:rFonts w:ascii="Times New Roman" w:hAnsi="Times New Roman"/>
                <w:color w:val="auto"/>
                <w:kern w:val="0"/>
                <w:sz w:val="24"/>
                <w:szCs w:val="24"/>
                <w:highlight w:val="none"/>
              </w:rPr>
            </w:pPr>
            <w:r>
              <w:rPr>
                <w:rFonts w:ascii="Times New Roman" w:hAnsi="宋体"/>
                <w:color w:val="auto"/>
                <w:kern w:val="0"/>
                <w:sz w:val="24"/>
                <w:szCs w:val="24"/>
                <w:highlight w:val="none"/>
              </w:rPr>
              <w:t>专项评价设置情况</w:t>
            </w:r>
          </w:p>
        </w:tc>
        <w:tc>
          <w:tcPr>
            <w:tcW w:w="7788" w:type="dxa"/>
            <w:gridSpan w:val="3"/>
            <w:noWrap w:val="0"/>
            <w:vAlign w:val="center"/>
          </w:tcPr>
          <w:p w14:paraId="6BF03346">
            <w:pPr>
              <w:autoSpaceDE w:val="0"/>
              <w:autoSpaceDN w:val="0"/>
              <w:adjustRightInd w:val="0"/>
              <w:spacing w:line="360" w:lineRule="auto"/>
              <w:jc w:val="left"/>
              <w:rPr>
                <w:rFonts w:cs="宋体"/>
                <w:color w:val="auto"/>
                <w:sz w:val="24"/>
                <w:highlight w:val="none"/>
              </w:rPr>
            </w:pPr>
            <w:r>
              <w:rPr>
                <w:rFonts w:cs="宋体"/>
                <w:color w:val="auto"/>
                <w:sz w:val="24"/>
                <w:highlight w:val="none"/>
              </w:rPr>
              <w:t>无</w:t>
            </w:r>
            <w:r>
              <w:rPr>
                <w:rFonts w:hint="eastAsia" w:cs="宋体"/>
                <w:color w:val="auto"/>
                <w:sz w:val="24"/>
                <w:highlight w:val="none"/>
              </w:rPr>
              <w:t>，</w:t>
            </w:r>
            <w:r>
              <w:rPr>
                <w:rFonts w:cs="宋体"/>
                <w:color w:val="auto"/>
                <w:sz w:val="24"/>
                <w:highlight w:val="none"/>
              </w:rPr>
              <w:t>判定依据具体详见下表</w:t>
            </w:r>
            <w:r>
              <w:rPr>
                <w:rFonts w:hint="eastAsia" w:cs="宋体"/>
                <w:color w:val="auto"/>
                <w:sz w:val="24"/>
                <w:highlight w:val="none"/>
              </w:rPr>
              <w:t>：</w:t>
            </w:r>
          </w:p>
          <w:p w14:paraId="5F4E4907">
            <w:pPr>
              <w:autoSpaceDE w:val="0"/>
              <w:autoSpaceDN w:val="0"/>
              <w:adjustRightInd w:val="0"/>
              <w:snapToGrid w:val="0"/>
              <w:spacing w:line="360" w:lineRule="auto"/>
              <w:jc w:val="center"/>
              <w:rPr>
                <w:rFonts w:ascii="Times New Roman" w:hAnsi="Times New Roman" w:eastAsia="黑体"/>
                <w:color w:val="auto"/>
                <w:sz w:val="24"/>
                <w:highlight w:val="none"/>
              </w:rPr>
            </w:pPr>
            <w:r>
              <w:rPr>
                <w:rFonts w:ascii="Times New Roman" w:hAnsi="Times New Roman" w:eastAsia="黑体"/>
                <w:color w:val="auto"/>
                <w:sz w:val="24"/>
                <w:highlight w:val="none"/>
              </w:rPr>
              <w:t>表1-1  专项评价设置原则表</w:t>
            </w:r>
          </w:p>
          <w:tbl>
            <w:tblPr>
              <w:tblStyle w:val="20"/>
              <w:tblW w:w="5000"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83"/>
              <w:gridCol w:w="2339"/>
              <w:gridCol w:w="2672"/>
              <w:gridCol w:w="1178"/>
            </w:tblGrid>
            <w:tr w14:paraId="0A3169C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3" w:type="pct"/>
                  <w:noWrap w:val="0"/>
                  <w:vAlign w:val="center"/>
                </w:tcPr>
                <w:p w14:paraId="1494F99E">
                  <w:pPr>
                    <w:autoSpaceDE w:val="0"/>
                    <w:autoSpaceDN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专项评价类别</w:t>
                  </w:r>
                </w:p>
              </w:tc>
              <w:tc>
                <w:tcPr>
                  <w:tcW w:w="1544" w:type="pct"/>
                  <w:noWrap w:val="0"/>
                  <w:vAlign w:val="center"/>
                </w:tcPr>
                <w:p w14:paraId="64EF6351">
                  <w:pPr>
                    <w:autoSpaceDE w:val="0"/>
                    <w:autoSpaceDN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设置原则</w:t>
                  </w:r>
                </w:p>
              </w:tc>
              <w:tc>
                <w:tcPr>
                  <w:tcW w:w="1764" w:type="pct"/>
                  <w:noWrap w:val="0"/>
                  <w:vAlign w:val="center"/>
                </w:tcPr>
                <w:p w14:paraId="2449CA08">
                  <w:pPr>
                    <w:autoSpaceDE w:val="0"/>
                    <w:autoSpaceDN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本项目</w:t>
                  </w:r>
                  <w:r>
                    <w:rPr>
                      <w:rFonts w:hint="eastAsia" w:ascii="Times New Roman" w:hAnsi="Times New Roman"/>
                      <w:b/>
                      <w:color w:val="auto"/>
                      <w:szCs w:val="21"/>
                      <w:highlight w:val="none"/>
                    </w:rPr>
                    <w:t>情况</w:t>
                  </w:r>
                </w:p>
              </w:tc>
              <w:tc>
                <w:tcPr>
                  <w:tcW w:w="777" w:type="pct"/>
                  <w:noWrap w:val="0"/>
                  <w:vAlign w:val="center"/>
                </w:tcPr>
                <w:p w14:paraId="10959CE5">
                  <w:pPr>
                    <w:autoSpaceDE w:val="0"/>
                    <w:autoSpaceDN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是否设置专项评价</w:t>
                  </w:r>
                </w:p>
              </w:tc>
            </w:tr>
            <w:tr w14:paraId="306DA4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3" w:type="pct"/>
                  <w:noWrap w:val="0"/>
                  <w:vAlign w:val="center"/>
                </w:tcPr>
                <w:p w14:paraId="1E8D912C">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大气</w:t>
                  </w:r>
                </w:p>
              </w:tc>
              <w:tc>
                <w:tcPr>
                  <w:tcW w:w="1544" w:type="pct"/>
                  <w:noWrap w:val="0"/>
                  <w:vAlign w:val="center"/>
                </w:tcPr>
                <w:p w14:paraId="09F13FAC">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排放废气含有毒有害污染物、二噁英、苯并[a]芘、氰化物、氯气且厂界外500米范围内有环境空气保护目标的建设项目</w:t>
                  </w:r>
                </w:p>
              </w:tc>
              <w:tc>
                <w:tcPr>
                  <w:tcW w:w="1764" w:type="pct"/>
                  <w:noWrap w:val="0"/>
                  <w:vAlign w:val="center"/>
                </w:tcPr>
                <w:p w14:paraId="07932F46">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kern w:val="0"/>
                      <w:szCs w:val="21"/>
                      <w:highlight w:val="none"/>
                    </w:rPr>
                    <w:t>本项目排放废气主要为</w:t>
                  </w:r>
                  <w:r>
                    <w:rPr>
                      <w:rFonts w:hint="eastAsia" w:ascii="Times New Roman" w:hAnsi="Times New Roman"/>
                      <w:color w:val="auto"/>
                      <w:kern w:val="0"/>
                      <w:szCs w:val="21"/>
                      <w:highlight w:val="none"/>
                    </w:rPr>
                    <w:t>非甲烷总烃</w:t>
                  </w:r>
                  <w:r>
                    <w:rPr>
                      <w:rFonts w:ascii="Times New Roman" w:hAnsi="Times New Roman"/>
                      <w:color w:val="auto"/>
                      <w:szCs w:val="21"/>
                      <w:highlight w:val="none"/>
                    </w:rPr>
                    <w:t>，不属于二噁英、苯并[a]芘、氰化物、氯气以及《有毒有害大气污染物名录》中的有毒有害污染物</w:t>
                  </w:r>
                </w:p>
              </w:tc>
              <w:tc>
                <w:tcPr>
                  <w:tcW w:w="777" w:type="pct"/>
                  <w:noWrap w:val="0"/>
                  <w:vAlign w:val="center"/>
                </w:tcPr>
                <w:p w14:paraId="2D9D1481">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否</w:t>
                  </w:r>
                </w:p>
              </w:tc>
            </w:tr>
            <w:tr w14:paraId="4367E22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3" w:type="pct"/>
                  <w:noWrap w:val="0"/>
                  <w:vAlign w:val="center"/>
                </w:tcPr>
                <w:p w14:paraId="0F50EBB6">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地表水</w:t>
                  </w:r>
                </w:p>
              </w:tc>
              <w:tc>
                <w:tcPr>
                  <w:tcW w:w="1544" w:type="pct"/>
                  <w:noWrap w:val="0"/>
                  <w:vAlign w:val="center"/>
                </w:tcPr>
                <w:p w14:paraId="4C263213">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新增工业废水直排建设项目（槽罐车外送污水处理厂的除外）；新增废水直排的污水集中处理厂</w:t>
                  </w:r>
                </w:p>
              </w:tc>
              <w:tc>
                <w:tcPr>
                  <w:tcW w:w="1764" w:type="pct"/>
                  <w:noWrap w:val="0"/>
                  <w:vAlign w:val="center"/>
                </w:tcPr>
                <w:p w14:paraId="0D211270">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rPr>
                    <w:t>生产</w:t>
                  </w:r>
                  <w:r>
                    <w:rPr>
                      <w:rFonts w:hint="eastAsia" w:ascii="Times New Roman" w:hAnsi="Times New Roman" w:eastAsia="宋体" w:cs="Times New Roman"/>
                      <w:color w:val="auto"/>
                      <w:szCs w:val="21"/>
                      <w:highlight w:val="none"/>
                      <w:lang w:val="en-US" w:eastAsia="zh-CN"/>
                    </w:rPr>
                    <w:t>废水经处理后全部回用，</w:t>
                  </w:r>
                  <w:r>
                    <w:rPr>
                      <w:rFonts w:hint="eastAsia" w:ascii="Times New Roman" w:hAnsi="Times New Roman"/>
                      <w:color w:val="auto"/>
                      <w:szCs w:val="21"/>
                      <w:highlight w:val="none"/>
                    </w:rPr>
                    <w:t>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不属于新增工业废水直排项目</w:t>
                  </w:r>
                </w:p>
              </w:tc>
              <w:tc>
                <w:tcPr>
                  <w:tcW w:w="777" w:type="pct"/>
                  <w:noWrap w:val="0"/>
                  <w:vAlign w:val="center"/>
                </w:tcPr>
                <w:p w14:paraId="7E145A0D">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否</w:t>
                  </w:r>
                </w:p>
              </w:tc>
            </w:tr>
            <w:tr w14:paraId="0A09720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3" w:type="pct"/>
                  <w:noWrap w:val="0"/>
                  <w:vAlign w:val="center"/>
                </w:tcPr>
                <w:p w14:paraId="1271C895">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环境风险</w:t>
                  </w:r>
                </w:p>
              </w:tc>
              <w:tc>
                <w:tcPr>
                  <w:tcW w:w="1544" w:type="pct"/>
                  <w:noWrap w:val="0"/>
                  <w:vAlign w:val="center"/>
                </w:tcPr>
                <w:p w14:paraId="4B36BB06">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有毒有害和易燃易爆危险物质存储量超过临界量的建设项目</w:t>
                  </w:r>
                </w:p>
              </w:tc>
              <w:tc>
                <w:tcPr>
                  <w:tcW w:w="1764" w:type="pct"/>
                  <w:noWrap w:val="0"/>
                  <w:vAlign w:val="center"/>
                </w:tcPr>
                <w:p w14:paraId="515DB865">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本项目危险物质储存量未超过临界值</w:t>
                  </w:r>
                </w:p>
              </w:tc>
              <w:tc>
                <w:tcPr>
                  <w:tcW w:w="777" w:type="pct"/>
                  <w:noWrap w:val="0"/>
                  <w:vAlign w:val="center"/>
                </w:tcPr>
                <w:p w14:paraId="6722A993">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否</w:t>
                  </w:r>
                </w:p>
              </w:tc>
            </w:tr>
            <w:tr w14:paraId="597E4B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3" w:type="pct"/>
                  <w:noWrap w:val="0"/>
                  <w:vAlign w:val="center"/>
                </w:tcPr>
                <w:p w14:paraId="117E8F5B">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生态</w:t>
                  </w:r>
                </w:p>
              </w:tc>
              <w:tc>
                <w:tcPr>
                  <w:tcW w:w="1544" w:type="pct"/>
                  <w:noWrap w:val="0"/>
                  <w:vAlign w:val="center"/>
                </w:tcPr>
                <w:p w14:paraId="1D752FED">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取水口下游500米范围内有重要水生生物的自然产卵场、索饵场、越冬场和洄游通道的新增河道取水的污染类建设项目</w:t>
                  </w:r>
                </w:p>
              </w:tc>
              <w:tc>
                <w:tcPr>
                  <w:tcW w:w="1764" w:type="pct"/>
                  <w:noWrap w:val="0"/>
                  <w:vAlign w:val="center"/>
                </w:tcPr>
                <w:p w14:paraId="01B3E370">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不涉及</w:t>
                  </w:r>
                </w:p>
              </w:tc>
              <w:tc>
                <w:tcPr>
                  <w:tcW w:w="777" w:type="pct"/>
                  <w:noWrap w:val="0"/>
                  <w:vAlign w:val="center"/>
                </w:tcPr>
                <w:p w14:paraId="63838822">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否</w:t>
                  </w:r>
                </w:p>
              </w:tc>
            </w:tr>
            <w:tr w14:paraId="23ED27D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3" w:type="pct"/>
                  <w:noWrap w:val="0"/>
                  <w:vAlign w:val="center"/>
                </w:tcPr>
                <w:p w14:paraId="27664ACF">
                  <w:pPr>
                    <w:autoSpaceDE w:val="0"/>
                    <w:autoSpaceDN w:val="0"/>
                    <w:snapToGrid w:val="0"/>
                    <w:spacing w:line="276" w:lineRule="auto"/>
                    <w:jc w:val="center"/>
                    <w:rPr>
                      <w:rFonts w:ascii="Times New Roman" w:hAnsi="Times New Roman"/>
                      <w:color w:val="auto"/>
                      <w:szCs w:val="21"/>
                      <w:highlight w:val="none"/>
                      <w:lang w:eastAsia="en-US"/>
                    </w:rPr>
                  </w:pPr>
                  <w:r>
                    <w:rPr>
                      <w:rFonts w:ascii="Times New Roman" w:hAnsi="Times New Roman"/>
                      <w:color w:val="auto"/>
                      <w:szCs w:val="21"/>
                      <w:highlight w:val="none"/>
                    </w:rPr>
                    <w:t>海洋</w:t>
                  </w:r>
                </w:p>
              </w:tc>
              <w:tc>
                <w:tcPr>
                  <w:tcW w:w="1544" w:type="pct"/>
                  <w:noWrap w:val="0"/>
                  <w:vAlign w:val="center"/>
                </w:tcPr>
                <w:p w14:paraId="70448D85">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直接向海排放污染物的海洋工程建设项目</w:t>
                  </w:r>
                </w:p>
              </w:tc>
              <w:tc>
                <w:tcPr>
                  <w:tcW w:w="1764" w:type="pct"/>
                  <w:noWrap w:val="0"/>
                  <w:vAlign w:val="center"/>
                </w:tcPr>
                <w:p w14:paraId="60FAF5E0">
                  <w:pPr>
                    <w:autoSpaceDE w:val="0"/>
                    <w:autoSpaceDN w:val="0"/>
                    <w:snapToGrid w:val="0"/>
                    <w:spacing w:line="276" w:lineRule="auto"/>
                    <w:jc w:val="center"/>
                    <w:rPr>
                      <w:rFonts w:ascii="Times New Roman" w:hAnsi="Times New Roman"/>
                      <w:b/>
                      <w:color w:val="auto"/>
                      <w:szCs w:val="21"/>
                      <w:highlight w:val="none"/>
                    </w:rPr>
                  </w:pPr>
                  <w:r>
                    <w:rPr>
                      <w:rFonts w:ascii="Times New Roman" w:hAnsi="Times New Roman"/>
                      <w:color w:val="auto"/>
                      <w:szCs w:val="21"/>
                      <w:highlight w:val="none"/>
                    </w:rPr>
                    <w:t>不涉及</w:t>
                  </w:r>
                </w:p>
              </w:tc>
              <w:tc>
                <w:tcPr>
                  <w:tcW w:w="777" w:type="pct"/>
                  <w:noWrap w:val="0"/>
                  <w:vAlign w:val="center"/>
                </w:tcPr>
                <w:p w14:paraId="5BBDC518">
                  <w:pPr>
                    <w:autoSpaceDE w:val="0"/>
                    <w:autoSpaceDN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否</w:t>
                  </w:r>
                </w:p>
              </w:tc>
            </w:tr>
          </w:tbl>
          <w:p w14:paraId="32AE2D2B">
            <w:pPr>
              <w:autoSpaceDE w:val="0"/>
              <w:autoSpaceDN w:val="0"/>
              <w:snapToGrid w:val="0"/>
              <w:spacing w:line="276" w:lineRule="auto"/>
              <w:ind w:firstLine="472"/>
              <w:jc w:val="center"/>
              <w:rPr>
                <w:rFonts w:ascii="Times New Roman" w:hAnsi="Times New Roman"/>
                <w:color w:val="auto"/>
                <w:spacing w:val="-2"/>
                <w:kern w:val="0"/>
                <w:sz w:val="24"/>
                <w:szCs w:val="24"/>
                <w:highlight w:val="none"/>
              </w:rPr>
            </w:pPr>
          </w:p>
        </w:tc>
      </w:tr>
      <w:tr w14:paraId="16A52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noWrap w:val="0"/>
            <w:vAlign w:val="center"/>
          </w:tcPr>
          <w:p w14:paraId="0D131C3F">
            <w:pPr>
              <w:autoSpaceDE w:val="0"/>
              <w:autoSpaceDN w:val="0"/>
              <w:snapToGrid w:val="0"/>
              <w:spacing w:line="276" w:lineRule="auto"/>
              <w:jc w:val="center"/>
              <w:rPr>
                <w:rFonts w:ascii="Times New Roman" w:hAnsi="宋体"/>
                <w:color w:val="auto"/>
                <w:sz w:val="24"/>
                <w:szCs w:val="24"/>
                <w:highlight w:val="none"/>
              </w:rPr>
            </w:pPr>
            <w:r>
              <w:rPr>
                <w:rFonts w:ascii="Times New Roman" w:hAnsi="宋体"/>
                <w:color w:val="auto"/>
                <w:sz w:val="24"/>
                <w:szCs w:val="24"/>
                <w:highlight w:val="none"/>
              </w:rPr>
              <w:t>规划</w:t>
            </w:r>
          </w:p>
          <w:p w14:paraId="4F7AB785">
            <w:pPr>
              <w:autoSpaceDE w:val="0"/>
              <w:autoSpaceDN w:val="0"/>
              <w:snapToGrid w:val="0"/>
              <w:spacing w:line="276" w:lineRule="auto"/>
              <w:jc w:val="center"/>
              <w:rPr>
                <w:rFonts w:ascii="Times New Roman" w:hAnsi="Times New Roman"/>
                <w:color w:val="auto"/>
                <w:kern w:val="0"/>
                <w:sz w:val="24"/>
                <w:szCs w:val="24"/>
                <w:highlight w:val="none"/>
              </w:rPr>
            </w:pPr>
            <w:r>
              <w:rPr>
                <w:rFonts w:ascii="Times New Roman" w:hAnsi="宋体"/>
                <w:color w:val="auto"/>
                <w:sz w:val="24"/>
                <w:szCs w:val="24"/>
                <w:highlight w:val="none"/>
              </w:rPr>
              <w:t>情况</w:t>
            </w:r>
          </w:p>
        </w:tc>
        <w:tc>
          <w:tcPr>
            <w:tcW w:w="7788" w:type="dxa"/>
            <w:gridSpan w:val="3"/>
            <w:noWrap w:val="0"/>
            <w:vAlign w:val="top"/>
          </w:tcPr>
          <w:p w14:paraId="48733C29">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规划</w:t>
            </w:r>
            <w:r>
              <w:rPr>
                <w:rFonts w:hint="eastAsia" w:ascii="Times New Roman" w:hAnsi="Times New Roman" w:cs="Times New Roman"/>
                <w:bCs/>
                <w:color w:val="auto"/>
                <w:sz w:val="24"/>
                <w:highlight w:val="none"/>
                <w:lang w:val="en-US" w:eastAsia="zh-CN"/>
              </w:rPr>
              <w:t>名称</w:t>
            </w:r>
            <w:r>
              <w:rPr>
                <w:rFonts w:hint="default" w:ascii="Times New Roman" w:hAnsi="Times New Roman" w:cs="Times New Roman"/>
                <w:bCs/>
                <w:color w:val="auto"/>
                <w:sz w:val="24"/>
                <w:highlight w:val="none"/>
              </w:rPr>
              <w:t>：《凤台县城区A09-01-01、A09-01-02地块控制性详细规划》</w:t>
            </w:r>
          </w:p>
          <w:p w14:paraId="0A73CCCB">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审批单位：凤台自然资源和规划局</w:t>
            </w:r>
          </w:p>
          <w:p w14:paraId="25947122">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规划名称：《凤台县（含毛集实验区）国土空间总体规划（2021-2035年）》</w:t>
            </w:r>
          </w:p>
          <w:p w14:paraId="0FFD5208">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审批机关：淮南市人民政府</w:t>
            </w:r>
          </w:p>
          <w:p w14:paraId="370E690D">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审批文件及文号：淮南市人民政府关于《凤台县（含毛集实验区）国土空间总体规划（2021-2035年）》的批复</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淮府秘〔2024〕50号</w:t>
            </w:r>
            <w:r>
              <w:rPr>
                <w:rFonts w:hint="default" w:ascii="Times New Roman" w:hAnsi="Times New Roman" w:cs="Times New Roman"/>
                <w:bCs/>
                <w:color w:val="auto"/>
                <w:highlight w:val="none"/>
                <w:lang w:eastAsia="zh-CN"/>
              </w:rPr>
              <w:t>）</w:t>
            </w:r>
          </w:p>
          <w:p w14:paraId="193BFEA0">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规划名称：《安徽凤台经济开发区总体发展规划（2024-2035年）（调区）》</w:t>
            </w:r>
          </w:p>
          <w:p w14:paraId="033CA76F">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审批机关：安徽省人民政府</w:t>
            </w:r>
          </w:p>
          <w:p w14:paraId="120DA26C">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审批文件及文号：安徽省人民政府关于同意安徽肥西经济开发区等调（扩）区的批复（皖政秘〔2025〕29号）</w:t>
            </w:r>
          </w:p>
        </w:tc>
      </w:tr>
      <w:tr w14:paraId="70727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noWrap w:val="0"/>
            <w:vAlign w:val="center"/>
          </w:tcPr>
          <w:p w14:paraId="551D8C2C">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规划环境影响</w:t>
            </w:r>
          </w:p>
          <w:p w14:paraId="60826F56">
            <w:pPr>
              <w:snapToGrid w:val="0"/>
              <w:spacing w:line="276" w:lineRule="auto"/>
              <w:jc w:val="center"/>
              <w:rPr>
                <w:rFonts w:ascii="Times New Roman" w:hAnsi="Times New Roman"/>
                <w:color w:val="auto"/>
                <w:kern w:val="0"/>
                <w:sz w:val="24"/>
                <w:szCs w:val="24"/>
                <w:highlight w:val="none"/>
              </w:rPr>
            </w:pPr>
            <w:r>
              <w:rPr>
                <w:rFonts w:ascii="Times New Roman" w:hAnsi="宋体"/>
                <w:color w:val="auto"/>
                <w:sz w:val="24"/>
                <w:szCs w:val="24"/>
                <w:highlight w:val="none"/>
              </w:rPr>
              <w:t>评价情况</w:t>
            </w:r>
          </w:p>
        </w:tc>
        <w:tc>
          <w:tcPr>
            <w:tcW w:w="7788" w:type="dxa"/>
            <w:gridSpan w:val="3"/>
            <w:noWrap w:val="0"/>
            <w:vAlign w:val="top"/>
          </w:tcPr>
          <w:p w14:paraId="6681FBE6">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规划环评文件：《安徽凤台经济开发区总体发展规划（2024-2035年）（调区）环境影响报告书》</w:t>
            </w:r>
          </w:p>
          <w:p w14:paraId="76C5CBE1">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审批机关：安徽省生态环境厅</w:t>
            </w:r>
          </w:p>
          <w:p w14:paraId="7CBA9F12">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规划审批文件名称：安徽省生态环境厅关于印送《安徽凤台经济开发区总体发展规划（2024-2035年）（调区）环境影响报告书审查意见》的函</w:t>
            </w:r>
          </w:p>
          <w:p w14:paraId="646ED0B9">
            <w:pPr>
              <w:pStyle w:val="42"/>
              <w:keepNext w:val="0"/>
              <w:keepLines w:val="0"/>
              <w:pageBreakBefore w:val="0"/>
              <w:widowControl w:val="0"/>
              <w:kinsoku/>
              <w:wordWrap/>
              <w:overflowPunct/>
              <w:topLinePunct w:val="0"/>
              <w:bidi w:val="0"/>
              <w:adjustRightInd w:val="0"/>
              <w:snapToGrid w:val="0"/>
              <w:ind w:firstLine="0" w:firstLineChars="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审批文号：皖环函[2024]1008号</w:t>
            </w:r>
          </w:p>
        </w:tc>
      </w:tr>
      <w:tr w14:paraId="02502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noWrap w:val="0"/>
            <w:vAlign w:val="center"/>
          </w:tcPr>
          <w:p w14:paraId="518BB82B">
            <w:pPr>
              <w:autoSpaceDE w:val="0"/>
              <w:autoSpaceDN w:val="0"/>
              <w:snapToGrid w:val="0"/>
              <w:spacing w:line="276" w:lineRule="auto"/>
              <w:jc w:val="center"/>
              <w:rPr>
                <w:rFonts w:ascii="Times New Roman" w:hAnsi="Times New Roman"/>
                <w:color w:val="auto"/>
                <w:kern w:val="0"/>
                <w:sz w:val="24"/>
                <w:szCs w:val="24"/>
                <w:highlight w:val="none"/>
              </w:rPr>
            </w:pPr>
            <w:r>
              <w:rPr>
                <w:rFonts w:ascii="Times New Roman" w:hAnsi="宋体"/>
                <w:color w:val="auto"/>
                <w:kern w:val="0"/>
                <w:sz w:val="24"/>
                <w:szCs w:val="24"/>
                <w:highlight w:val="none"/>
              </w:rPr>
              <w:t>规划及规划环境影响评价符合性分析</w:t>
            </w:r>
          </w:p>
        </w:tc>
        <w:tc>
          <w:tcPr>
            <w:tcW w:w="7788" w:type="dxa"/>
            <w:gridSpan w:val="3"/>
            <w:noWrap w:val="0"/>
            <w:vAlign w:val="center"/>
          </w:tcPr>
          <w:p w14:paraId="70C0248D">
            <w:pPr>
              <w:keepNext w:val="0"/>
              <w:keepLines w:val="0"/>
              <w:suppressLineNumbers w:val="0"/>
              <w:spacing w:before="0" w:beforeAutospacing="0" w:after="0" w:afterAutospacing="0" w:line="360" w:lineRule="auto"/>
              <w:ind w:left="0" w:right="0" w:firstLine="482" w:firstLineChars="200"/>
              <w:rPr>
                <w:rFonts w:hint="default" w:ascii="Times New Roman" w:hAnsi="Times New Roman"/>
                <w:b/>
                <w:bCs/>
                <w:color w:val="auto"/>
                <w:sz w:val="24"/>
                <w:szCs w:val="24"/>
                <w:highlight w:val="none"/>
              </w:rPr>
            </w:pPr>
            <w:r>
              <w:rPr>
                <w:rFonts w:hint="eastAsia" w:ascii="Times New Roman" w:hAnsi="Times New Roman"/>
                <w:b/>
                <w:bCs/>
                <w:color w:val="auto"/>
                <w:sz w:val="24"/>
                <w:szCs w:val="24"/>
                <w:highlight w:val="none"/>
              </w:rPr>
              <w:t>1</w:t>
            </w:r>
            <w:r>
              <w:rPr>
                <w:rFonts w:hint="eastAsia" w:ascii="Times New Roman" w:hAnsi="Times New Roman"/>
                <w:b/>
                <w:bCs/>
                <w:color w:val="auto"/>
                <w:sz w:val="24"/>
                <w:szCs w:val="24"/>
                <w:highlight w:val="none"/>
                <w:lang w:val="en-US" w:eastAsia="zh-CN"/>
              </w:rPr>
              <w:t>.</w:t>
            </w:r>
            <w:r>
              <w:rPr>
                <w:rFonts w:hint="eastAsia" w:ascii="Times New Roman" w:hAnsi="Times New Roman"/>
                <w:b/>
                <w:bCs/>
                <w:color w:val="auto"/>
                <w:sz w:val="24"/>
                <w:szCs w:val="24"/>
                <w:highlight w:val="none"/>
              </w:rPr>
              <w:t>与《凤台县（含毛集实验区）国土空间总体规划（2021-2035年）》符合性分析</w:t>
            </w:r>
          </w:p>
          <w:p w14:paraId="289C3A6E">
            <w:pPr>
              <w:keepNext w:val="0"/>
              <w:keepLines w:val="0"/>
              <w:suppressLineNumbers w:val="0"/>
              <w:spacing w:before="0" w:beforeAutospacing="0" w:after="0" w:afterAutospacing="0" w:line="360" w:lineRule="auto"/>
              <w:ind w:left="0" w:right="0" w:firstLine="480" w:firstLineChars="200"/>
              <w:jc w:val="center"/>
              <w:rPr>
                <w:rFonts w:hint="default" w:ascii="Times New Roman" w:hAnsi="黑体" w:eastAsia="黑体"/>
                <w:color w:val="auto"/>
                <w:sz w:val="24"/>
                <w:szCs w:val="24"/>
                <w:highlight w:val="none"/>
              </w:rPr>
            </w:pPr>
            <w:r>
              <w:rPr>
                <w:rFonts w:hint="default" w:ascii="Times New Roman" w:hAnsi="黑体" w:eastAsia="黑体"/>
                <w:color w:val="auto"/>
                <w:sz w:val="24"/>
                <w:szCs w:val="24"/>
                <w:highlight w:val="none"/>
              </w:rPr>
              <w:t>表</w:t>
            </w:r>
            <w:r>
              <w:rPr>
                <w:rFonts w:hint="default" w:ascii="Times New Roman" w:hAnsi="Times New Roman" w:eastAsia="黑体"/>
                <w:color w:val="auto"/>
                <w:sz w:val="24"/>
                <w:szCs w:val="24"/>
                <w:highlight w:val="none"/>
              </w:rPr>
              <w:t>1-</w:t>
            </w:r>
            <w:r>
              <w:rPr>
                <w:rFonts w:hint="eastAsia" w:ascii="Times New Roman" w:hAnsi="Times New Roman" w:eastAsia="黑体"/>
                <w:color w:val="auto"/>
                <w:sz w:val="24"/>
                <w:szCs w:val="24"/>
                <w:highlight w:val="none"/>
              </w:rPr>
              <w:t xml:space="preserve">2  </w:t>
            </w:r>
            <w:r>
              <w:rPr>
                <w:rFonts w:hint="default" w:ascii="Times New Roman" w:hAnsi="黑体" w:eastAsia="黑体"/>
                <w:color w:val="auto"/>
                <w:sz w:val="24"/>
                <w:szCs w:val="24"/>
                <w:highlight w:val="none"/>
              </w:rPr>
              <w:t>与规划</w:t>
            </w:r>
            <w:r>
              <w:rPr>
                <w:rFonts w:hint="eastAsia" w:ascii="Times New Roman" w:hAnsi="黑体" w:eastAsia="黑体"/>
                <w:color w:val="auto"/>
                <w:sz w:val="24"/>
                <w:szCs w:val="24"/>
                <w:highlight w:val="none"/>
              </w:rPr>
              <w:t>符合</w:t>
            </w:r>
            <w:r>
              <w:rPr>
                <w:rFonts w:hint="default" w:ascii="Times New Roman" w:hAnsi="黑体" w:eastAsia="黑体"/>
                <w:color w:val="auto"/>
                <w:sz w:val="24"/>
                <w:szCs w:val="24"/>
                <w:highlight w:val="none"/>
              </w:rPr>
              <w:t>性分析一览表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3106"/>
              <w:gridCol w:w="2613"/>
              <w:gridCol w:w="1009"/>
            </w:tblGrid>
            <w:tr w14:paraId="1986D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pct"/>
                  <w:noWrap w:val="0"/>
                  <w:vAlign w:val="center"/>
                </w:tcPr>
                <w:p w14:paraId="5FF56D50">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b/>
                      <w:color w:val="auto"/>
                      <w:sz w:val="21"/>
                      <w:szCs w:val="21"/>
                      <w:highlight w:val="none"/>
                    </w:rPr>
                  </w:pPr>
                  <w:r>
                    <w:rPr>
                      <w:rFonts w:hint="default" w:ascii="Times New Roman" w:hAnsi="Times New Roman"/>
                      <w:b/>
                      <w:color w:val="auto"/>
                      <w:sz w:val="21"/>
                      <w:szCs w:val="21"/>
                      <w:highlight w:val="none"/>
                    </w:rPr>
                    <w:t>序号</w:t>
                  </w:r>
                </w:p>
              </w:tc>
              <w:tc>
                <w:tcPr>
                  <w:tcW w:w="2050" w:type="pct"/>
                  <w:noWrap w:val="0"/>
                  <w:vAlign w:val="center"/>
                </w:tcPr>
                <w:p w14:paraId="338AB1A6">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b/>
                      <w:color w:val="auto"/>
                      <w:sz w:val="21"/>
                      <w:szCs w:val="21"/>
                      <w:highlight w:val="none"/>
                    </w:rPr>
                  </w:pPr>
                  <w:r>
                    <w:rPr>
                      <w:rFonts w:hint="default" w:ascii="Times New Roman" w:hAnsi="Times New Roman"/>
                      <w:b/>
                      <w:color w:val="auto"/>
                      <w:sz w:val="21"/>
                      <w:szCs w:val="21"/>
                      <w:highlight w:val="none"/>
                    </w:rPr>
                    <w:t>相关要求</w:t>
                  </w:r>
                </w:p>
              </w:tc>
              <w:tc>
                <w:tcPr>
                  <w:tcW w:w="1725" w:type="pct"/>
                  <w:noWrap w:val="0"/>
                  <w:vAlign w:val="center"/>
                </w:tcPr>
                <w:p w14:paraId="363BC450">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b/>
                      <w:color w:val="auto"/>
                      <w:sz w:val="21"/>
                      <w:szCs w:val="21"/>
                      <w:highlight w:val="none"/>
                    </w:rPr>
                  </w:pPr>
                  <w:r>
                    <w:rPr>
                      <w:rFonts w:hint="default" w:ascii="Times New Roman" w:hAnsi="Times New Roman"/>
                      <w:b/>
                      <w:color w:val="auto"/>
                      <w:sz w:val="21"/>
                      <w:szCs w:val="21"/>
                      <w:highlight w:val="none"/>
                    </w:rPr>
                    <w:t>本项目情况</w:t>
                  </w:r>
                </w:p>
              </w:tc>
              <w:tc>
                <w:tcPr>
                  <w:tcW w:w="666" w:type="pct"/>
                  <w:noWrap w:val="0"/>
                  <w:vAlign w:val="center"/>
                </w:tcPr>
                <w:p w14:paraId="389A356A">
                  <w:pPr>
                    <w:pStyle w:val="52"/>
                    <w:keepNext w:val="0"/>
                    <w:keepLines w:val="0"/>
                    <w:pageBreakBefore w:val="0"/>
                    <w:widowControl w:val="0"/>
                    <w:suppressLineNumbers w:val="0"/>
                    <w:kinsoku/>
                    <w:wordWrap/>
                    <w:overflowPunct/>
                    <w:topLinePunct w:val="0"/>
                    <w:autoSpaceDE/>
                    <w:autoSpaceDN/>
                    <w:bidi w:val="0"/>
                    <w:spacing w:before="0" w:beforeAutospacing="0" w:after="0" w:afterAutospacing="0" w:line="276" w:lineRule="auto"/>
                    <w:ind w:left="0" w:right="0"/>
                    <w:textAlignment w:val="auto"/>
                    <w:rPr>
                      <w:rFonts w:hint="default" w:ascii="Times New Roman"/>
                      <w:b/>
                      <w:color w:val="auto"/>
                      <w:sz w:val="21"/>
                      <w:szCs w:val="21"/>
                      <w:highlight w:val="none"/>
                      <w:lang w:val="en-US" w:eastAsia="zh-CN"/>
                    </w:rPr>
                  </w:pPr>
                  <w:r>
                    <w:rPr>
                      <w:rFonts w:hint="eastAsia" w:ascii="Times New Roman"/>
                      <w:b/>
                      <w:bCs/>
                      <w:color w:val="auto"/>
                      <w:sz w:val="21"/>
                      <w:szCs w:val="21"/>
                      <w:highlight w:val="none"/>
                      <w:lang w:val="en-US" w:eastAsia="zh-CN"/>
                    </w:rPr>
                    <w:t>符合</w:t>
                  </w:r>
                  <w:r>
                    <w:rPr>
                      <w:rFonts w:hint="default" w:ascii="Times New Roman"/>
                      <w:b/>
                      <w:bCs/>
                      <w:color w:val="auto"/>
                      <w:sz w:val="21"/>
                      <w:szCs w:val="21"/>
                      <w:highlight w:val="none"/>
                      <w:lang w:val="en-US" w:eastAsia="zh-CN"/>
                    </w:rPr>
                    <w:t>性</w:t>
                  </w:r>
                </w:p>
              </w:tc>
            </w:tr>
            <w:tr w14:paraId="522DE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pct"/>
                  <w:noWrap w:val="0"/>
                  <w:vAlign w:val="center"/>
                </w:tcPr>
                <w:p w14:paraId="3E0B75D0">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2050" w:type="pct"/>
                  <w:noWrap w:val="0"/>
                  <w:vAlign w:val="center"/>
                </w:tcPr>
                <w:p w14:paraId="2E891F1A">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bCs/>
                      <w:color w:val="auto"/>
                      <w:sz w:val="21"/>
                      <w:szCs w:val="21"/>
                      <w:highlight w:val="none"/>
                    </w:rPr>
                  </w:pPr>
                  <w:r>
                    <w:rPr>
                      <w:rFonts w:hint="eastAsia" w:ascii="Times New Roman" w:hAnsi="Times New Roman"/>
                      <w:bCs/>
                      <w:color w:val="auto"/>
                      <w:sz w:val="21"/>
                      <w:szCs w:val="21"/>
                      <w:highlight w:val="none"/>
                    </w:rPr>
                    <w:t>构建</w:t>
                  </w:r>
                  <w:bookmarkStart w:id="1" w:name="OLE_LINK33"/>
                  <w:r>
                    <w:rPr>
                      <w:rFonts w:hint="eastAsia" w:ascii="Times New Roman" w:hAnsi="Times New Roman"/>
                      <w:bCs/>
                      <w:color w:val="auto"/>
                      <w:sz w:val="21"/>
                      <w:szCs w:val="21"/>
                      <w:highlight w:val="none"/>
                    </w:rPr>
                    <w:t>“一核两带四区”</w:t>
                  </w:r>
                  <w:bookmarkEnd w:id="1"/>
                  <w:r>
                    <w:rPr>
                      <w:rFonts w:hint="eastAsia" w:ascii="Times New Roman" w:hAnsi="Times New Roman"/>
                      <w:bCs/>
                      <w:color w:val="auto"/>
                      <w:sz w:val="21"/>
                      <w:szCs w:val="21"/>
                      <w:highlight w:val="none"/>
                    </w:rPr>
                    <w:t>的国土空间总体格局。落实淮南市“两带三区四中心”的国土空间总体格局，统筹国土空间安全与发展，按照生产空间集约高效、生活空间宜居适度、生态空间山清水秀的原则，坚持“底线安全，四区协同，轴带引领，组团递进”的布局理念，构建“一核两带四区”的县域国土空间开发保护总体格局。</w:t>
                  </w:r>
                </w:p>
              </w:tc>
              <w:tc>
                <w:tcPr>
                  <w:tcW w:w="1725" w:type="pct"/>
                  <w:vMerge w:val="restart"/>
                  <w:noWrap w:val="0"/>
                  <w:vAlign w:val="center"/>
                </w:tcPr>
                <w:p w14:paraId="669EDE3E">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eastAsia" w:ascii="Times New Roman" w:hAnsi="Times New Roman" w:eastAsia="宋体"/>
                      <w:bCs/>
                      <w:color w:val="auto"/>
                      <w:sz w:val="21"/>
                      <w:szCs w:val="21"/>
                      <w:highlight w:val="none"/>
                      <w:lang w:eastAsia="zh-CN"/>
                    </w:rPr>
                  </w:pPr>
                  <w:r>
                    <w:rPr>
                      <w:rFonts w:hint="default" w:ascii="Times New Roman" w:hAnsi="Times New Roman"/>
                      <w:bCs/>
                      <w:color w:val="auto"/>
                      <w:sz w:val="21"/>
                      <w:szCs w:val="21"/>
                      <w:highlight w:val="none"/>
                    </w:rPr>
                    <w:t>本项目</w:t>
                  </w:r>
                  <w:r>
                    <w:rPr>
                      <w:rFonts w:hint="eastAsia" w:ascii="Times New Roman" w:hAnsi="Times New Roman"/>
                      <w:bCs/>
                      <w:color w:val="auto"/>
                      <w:sz w:val="21"/>
                      <w:szCs w:val="21"/>
                      <w:highlight w:val="none"/>
                      <w:lang w:val="en-US" w:eastAsia="zh-CN"/>
                    </w:rPr>
                    <w:t>租赁</w:t>
                  </w:r>
                  <w:r>
                    <w:rPr>
                      <w:rFonts w:hint="eastAsia" w:ascii="Times New Roman" w:hAnsi="Times New Roman"/>
                      <w:bCs/>
                      <w:color w:val="auto"/>
                      <w:sz w:val="21"/>
                      <w:szCs w:val="21"/>
                      <w:highlight w:val="none"/>
                      <w:lang w:eastAsia="zh-CN"/>
                    </w:rPr>
                    <w:t>安徽省淮南市凤台经济开发区国晟（凤台）异质结双碳产业园内</w:t>
                  </w:r>
                  <w:r>
                    <w:rPr>
                      <w:rFonts w:hint="eastAsia" w:ascii="Times New Roman" w:hAnsi="Times New Roman"/>
                      <w:bCs/>
                      <w:color w:val="auto"/>
                      <w:sz w:val="21"/>
                      <w:szCs w:val="21"/>
                      <w:highlight w:val="none"/>
                      <w:lang w:val="en-US" w:eastAsia="zh-CN"/>
                    </w:rPr>
                    <w:t>进行建设</w:t>
                  </w:r>
                  <w:r>
                    <w:rPr>
                      <w:rFonts w:hint="default" w:ascii="Times New Roman" w:hAnsi="Times New Roman"/>
                      <w:bCs/>
                      <w:color w:val="auto"/>
                      <w:sz w:val="21"/>
                      <w:szCs w:val="21"/>
                      <w:highlight w:val="none"/>
                    </w:rPr>
                    <w:t>，</w:t>
                  </w:r>
                  <w:bookmarkStart w:id="2" w:name="OLE_LINK1"/>
                  <w:bookmarkStart w:id="3" w:name="OLE_LINK8"/>
                  <w:r>
                    <w:rPr>
                      <w:rFonts w:hint="default" w:ascii="Times New Roman" w:hAnsi="Times New Roman"/>
                      <w:bCs/>
                      <w:color w:val="auto"/>
                      <w:sz w:val="21"/>
                      <w:szCs w:val="21"/>
                      <w:highlight w:val="none"/>
                    </w:rPr>
                    <w:t>根据</w:t>
                  </w:r>
                  <w:bookmarkEnd w:id="2"/>
                  <w:bookmarkEnd w:id="3"/>
                  <w:r>
                    <w:rPr>
                      <w:rFonts w:hint="default" w:ascii="Times New Roman" w:hAnsi="Times New Roman"/>
                      <w:bCs/>
                      <w:color w:val="auto"/>
                      <w:sz w:val="21"/>
                      <w:szCs w:val="21"/>
                      <w:highlight w:val="none"/>
                    </w:rPr>
                    <w:t>《凤台县（含毛集实验区）国土空间总体规划（2021-2035年）》，本项目用地性质为工业用地，根据《凤台县（含毛集实验区）国土空间总体规划（2021-2035年）》中县域国土空间用地规划分区图（见附图</w:t>
                  </w:r>
                  <w:r>
                    <w:rPr>
                      <w:rFonts w:hint="eastAsia" w:ascii="Times New Roman" w:hAnsi="Times New Roman"/>
                      <w:bCs/>
                      <w:color w:val="auto"/>
                      <w:sz w:val="21"/>
                      <w:szCs w:val="21"/>
                      <w:highlight w:val="none"/>
                      <w:lang w:val="en-US" w:eastAsia="zh-CN"/>
                    </w:rPr>
                    <w:t>4</w:t>
                  </w:r>
                  <w:r>
                    <w:rPr>
                      <w:rFonts w:hint="default" w:ascii="Times New Roman" w:hAnsi="Times New Roman"/>
                      <w:bCs/>
                      <w:color w:val="auto"/>
                      <w:sz w:val="21"/>
                      <w:szCs w:val="21"/>
                      <w:highlight w:val="none"/>
                    </w:rPr>
                    <w:t>），本项目</w:t>
                  </w:r>
                  <w:r>
                    <w:rPr>
                      <w:rFonts w:hint="eastAsia" w:ascii="Times New Roman" w:hAnsi="Times New Roman"/>
                      <w:bCs/>
                      <w:color w:val="auto"/>
                      <w:sz w:val="21"/>
                      <w:szCs w:val="21"/>
                      <w:highlight w:val="none"/>
                    </w:rPr>
                    <w:t>属于</w:t>
                  </w:r>
                  <w:r>
                    <w:rPr>
                      <w:rFonts w:hint="default" w:ascii="Times New Roman" w:hAnsi="Times New Roman"/>
                      <w:bCs/>
                      <w:color w:val="auto"/>
                      <w:sz w:val="21"/>
                      <w:szCs w:val="21"/>
                      <w:highlight w:val="none"/>
                    </w:rPr>
                    <w:t>城镇发展区，不属于</w:t>
                  </w:r>
                  <w:r>
                    <w:rPr>
                      <w:rFonts w:hint="eastAsia" w:ascii="Times New Roman" w:hAnsi="Times New Roman"/>
                      <w:bCs/>
                      <w:color w:val="auto"/>
                      <w:sz w:val="21"/>
                      <w:szCs w:val="21"/>
                      <w:highlight w:val="none"/>
                    </w:rPr>
                    <w:t>农田保护区、生态保护区、生态控制区、乡村发展区和矿产能源发展区</w:t>
                  </w:r>
                  <w:r>
                    <w:rPr>
                      <w:rFonts w:hint="eastAsia" w:ascii="Times New Roman" w:hAnsi="Times New Roman"/>
                      <w:bCs/>
                      <w:color w:val="auto"/>
                      <w:sz w:val="21"/>
                      <w:szCs w:val="21"/>
                      <w:highlight w:val="none"/>
                      <w:lang w:eastAsia="zh-CN"/>
                    </w:rPr>
                    <w:t>。</w:t>
                  </w:r>
                </w:p>
              </w:tc>
              <w:tc>
                <w:tcPr>
                  <w:tcW w:w="666" w:type="pct"/>
                  <w:noWrap w:val="0"/>
                  <w:vAlign w:val="center"/>
                </w:tcPr>
                <w:p w14:paraId="07CA908C">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符合</w:t>
                  </w:r>
                </w:p>
              </w:tc>
            </w:tr>
            <w:tr w14:paraId="1C535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pct"/>
                  <w:noWrap w:val="0"/>
                  <w:vAlign w:val="center"/>
                </w:tcPr>
                <w:p w14:paraId="5A9B6076">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2050" w:type="pct"/>
                  <w:noWrap w:val="0"/>
                  <w:vAlign w:val="center"/>
                </w:tcPr>
                <w:p w14:paraId="047571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76" w:lineRule="auto"/>
                    <w:ind w:left="0" w:right="0"/>
                    <w:jc w:val="center"/>
                    <w:textAlignment w:val="auto"/>
                    <w:rPr>
                      <w:rFonts w:hint="default" w:ascii="Times New Roman" w:hAnsi="Times New Roman"/>
                      <w:bCs/>
                      <w:color w:val="auto"/>
                      <w:sz w:val="21"/>
                      <w:szCs w:val="21"/>
                      <w:highlight w:val="none"/>
                    </w:rPr>
                  </w:pPr>
                  <w:r>
                    <w:rPr>
                      <w:rFonts w:hint="eastAsia" w:ascii="Times New Roman" w:hAnsi="Times New Roman"/>
                      <w:bCs/>
                      <w:color w:val="auto"/>
                      <w:sz w:val="21"/>
                      <w:szCs w:val="21"/>
                      <w:highlight w:val="none"/>
                    </w:rPr>
                    <w:t>统筹优化国土空间规划分区。按照主体功能定位和空间治理要求，县域层次国土空间规划分区划分为</w:t>
                  </w:r>
                  <w:bookmarkStart w:id="4" w:name="OLE_LINK34"/>
                  <w:r>
                    <w:rPr>
                      <w:rFonts w:hint="eastAsia" w:ascii="Times New Roman" w:hAnsi="Times New Roman"/>
                      <w:bCs/>
                      <w:color w:val="auto"/>
                      <w:sz w:val="21"/>
                      <w:szCs w:val="21"/>
                      <w:highlight w:val="none"/>
                    </w:rPr>
                    <w:t>农田保护区、生态保护区、生态控制区、城镇发展区、乡村发展区和矿产能源发展区</w:t>
                  </w:r>
                  <w:bookmarkEnd w:id="4"/>
                  <w:r>
                    <w:rPr>
                      <w:rFonts w:hint="eastAsia" w:ascii="Times New Roman" w:hAnsi="Times New Roman"/>
                      <w:bCs/>
                      <w:color w:val="auto"/>
                      <w:sz w:val="21"/>
                      <w:szCs w:val="21"/>
                      <w:highlight w:val="none"/>
                    </w:rPr>
                    <w:t>。通过分区管制制度，明确各分区核心管控目标、主要国土用途构成及该分区准入或禁止等管制规则，传导国土空间规划管制政策。</w:t>
                  </w:r>
                </w:p>
              </w:tc>
              <w:tc>
                <w:tcPr>
                  <w:tcW w:w="1725" w:type="pct"/>
                  <w:vMerge w:val="continue"/>
                  <w:noWrap w:val="0"/>
                  <w:vAlign w:val="center"/>
                </w:tcPr>
                <w:p w14:paraId="7B74A3F8">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bCs/>
                      <w:color w:val="auto"/>
                      <w:sz w:val="21"/>
                      <w:szCs w:val="21"/>
                      <w:highlight w:val="none"/>
                    </w:rPr>
                  </w:pPr>
                </w:p>
              </w:tc>
              <w:tc>
                <w:tcPr>
                  <w:tcW w:w="666" w:type="pct"/>
                  <w:noWrap w:val="0"/>
                  <w:vAlign w:val="center"/>
                </w:tcPr>
                <w:p w14:paraId="7D57D4EC">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76" w:lineRule="auto"/>
                    <w:ind w:left="0" w:right="0"/>
                    <w:jc w:val="center"/>
                    <w:textAlignment w:val="auto"/>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符合</w:t>
                  </w:r>
                </w:p>
              </w:tc>
            </w:tr>
          </w:tbl>
          <w:p w14:paraId="5C511C68">
            <w:pPr>
              <w:keepNext w:val="0"/>
              <w:keepLines w:val="0"/>
              <w:suppressLineNumbers w:val="0"/>
              <w:spacing w:before="0" w:beforeAutospacing="0" w:after="0" w:afterAutospacing="0" w:line="360" w:lineRule="auto"/>
              <w:ind w:left="0" w:right="0" w:firstLine="480" w:firstLineChars="200"/>
              <w:jc w:val="left"/>
              <w:rPr>
                <w:rFonts w:hint="default" w:ascii="Times New Roman" w:hAnsi="宋体"/>
                <w:color w:val="auto"/>
                <w:sz w:val="24"/>
                <w:szCs w:val="24"/>
                <w:highlight w:val="none"/>
              </w:rPr>
            </w:pPr>
            <w:r>
              <w:rPr>
                <w:rFonts w:hint="eastAsia" w:ascii="Times New Roman" w:hAnsi="宋体"/>
                <w:color w:val="auto"/>
                <w:sz w:val="24"/>
                <w:szCs w:val="24"/>
                <w:highlight w:val="none"/>
              </w:rPr>
              <w:t>综上，本项目符合</w:t>
            </w:r>
            <w:r>
              <w:rPr>
                <w:rFonts w:hint="eastAsia" w:ascii="Times New Roman" w:hAnsi="宋体"/>
                <w:bCs/>
                <w:color w:val="auto"/>
                <w:sz w:val="24"/>
                <w:szCs w:val="24"/>
                <w:highlight w:val="none"/>
              </w:rPr>
              <w:t>《凤台县（含毛集实验区）国土空间总体规划（2021-2035年）》及其</w:t>
            </w:r>
            <w:r>
              <w:rPr>
                <w:rFonts w:hint="default" w:ascii="Times New Roman" w:hAnsi="宋体"/>
                <w:bCs/>
                <w:color w:val="auto"/>
                <w:sz w:val="24"/>
                <w:szCs w:val="24"/>
                <w:highlight w:val="none"/>
              </w:rPr>
              <w:t>审查意见</w:t>
            </w:r>
            <w:r>
              <w:rPr>
                <w:rFonts w:hint="eastAsia" w:ascii="Times New Roman" w:hAnsi="宋体"/>
                <w:color w:val="auto"/>
                <w:sz w:val="24"/>
                <w:szCs w:val="24"/>
                <w:highlight w:val="none"/>
              </w:rPr>
              <w:t>相关要求。</w:t>
            </w:r>
          </w:p>
          <w:p w14:paraId="2BB85F44">
            <w:pPr>
              <w:keepNext w:val="0"/>
              <w:keepLines w:val="0"/>
              <w:suppressLineNumbers w:val="0"/>
              <w:autoSpaceDE w:val="0"/>
              <w:autoSpaceDN w:val="0"/>
              <w:spacing w:before="0" w:beforeAutospacing="0" w:after="0" w:afterAutospacing="0" w:line="360" w:lineRule="auto"/>
              <w:ind w:left="0" w:right="0" w:firstLine="482" w:firstLineChars="200"/>
              <w:jc w:val="left"/>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2.与《安徽凤台经济开发区总体发展规划</w:t>
            </w:r>
            <w:r>
              <w:rPr>
                <w:rFonts w:hint="eastAsia"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lang w:val="en-US" w:eastAsia="zh-CN"/>
              </w:rPr>
              <w:t>2024-2035年</w:t>
            </w:r>
            <w:r>
              <w:rPr>
                <w:rFonts w:hint="eastAsia"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lang w:val="en-US" w:eastAsia="zh-CN"/>
              </w:rPr>
              <w:t>调区</w:t>
            </w:r>
            <w:r>
              <w:rPr>
                <w:rFonts w:hint="eastAsia"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lang w:val="en-US" w:eastAsia="zh-CN"/>
              </w:rPr>
              <w:t>》符合性分析</w:t>
            </w:r>
          </w:p>
          <w:p w14:paraId="3CA86DA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（1）用地规划</w:t>
            </w:r>
          </w:p>
          <w:p w14:paraId="1313FC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b w:val="0"/>
                <w:bCs/>
                <w:color w:val="auto"/>
                <w:sz w:val="24"/>
                <w:highlight w:val="none"/>
                <w:lang w:val="en-US" w:eastAsia="zh-CN"/>
              </w:rPr>
              <w:t>本项目位于安徽省淮南市凤台经济开发区</w:t>
            </w:r>
            <w:r>
              <w:rPr>
                <w:rFonts w:hint="default" w:ascii="Times New Roman" w:hAnsi="Times New Roman" w:cs="Times New Roman"/>
                <w:color w:val="auto"/>
                <w:sz w:val="24"/>
                <w:highlight w:val="none"/>
                <w:lang w:eastAsia="zh-CN"/>
              </w:rPr>
              <w:t>电子智能制造产业园</w:t>
            </w:r>
            <w:r>
              <w:rPr>
                <w:rFonts w:hint="default" w:ascii="Times New Roman" w:hAnsi="Times New Roman" w:cs="Times New Roman"/>
                <w:b w:val="0"/>
                <w:bCs/>
                <w:color w:val="auto"/>
                <w:sz w:val="24"/>
                <w:highlight w:val="none"/>
                <w:lang w:val="en-US" w:eastAsia="zh-CN"/>
              </w:rPr>
              <w:t>，根据《安徽凤台经济开发区总体发展规划（2024-2035年）》用地规划图可知，项目用地性质为工业用地，符合开发区用地规划要求，项目选址和《安徽凤台经济开发区总体发展规划（2024-2035年）》用地规划图的位置关系见附图5。</w:t>
            </w:r>
          </w:p>
          <w:p w14:paraId="131CD1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（2）产业规划</w:t>
            </w:r>
          </w:p>
          <w:p w14:paraId="05C235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b w:val="0"/>
                <w:bCs/>
                <w:color w:val="auto"/>
                <w:sz w:val="24"/>
                <w:highlight w:val="none"/>
                <w:lang w:val="en-US" w:eastAsia="zh-CN"/>
              </w:rPr>
              <w:t>行业类别属于</w:t>
            </w:r>
            <w:r>
              <w:rPr>
                <w:rFonts w:hint="default" w:ascii="Times New Roman" w:hAnsi="Times New Roman" w:eastAsia="宋体" w:cs="Times New Roman"/>
                <w:color w:val="auto"/>
                <w:sz w:val="24"/>
                <w:highlight w:val="none"/>
              </w:rPr>
              <w:t>C3042 特种玻璃制造</w:t>
            </w:r>
            <w:r>
              <w:rPr>
                <w:rFonts w:hint="default" w:ascii="Times New Roman" w:hAnsi="Times New Roman" w:cs="Times New Roman"/>
                <w:b w:val="0"/>
                <w:bCs/>
                <w:color w:val="auto"/>
                <w:sz w:val="24"/>
                <w:highlight w:val="none"/>
                <w:lang w:val="en-US" w:eastAsia="zh-CN"/>
              </w:rPr>
              <w:t>；根据《安徽凤台经济开发区总体规划（2024-2035年）》，凤台经济开发区以电气机械制造、汽车制造、</w:t>
            </w:r>
            <w:r>
              <w:rPr>
                <w:rFonts w:hint="default" w:ascii="Times New Roman" w:hAnsi="Times New Roman" w:cs="Times New Roman"/>
                <w:b/>
                <w:bCs w:val="0"/>
                <w:color w:val="auto"/>
                <w:sz w:val="24"/>
                <w:highlight w:val="none"/>
                <w:lang w:val="en-US" w:eastAsia="zh-CN"/>
              </w:rPr>
              <w:t>非金属矿物制品</w:t>
            </w:r>
            <w:r>
              <w:rPr>
                <w:rFonts w:hint="default" w:ascii="Times New Roman" w:hAnsi="Times New Roman" w:cs="Times New Roman"/>
                <w:b w:val="0"/>
                <w:bCs/>
                <w:color w:val="auto"/>
                <w:sz w:val="24"/>
                <w:highlight w:val="none"/>
                <w:lang w:val="en-US" w:eastAsia="zh-CN"/>
              </w:rPr>
              <w:t>等为主导产业。本项目属于园区主导产业项目，因此本项目符合凤台经济开发区规划产业功能定位。</w:t>
            </w:r>
          </w:p>
          <w:p w14:paraId="30821DBD">
            <w:pPr>
              <w:keepNext w:val="0"/>
              <w:keepLines w:val="0"/>
              <w:numPr>
                <w:ilvl w:val="0"/>
                <w:numId w:val="0"/>
              </w:numPr>
              <w:suppressLineNumbers w:val="0"/>
              <w:autoSpaceDE w:val="0"/>
              <w:autoSpaceDN w:val="0"/>
              <w:spacing w:before="0" w:beforeAutospacing="0" w:after="0" w:afterAutospacing="0" w:line="360" w:lineRule="auto"/>
              <w:ind w:left="0" w:leftChars="0" w:right="0" w:rightChars="0" w:firstLine="482" w:firstLineChars="200"/>
              <w:jc w:val="left"/>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kern w:val="2"/>
                <w:sz w:val="24"/>
                <w:szCs w:val="22"/>
                <w:highlight w:val="none"/>
                <w:lang w:val="en-US" w:eastAsia="zh-CN" w:bidi="ar-SA"/>
              </w:rPr>
              <w:t>3.</w:t>
            </w:r>
            <w:r>
              <w:rPr>
                <w:rFonts w:hint="default" w:ascii="Times New Roman" w:hAnsi="Times New Roman" w:cs="Times New Roman"/>
                <w:b/>
                <w:color w:val="auto"/>
                <w:sz w:val="24"/>
                <w:highlight w:val="none"/>
                <w:lang w:val="en-US" w:eastAsia="zh-CN"/>
              </w:rPr>
              <w:t>与《安徽凤台经济开发区总体发展规划（2024-2035年）（调区）环境影响报告书》及其审查意见符合性分析</w:t>
            </w:r>
          </w:p>
          <w:p w14:paraId="7AD424C8">
            <w:pPr>
              <w:keepNext w:val="0"/>
              <w:keepLines w:val="0"/>
              <w:numPr>
                <w:ilvl w:val="0"/>
                <w:numId w:val="0"/>
              </w:numPr>
              <w:suppressLineNumbers w:val="0"/>
              <w:autoSpaceDE w:val="0"/>
              <w:autoSpaceDN w:val="0"/>
              <w:spacing w:before="0" w:beforeAutospacing="0" w:after="0" w:afterAutospacing="0" w:line="360" w:lineRule="auto"/>
              <w:ind w:left="0" w:right="0" w:rightChars="0" w:firstLine="480" w:firstLineChars="200"/>
              <w:jc w:val="left"/>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与《安徽凤台经济开发区总体发展规划（2024-2035年）（调区）环境影响报告书》以及审查意见要求的相符性分析如下表：</w:t>
            </w:r>
          </w:p>
          <w:p w14:paraId="1D31ED9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表1</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 </w:t>
            </w:r>
            <w:r>
              <w:rPr>
                <w:rFonts w:hint="default" w:ascii="Times New Roman" w:hAnsi="Times New Roman" w:eastAsia="黑体" w:cs="Times New Roman"/>
                <w:color w:val="auto"/>
                <w:sz w:val="24"/>
                <w:szCs w:val="24"/>
                <w:highlight w:val="none"/>
                <w:lang w:val="en-US" w:eastAsia="zh-CN"/>
              </w:rPr>
              <w:t>与规划环评及审查意见相符性</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97"/>
              <w:gridCol w:w="3451"/>
              <w:gridCol w:w="2697"/>
              <w:gridCol w:w="924"/>
            </w:tblGrid>
            <w:tr w14:paraId="44BC68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28" w:type="pct"/>
                  <w:noWrap w:val="0"/>
                  <w:vAlign w:val="center"/>
                </w:tcPr>
                <w:p w14:paraId="25FB08D3">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279" w:type="pct"/>
                  <w:noWrap w:val="0"/>
                  <w:vAlign w:val="center"/>
                </w:tcPr>
                <w:p w14:paraId="34B2A40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相关要求</w:t>
                  </w:r>
                </w:p>
              </w:tc>
              <w:tc>
                <w:tcPr>
                  <w:tcW w:w="1781" w:type="pct"/>
                  <w:noWrap w:val="0"/>
                  <w:vAlign w:val="center"/>
                </w:tcPr>
                <w:p w14:paraId="7BFC054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rPr>
                    <w:t>本项目</w:t>
                  </w:r>
                  <w:r>
                    <w:rPr>
                      <w:rFonts w:hint="default" w:ascii="Times New Roman" w:hAnsi="Times New Roman" w:cs="Times New Roman"/>
                      <w:b/>
                      <w:color w:val="auto"/>
                      <w:szCs w:val="21"/>
                      <w:highlight w:val="none"/>
                      <w:lang w:val="en-US" w:eastAsia="zh-CN"/>
                    </w:rPr>
                    <w:t>情况</w:t>
                  </w:r>
                </w:p>
              </w:tc>
              <w:tc>
                <w:tcPr>
                  <w:tcW w:w="610" w:type="pct"/>
                  <w:noWrap w:val="0"/>
                  <w:vAlign w:val="center"/>
                </w:tcPr>
                <w:p w14:paraId="6CF0B275">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符合性</w:t>
                  </w:r>
                </w:p>
              </w:tc>
            </w:tr>
            <w:tr w14:paraId="670A00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28" w:type="pct"/>
                  <w:noWrap w:val="0"/>
                  <w:vAlign w:val="center"/>
                </w:tcPr>
                <w:p w14:paraId="5C32723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279" w:type="pct"/>
                  <w:noWrap w:val="0"/>
                  <w:vAlign w:val="center"/>
                </w:tcPr>
                <w:p w14:paraId="6473B7E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一</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加强《规划》引领，坚持绿色协调发展。《规划》应全面贯彻落实习近平生态文明思想，加强《规划》与《淮河流域水污染防治暂行条例》、深入打好污染防治攻坚战相关要求、生态环境分区管控方案及国土空间总体规划的协调衔接。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p>
              </w:tc>
              <w:tc>
                <w:tcPr>
                  <w:tcW w:w="1781" w:type="pct"/>
                  <w:noWrap w:val="0"/>
                  <w:vAlign w:val="center"/>
                </w:tcPr>
                <w:p w14:paraId="4FB8B8C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根据《安徽凤台经济开发区总体发展规划（2024-2035年）》，本项目所在地性质为工业用地，符合园区产业布局。项目选址和《安徽凤台经济开发区总体发展规划（2024-2035年）》用地规划图的位置关系见附图</w:t>
                  </w:r>
                  <w:r>
                    <w:rPr>
                      <w:rFonts w:hint="default"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w:t>
                  </w:r>
                </w:p>
              </w:tc>
              <w:tc>
                <w:tcPr>
                  <w:tcW w:w="610" w:type="pct"/>
                  <w:noWrap w:val="0"/>
                  <w:vAlign w:val="center"/>
                </w:tcPr>
                <w:p w14:paraId="20DC3ABE">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01EE0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28" w:type="pct"/>
                  <w:noWrap w:val="0"/>
                  <w:vAlign w:val="center"/>
                </w:tcPr>
                <w:p w14:paraId="448995C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2279" w:type="pct"/>
                  <w:noWrap w:val="0"/>
                  <w:vAlign w:val="center"/>
                </w:tcPr>
                <w:p w14:paraId="1D57591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二</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严守环境质量底线，保护区域生态环境质量。开发区周边涉及淮河以及八公山国家地质公园、八公山风景名胜区、八公山国家森林公园、安徽凤台凤凰湖省级湿地公园、淮河淮南段长吻鮠国家级水产种质资源保护区等生态敏感区，生态环境保护要求较高，应主动避让并与其边界保持一定的缓冲防护距离。开发区应坚持“生态优先、绿色发展”的战略定位，以生态环境质量改善、防范环境风险为核心，明确开发区发展存在的环境制约因素。根据国家和我省大气、水、土壤、环境风险防范和固体废物污染防治相关要求，妥善解决区域现存生态环境问题，确保开发区建设项目污染物长期稳定达标排放，区域生态环境质量持续改善。鉴于淮河水生态环境保护要求较高，开发区应审慎考虑并严格控制涉氟产业发展规模及水污染物排放总量</w:t>
                  </w:r>
                  <w:r>
                    <w:rPr>
                      <w:rFonts w:hint="default" w:ascii="Times New Roman" w:hAnsi="Times New Roman" w:cs="Times New Roman"/>
                      <w:color w:val="auto"/>
                      <w:szCs w:val="21"/>
                      <w:highlight w:val="none"/>
                      <w:lang w:eastAsia="zh-CN"/>
                    </w:rPr>
                    <w:t>。</w:t>
                  </w:r>
                </w:p>
              </w:tc>
              <w:tc>
                <w:tcPr>
                  <w:tcW w:w="1781" w:type="pct"/>
                  <w:noWrap w:val="0"/>
                  <w:vAlign w:val="center"/>
                </w:tcPr>
                <w:p w14:paraId="212C5D1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本项目距</w:t>
                  </w:r>
                  <w:r>
                    <w:rPr>
                      <w:rFonts w:hint="eastAsia" w:ascii="Times New Roman" w:hAnsi="Times New Roman" w:eastAsia="宋体" w:cs="Times New Roman"/>
                      <w:color w:val="auto"/>
                      <w:szCs w:val="21"/>
                      <w:highlight w:val="none"/>
                      <w:lang w:val="en-US" w:eastAsia="zh-CN"/>
                    </w:rPr>
                    <w:t>淮河</w:t>
                  </w:r>
                  <w:r>
                    <w:rPr>
                      <w:rFonts w:hint="default" w:ascii="Times New Roman" w:hAnsi="Times New Roman" w:eastAsia="宋体" w:cs="Times New Roman"/>
                      <w:color w:val="auto"/>
                      <w:szCs w:val="21"/>
                      <w:highlight w:val="none"/>
                      <w:lang w:val="en-US" w:eastAsia="zh-CN"/>
                    </w:rPr>
                    <w:t>约</w:t>
                  </w:r>
                  <w:r>
                    <w:rPr>
                      <w:rFonts w:hint="eastAsia" w:ascii="Times New Roman" w:hAnsi="Times New Roman" w:eastAsia="宋体" w:cs="Times New Roman"/>
                      <w:color w:val="auto"/>
                      <w:szCs w:val="21"/>
                      <w:highlight w:val="none"/>
                      <w:lang w:val="en-US" w:eastAsia="zh-CN"/>
                    </w:rPr>
                    <w:t>600</w:t>
                  </w:r>
                  <w:r>
                    <w:rPr>
                      <w:rFonts w:hint="default"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lang w:val="en-US" w:eastAsia="zh-CN"/>
                    </w:rPr>
                    <w:t>丝印、固化废气</w:t>
                  </w:r>
                  <w:r>
                    <w:rPr>
                      <w:rFonts w:hint="eastAsia" w:ascii="Times New Roman" w:hAnsi="Times New Roman" w:eastAsia="宋体" w:cs="Times New Roman"/>
                      <w:color w:val="auto"/>
                      <w:szCs w:val="21"/>
                      <w:highlight w:val="none"/>
                    </w:rPr>
                    <w:t>通过集气罩和密闭管道收集后经</w:t>
                  </w:r>
                  <w:r>
                    <w:rPr>
                      <w:rFonts w:hint="eastAsia" w:ascii="Times New Roman" w:hAnsi="Times New Roman" w:eastAsia="宋体"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两级活性炭</w:t>
                  </w:r>
                  <w:r>
                    <w:rPr>
                      <w:rFonts w:hint="eastAsia" w:ascii="Times New Roman" w:hAnsi="Times New Roman" w:eastAsia="宋体" w:cs="Times New Roman"/>
                      <w:color w:val="auto"/>
                      <w:szCs w:val="21"/>
                      <w:highlight w:val="none"/>
                      <w:lang w:val="en-US" w:eastAsia="zh-CN"/>
                    </w:rPr>
                    <w:t>吸附</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装置处理后排放</w:t>
                  </w:r>
                  <w:r>
                    <w:rPr>
                      <w:rFonts w:hint="eastAsia" w:ascii="Times New Roman" w:hAnsi="Times New Roman" w:eastAsia="宋体" w:cs="Times New Roman"/>
                      <w:color w:val="auto"/>
                      <w:szCs w:val="21"/>
                      <w:highlight w:val="none"/>
                      <w:lang w:val="en-US" w:eastAsia="zh-CN"/>
                    </w:rPr>
                    <w:t>经15m高的（DA001）排气筒排放</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color w:val="auto"/>
                      <w:szCs w:val="21"/>
                      <w:highlight w:val="none"/>
                      <w:lang w:val="en-US" w:eastAsia="zh-CN"/>
                    </w:rPr>
                    <w:t>生产废水经处理后循环使用，</w:t>
                  </w:r>
                  <w:r>
                    <w:rPr>
                      <w:rFonts w:hint="eastAsia" w:ascii="Times New Roman" w:hAnsi="Times New Roman"/>
                      <w:color w:val="auto"/>
                      <w:szCs w:val="21"/>
                      <w:highlight w:val="none"/>
                    </w:rPr>
                    <w:t>定期补充损耗，不外排；生活污水经园区化粪池处理进入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default" w:ascii="Times New Roman" w:hAnsi="Times New Roman" w:eastAsia="宋体" w:cs="Times New Roman"/>
                      <w:color w:val="auto"/>
                      <w:szCs w:val="21"/>
                      <w:highlight w:val="none"/>
                      <w:lang w:val="en-US" w:eastAsia="zh-CN"/>
                    </w:rPr>
                    <w:t>；项目</w:t>
                  </w:r>
                  <w:r>
                    <w:rPr>
                      <w:rFonts w:hint="default" w:ascii="Times New Roman" w:hAnsi="Times New Roman" w:cs="Times New Roman"/>
                      <w:color w:val="auto"/>
                      <w:szCs w:val="21"/>
                      <w:highlight w:val="none"/>
                      <w:lang w:val="en-US" w:eastAsia="zh-CN"/>
                    </w:rPr>
                    <w:t>危废暂存间</w:t>
                  </w:r>
                  <w:r>
                    <w:rPr>
                      <w:rFonts w:hint="eastAsia" w:ascii="Times New Roman" w:hAnsi="Times New Roman" w:cs="Times New Roman"/>
                      <w:color w:val="auto"/>
                      <w:szCs w:val="21"/>
                      <w:highlight w:val="none"/>
                      <w:lang w:val="en-US" w:eastAsia="zh-CN"/>
                    </w:rPr>
                    <w:t>、化学品库和废水治理设施</w:t>
                  </w:r>
                  <w:r>
                    <w:rPr>
                      <w:rFonts w:hint="default" w:ascii="Times New Roman" w:hAnsi="Times New Roman" w:eastAsia="宋体" w:cs="Times New Roman"/>
                      <w:color w:val="auto"/>
                      <w:szCs w:val="21"/>
                      <w:highlight w:val="none"/>
                      <w:lang w:val="en-US" w:eastAsia="zh-CN"/>
                    </w:rPr>
                    <w:t>重点防渗，</w:t>
                  </w:r>
                  <w:r>
                    <w:rPr>
                      <w:rFonts w:hint="eastAsia" w:ascii="Times New Roman" w:hAnsi="Times New Roman" w:cs="Times New Roman"/>
                      <w:b w:val="0"/>
                      <w:bCs w:val="0"/>
                      <w:color w:val="auto"/>
                      <w:szCs w:val="21"/>
                      <w:highlight w:val="none"/>
                      <w:lang w:val="en-US" w:eastAsia="zh-CN"/>
                    </w:rPr>
                    <w:t>厂房其它区域</w:t>
                  </w:r>
                  <w:r>
                    <w:rPr>
                      <w:rFonts w:hint="default" w:ascii="Times New Roman" w:hAnsi="Times New Roman" w:cs="Times New Roman"/>
                      <w:b w:val="0"/>
                      <w:bCs w:val="0"/>
                      <w:color w:val="auto"/>
                      <w:szCs w:val="21"/>
                      <w:highlight w:val="none"/>
                      <w:lang w:val="en-US" w:eastAsia="zh-CN"/>
                    </w:rPr>
                    <w:t>及一般工业固废间</w:t>
                  </w:r>
                  <w:r>
                    <w:rPr>
                      <w:rFonts w:hint="default" w:ascii="Times New Roman" w:hAnsi="Times New Roman" w:eastAsia="宋体" w:cs="Times New Roman"/>
                      <w:color w:val="auto"/>
                      <w:szCs w:val="21"/>
                      <w:highlight w:val="none"/>
                      <w:lang w:val="en-US" w:eastAsia="zh-CN"/>
                    </w:rPr>
                    <w:t>等简单防渗，各单元防渗层满足相应控制标准要求，有效</w:t>
                  </w:r>
                  <w:r>
                    <w:rPr>
                      <w:rFonts w:hint="eastAsia" w:ascii="Times New Roman" w:hAnsi="Times New Roman" w:eastAsia="宋体" w:cs="Times New Roman"/>
                      <w:color w:val="auto"/>
                      <w:szCs w:val="21"/>
                      <w:highlight w:val="none"/>
                      <w:lang w:val="en-US" w:eastAsia="zh-CN"/>
                    </w:rPr>
                    <w:t>保护</w:t>
                  </w:r>
                  <w:r>
                    <w:rPr>
                      <w:rFonts w:hint="default" w:ascii="Times New Roman" w:hAnsi="Times New Roman" w:eastAsia="宋体" w:cs="Times New Roman"/>
                      <w:color w:val="auto"/>
                      <w:szCs w:val="21"/>
                      <w:highlight w:val="none"/>
                      <w:lang w:val="en-US" w:eastAsia="zh-CN"/>
                    </w:rPr>
                    <w:t>地下水和土壤环境。本项目不涉氟。</w:t>
                  </w:r>
                </w:p>
              </w:tc>
              <w:tc>
                <w:tcPr>
                  <w:tcW w:w="610" w:type="pct"/>
                  <w:noWrap w:val="0"/>
                  <w:vAlign w:val="center"/>
                </w:tcPr>
                <w:p w14:paraId="51703600">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auto"/>
                      <w:szCs w:val="21"/>
                      <w:highlight w:val="none"/>
                    </w:rPr>
                  </w:pPr>
                </w:p>
              </w:tc>
            </w:tr>
            <w:tr w14:paraId="5897E1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28" w:type="pct"/>
                  <w:noWrap w:val="0"/>
                  <w:vAlign w:val="center"/>
                </w:tcPr>
                <w:p w14:paraId="39361A9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2279" w:type="pct"/>
                  <w:noWrap w:val="0"/>
                  <w:vAlign w:val="center"/>
                </w:tcPr>
                <w:p w14:paraId="766EE66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三</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优化空间布局，加强生态环境分区管控。落实生态环境分区管控要求，结合国家和省长江经济带发展负面清单管控要求及区域资源优势和环境制约因素、开发区产业定位等，进一步完善调区规划，优化功能分区和空间布局。合理规划不同功能区的环境保护空间，严禁不符合管控要</w:t>
                  </w:r>
                  <w:r>
                    <w:rPr>
                      <w:rFonts w:hint="default" w:ascii="Times New Roman" w:hAnsi="Times New Roman" w:cs="Times New Roman"/>
                      <w:color w:val="auto"/>
                      <w:szCs w:val="21"/>
                      <w:highlight w:val="none"/>
                      <w:lang w:val="en-US" w:eastAsia="zh-CN"/>
                    </w:rPr>
                    <w:t>求</w:t>
                  </w:r>
                  <w:r>
                    <w:rPr>
                      <w:rFonts w:hint="default" w:ascii="Times New Roman" w:hAnsi="Times New Roman" w:eastAsia="宋体" w:cs="Times New Roman"/>
                      <w:color w:val="auto"/>
                      <w:szCs w:val="21"/>
                      <w:highlight w:val="none"/>
                      <w:lang w:eastAsia="zh-CN"/>
                    </w:rPr>
                    <w:t>的各类开发建设活动，规划实施应加强对淮河的保护，不得损害周边水环境、大气环境、声环境、重要生态敏感区的环境质量和生态功能。做好开发区工业企业与周边地表水体、居住区等各类环境保护目标的有效离居住区和保护地周边严禁布设生态环境影响较大的建设项目，保障区域生态环境安全，实现产业发展与区域生态环境保护相协调</w:t>
                  </w:r>
                  <w:r>
                    <w:rPr>
                      <w:rFonts w:hint="default" w:ascii="Times New Roman" w:hAnsi="Times New Roman" w:cs="Times New Roman"/>
                      <w:color w:val="auto"/>
                      <w:szCs w:val="21"/>
                      <w:highlight w:val="none"/>
                      <w:lang w:eastAsia="zh-CN"/>
                    </w:rPr>
                    <w:t>。</w:t>
                  </w:r>
                </w:p>
              </w:tc>
              <w:tc>
                <w:tcPr>
                  <w:tcW w:w="1781" w:type="pct"/>
                  <w:noWrap w:val="0"/>
                  <w:vAlign w:val="center"/>
                </w:tcPr>
                <w:p w14:paraId="40762D14">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项目位于</w:t>
                  </w:r>
                  <w:r>
                    <w:rPr>
                      <w:rFonts w:hint="eastAsia" w:ascii="Times New Roman" w:hAnsi="Times New Roman" w:cs="Times New Roman"/>
                      <w:color w:val="auto"/>
                      <w:szCs w:val="21"/>
                      <w:highlight w:val="none"/>
                      <w:lang w:val="en-US" w:eastAsia="zh-CN"/>
                    </w:rPr>
                    <w:t>安徽省淮南市凤台经济开发区国晟（凤台）异质结双碳产业园内</w:t>
                  </w:r>
                  <w:r>
                    <w:rPr>
                      <w:rFonts w:hint="default" w:ascii="Times New Roman" w:hAnsi="Times New Roman" w:eastAsia="宋体" w:cs="Times New Roman"/>
                      <w:color w:val="auto"/>
                      <w:szCs w:val="21"/>
                      <w:highlight w:val="none"/>
                      <w:lang w:val="en-US" w:eastAsia="zh-CN"/>
                    </w:rPr>
                    <w:t>，行业类别属于</w:t>
                  </w:r>
                  <w:r>
                    <w:rPr>
                      <w:rFonts w:hint="eastAsia" w:ascii="Times New Roman" w:hAnsi="Times New Roman" w:eastAsia="宋体" w:cs="Times New Roman"/>
                      <w:color w:val="auto"/>
                      <w:szCs w:val="21"/>
                      <w:highlight w:val="none"/>
                      <w:lang w:val="en-US" w:eastAsia="zh-CN"/>
                    </w:rPr>
                    <w:t>C3042特种玻璃制造</w:t>
                  </w:r>
                  <w:r>
                    <w:rPr>
                      <w:rFonts w:hint="default" w:ascii="Times New Roman" w:hAnsi="Times New Roman" w:eastAsia="宋体" w:cs="Times New Roman"/>
                      <w:color w:val="auto"/>
                      <w:szCs w:val="21"/>
                      <w:highlight w:val="none"/>
                      <w:lang w:val="en-US" w:eastAsia="zh-CN"/>
                    </w:rPr>
                    <w:t>，根据《产业结构调整指导目录（2024年本）》，本项目不属于目录中鼓励类、限制类和淘汰类的范畴，视为允许建设项目</w:t>
                  </w:r>
                  <w:r>
                    <w:rPr>
                      <w:rFonts w:hint="default" w:ascii="Times New Roman" w:hAnsi="Times New Roman" w:cs="Times New Roman"/>
                      <w:color w:val="auto"/>
                      <w:szCs w:val="21"/>
                      <w:highlight w:val="none"/>
                      <w:lang w:val="en-US" w:eastAsia="zh-CN"/>
                    </w:rPr>
                    <w:t>。</w:t>
                  </w:r>
                </w:p>
              </w:tc>
              <w:tc>
                <w:tcPr>
                  <w:tcW w:w="610" w:type="pct"/>
                  <w:noWrap w:val="0"/>
                  <w:vAlign w:val="center"/>
                </w:tcPr>
                <w:p w14:paraId="68E0B4C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符合</w:t>
                  </w:r>
                </w:p>
              </w:tc>
            </w:tr>
            <w:tr w14:paraId="626677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28" w:type="pct"/>
                  <w:noWrap w:val="0"/>
                  <w:vAlign w:val="center"/>
                </w:tcPr>
                <w:p w14:paraId="7D022A1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2279" w:type="pct"/>
                  <w:noWrap w:val="0"/>
                  <w:vAlign w:val="center"/>
                </w:tcPr>
                <w:p w14:paraId="587C784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四</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完善环保基础设施建设，强化环境污染防控。按照环保基础设施适当超前建设的原则，根据主导产业、开发时序和开发强度，进一步优化区域供水、排水</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供气、供热及中水回用等规划。开发区应加快新调入区域环保基础设施建设，完善含氟废水深度处理设施。结合区域环境质量现状，细化开发区污染防治基础设施建设、运行管理要求及应急处理处置方案，合理设定处理规模和排放指标，保障开发区周边空气环境持续改善，水环境功能</w:t>
                  </w:r>
                  <w:r>
                    <w:rPr>
                      <w:rFonts w:hint="eastAsia" w:ascii="Times New Roman" w:hAnsi="Times New Roman" w:eastAsia="宋体" w:cs="Times New Roman"/>
                      <w:color w:val="auto"/>
                      <w:szCs w:val="21"/>
                      <w:highlight w:val="none"/>
                      <w:lang w:val="en-US" w:eastAsia="zh-CN"/>
                    </w:rPr>
                    <w:t>不</w:t>
                  </w:r>
                  <w:r>
                    <w:rPr>
                      <w:rFonts w:hint="default" w:ascii="Times New Roman" w:hAnsi="Times New Roman" w:eastAsia="宋体" w:cs="Times New Roman"/>
                      <w:color w:val="auto"/>
                      <w:szCs w:val="21"/>
                      <w:highlight w:val="none"/>
                      <w:lang w:eastAsia="zh-CN"/>
                    </w:rPr>
                    <w:t>降低，受纳水体、下游水环境保护目标及相关考核断面稳定达标。</w:t>
                  </w:r>
                </w:p>
              </w:tc>
              <w:tc>
                <w:tcPr>
                  <w:tcW w:w="1781" w:type="pct"/>
                  <w:noWrap w:val="0"/>
                  <w:vAlign w:val="center"/>
                </w:tcPr>
                <w:p w14:paraId="40B2D8F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本项目所在区域供水、排水市政管网及园区污水处理厂已配套完善，</w:t>
                  </w:r>
                  <w:r>
                    <w:rPr>
                      <w:rFonts w:hint="eastAsia" w:ascii="Times New Roman" w:hAnsi="Times New Roman"/>
                      <w:color w:val="auto"/>
                      <w:szCs w:val="21"/>
                      <w:highlight w:val="none"/>
                      <w:lang w:val="en-US" w:eastAsia="zh-CN"/>
                    </w:rPr>
                    <w:t>生产废水经处理后循环使用，</w:t>
                  </w:r>
                  <w:r>
                    <w:rPr>
                      <w:rFonts w:hint="eastAsia" w:ascii="Times New Roman" w:hAnsi="Times New Roman"/>
                      <w:color w:val="auto"/>
                      <w:szCs w:val="21"/>
                      <w:highlight w:val="none"/>
                    </w:rPr>
                    <w:t>定期补充损耗；生活污水经园区化粪池处理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default" w:ascii="Times New Roman" w:hAnsi="Times New Roman" w:eastAsia="宋体" w:cs="Times New Roman"/>
                      <w:color w:val="auto"/>
                      <w:szCs w:val="21"/>
                      <w:highlight w:val="none"/>
                      <w:lang w:val="en-US" w:eastAsia="zh-CN"/>
                    </w:rPr>
                    <w:t>。</w:t>
                  </w:r>
                </w:p>
              </w:tc>
              <w:tc>
                <w:tcPr>
                  <w:tcW w:w="610" w:type="pct"/>
                  <w:noWrap w:val="0"/>
                  <w:vAlign w:val="center"/>
                </w:tcPr>
                <w:p w14:paraId="3147AD6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符合</w:t>
                  </w:r>
                </w:p>
              </w:tc>
            </w:tr>
            <w:tr w14:paraId="4FEFA1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328" w:type="pct"/>
                  <w:noWrap w:val="0"/>
                  <w:vAlign w:val="center"/>
                </w:tcPr>
                <w:p w14:paraId="7F212B6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2279" w:type="pct"/>
                  <w:noWrap w:val="0"/>
                  <w:vAlign w:val="center"/>
                </w:tcPr>
                <w:p w14:paraId="79B25C4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五</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细化生态环境准入清单，推动高质量发展。《报告书》应根据规划区域调整，结合主导产业、区域生态环境质量现状、生态环境分区管控要求和现行生态环境管理要求等，进一步细化开发区产业准入清单。严格执行国家产业政策，严禁不符合淮河流域生态环境保护要求的项目。坚决遏制“两高一低”项目盲目发展，引进项目的清洁生产水平不应低于国内同行业先进水平加强对《</w:t>
                  </w:r>
                  <w:r>
                    <w:rPr>
                      <w:rFonts w:hint="eastAsia" w:ascii="Times New Roman" w:hAnsi="Times New Roman" w:cs="Times New Roman"/>
                      <w:color w:val="auto"/>
                      <w:szCs w:val="21"/>
                      <w:highlight w:val="none"/>
                      <w:lang w:eastAsia="zh-CN"/>
                    </w:rPr>
                    <w:t>淮河流域水污染防治暂行条例</w:t>
                  </w:r>
                  <w:r>
                    <w:rPr>
                      <w:rFonts w:hint="default" w:ascii="Times New Roman" w:hAnsi="Times New Roman" w:eastAsia="宋体" w:cs="Times New Roman"/>
                      <w:color w:val="auto"/>
                      <w:szCs w:val="21"/>
                      <w:highlight w:val="none"/>
                      <w:lang w:eastAsia="zh-CN"/>
                    </w:rPr>
                    <w:t>限制和禁止项目的入园管控，严禁不符合条例的项目入园。不符合相关要求的工业废水严禁排入市政污水收集处理设施。区内现有化工企业应根据国家和我省相关要求整改、搬迁。</w:t>
                  </w:r>
                </w:p>
              </w:tc>
              <w:tc>
                <w:tcPr>
                  <w:tcW w:w="1781" w:type="pct"/>
                  <w:noWrap w:val="0"/>
                  <w:vAlign w:val="center"/>
                </w:tcPr>
                <w:p w14:paraId="069D7D1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本项目行业类别属于C3042 特种玻璃制造，不属于“两高一低”项目，根据《产业结构调整指导目录（2024年本）》，本项目不属于目录中鼓励类、限制类和淘汰类的范畴，为允许建设项目。</w:t>
                  </w:r>
                  <w:r>
                    <w:rPr>
                      <w:rFonts w:hint="eastAsia" w:ascii="Times New Roman" w:hAnsi="Times New Roman"/>
                      <w:color w:val="auto"/>
                      <w:szCs w:val="21"/>
                      <w:highlight w:val="none"/>
                      <w:lang w:val="en-US" w:eastAsia="zh-CN"/>
                    </w:rPr>
                    <w:t>生产废水经处理后循环使用，</w:t>
                  </w:r>
                  <w:r>
                    <w:rPr>
                      <w:rFonts w:hint="eastAsia" w:ascii="Times New Roman" w:hAnsi="Times New Roman"/>
                      <w:color w:val="auto"/>
                      <w:szCs w:val="21"/>
                      <w:highlight w:val="none"/>
                    </w:rPr>
                    <w:t>定期补充损耗；生活污水经园区化粪池处理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default" w:ascii="Times New Roman" w:hAnsi="Times New Roman" w:eastAsia="宋体" w:cs="Times New Roman"/>
                      <w:color w:val="auto"/>
                      <w:szCs w:val="21"/>
                      <w:highlight w:val="none"/>
                      <w:lang w:val="en-US" w:eastAsia="zh-CN"/>
                    </w:rPr>
                    <w:t>。</w:t>
                  </w:r>
                </w:p>
              </w:tc>
              <w:tc>
                <w:tcPr>
                  <w:tcW w:w="610" w:type="pct"/>
                  <w:noWrap w:val="0"/>
                  <w:vAlign w:val="center"/>
                </w:tcPr>
                <w:p w14:paraId="413CE6D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符合</w:t>
                  </w:r>
                </w:p>
              </w:tc>
            </w:tr>
          </w:tbl>
          <w:p w14:paraId="5EFB729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 w:val="0"/>
                <w:bCs/>
                <w:color w:val="auto"/>
                <w:sz w:val="24"/>
                <w:highlight w:val="none"/>
                <w:lang w:val="en-US" w:eastAsia="zh-CN"/>
              </w:rPr>
              <w:t>对照</w:t>
            </w:r>
            <w:r>
              <w:rPr>
                <w:rFonts w:hint="default" w:ascii="Times New Roman" w:hAnsi="Times New Roman" w:cs="Times New Roman"/>
                <w:color w:val="auto"/>
                <w:sz w:val="24"/>
                <w:szCs w:val="24"/>
                <w:highlight w:val="none"/>
              </w:rPr>
              <w:t>《安徽凤台经济开发区总体发展规划（2024-2035年）（调区）环境影响报告书》生态环境准入清单分析如下：</w:t>
            </w:r>
          </w:p>
          <w:p w14:paraId="2B766205">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表1</w:t>
            </w:r>
            <w:r>
              <w:rPr>
                <w:rFonts w:hint="default" w:ascii="Times New Roman" w:hAnsi="Times New Roman" w:eastAsia="黑体"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t xml:space="preserve"> 安徽凤台经济开发区</w:t>
            </w:r>
            <w:r>
              <w:rPr>
                <w:rFonts w:hint="default" w:ascii="Times New Roman" w:hAnsi="Times New Roman" w:eastAsia="黑体" w:cs="Times New Roman"/>
                <w:color w:val="auto"/>
                <w:sz w:val="24"/>
                <w:szCs w:val="24"/>
                <w:highlight w:val="none"/>
                <w:lang w:val="en-US" w:eastAsia="zh-CN"/>
              </w:rPr>
              <w:t>生态环境准入清单相符性</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1551"/>
              <w:gridCol w:w="4091"/>
            </w:tblGrid>
            <w:tr w14:paraId="2FC76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274CE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1455" w:type="dxa"/>
                  <w:noWrap w:val="0"/>
                  <w:vAlign w:val="center"/>
                </w:tcPr>
                <w:p w14:paraId="52B7D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主导产业</w:t>
                  </w:r>
                </w:p>
              </w:tc>
              <w:tc>
                <w:tcPr>
                  <w:tcW w:w="3838" w:type="dxa"/>
                  <w:noWrap w:val="0"/>
                  <w:vAlign w:val="center"/>
                </w:tcPr>
                <w:p w14:paraId="3CF01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行业类别</w:t>
                  </w:r>
                </w:p>
              </w:tc>
            </w:tr>
            <w:tr w14:paraId="1A45F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restart"/>
                  <w:noWrap w:val="0"/>
                  <w:vAlign w:val="center"/>
                </w:tcPr>
                <w:p w14:paraId="0C3C0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产业定位</w:t>
                  </w:r>
                </w:p>
              </w:tc>
              <w:tc>
                <w:tcPr>
                  <w:tcW w:w="1455" w:type="dxa"/>
                  <w:noWrap w:val="0"/>
                  <w:vAlign w:val="center"/>
                </w:tcPr>
                <w:p w14:paraId="1F8A3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38电气机械制造业</w:t>
                  </w:r>
                </w:p>
              </w:tc>
              <w:tc>
                <w:tcPr>
                  <w:tcW w:w="3838" w:type="dxa"/>
                  <w:noWrap w:val="0"/>
                  <w:vAlign w:val="center"/>
                </w:tcPr>
                <w:p w14:paraId="1EAD7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381电机制造</w:t>
                  </w:r>
                </w:p>
                <w:p w14:paraId="7E41B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382输配电及控制设备制造</w:t>
                  </w:r>
                </w:p>
                <w:p w14:paraId="3E783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383电线、电缆、光缆及电工器材制造</w:t>
                  </w:r>
                </w:p>
                <w:p w14:paraId="1D80D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384电池制造</w:t>
                  </w:r>
                </w:p>
                <w:p w14:paraId="32B3A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386非电力家用器具制造</w:t>
                  </w:r>
                </w:p>
                <w:p w14:paraId="37282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387照明器具制造</w:t>
                  </w:r>
                </w:p>
                <w:p w14:paraId="62D64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389其他电气机械及器材制造</w:t>
                  </w:r>
                </w:p>
              </w:tc>
            </w:tr>
            <w:tr w14:paraId="15D5D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continue"/>
                  <w:noWrap w:val="0"/>
                  <w:vAlign w:val="center"/>
                </w:tcPr>
                <w:p w14:paraId="51AE6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p>
              </w:tc>
              <w:tc>
                <w:tcPr>
                  <w:tcW w:w="1455" w:type="dxa"/>
                  <w:noWrap w:val="0"/>
                  <w:vAlign w:val="center"/>
                </w:tcPr>
                <w:p w14:paraId="617B4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36汽车制造业</w:t>
                  </w:r>
                </w:p>
              </w:tc>
              <w:tc>
                <w:tcPr>
                  <w:tcW w:w="3838" w:type="dxa"/>
                  <w:noWrap w:val="0"/>
                  <w:vAlign w:val="center"/>
                </w:tcPr>
                <w:p w14:paraId="42DD4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362汽车用发动机制造</w:t>
                  </w:r>
                </w:p>
                <w:p w14:paraId="5C9D0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363改装汽车制造</w:t>
                  </w:r>
                </w:p>
                <w:p w14:paraId="79D74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366汽车车身、挂车制造</w:t>
                  </w:r>
                </w:p>
                <w:p w14:paraId="12D37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rPr>
                    <w:t>367汽车零部件及配件制造</w:t>
                  </w:r>
                </w:p>
              </w:tc>
            </w:tr>
            <w:tr w14:paraId="28EFB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continue"/>
                  <w:noWrap w:val="0"/>
                  <w:vAlign w:val="center"/>
                </w:tcPr>
                <w:p w14:paraId="0B188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p>
              </w:tc>
              <w:tc>
                <w:tcPr>
                  <w:tcW w:w="1455" w:type="dxa"/>
                  <w:noWrap w:val="0"/>
                  <w:vAlign w:val="center"/>
                </w:tcPr>
                <w:p w14:paraId="30491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30非金属矿物制品业</w:t>
                  </w:r>
                </w:p>
              </w:tc>
              <w:tc>
                <w:tcPr>
                  <w:tcW w:w="3838" w:type="dxa"/>
                  <w:noWrap w:val="0"/>
                  <w:vAlign w:val="center"/>
                </w:tcPr>
                <w:p w14:paraId="65C4F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302石膏、水泥制品及类似制品制造</w:t>
                  </w:r>
                </w:p>
                <w:p w14:paraId="0E174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303砖瓦、石材等建筑材料制造</w:t>
                  </w:r>
                </w:p>
                <w:p w14:paraId="4E53B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304玻璃制造</w:t>
                  </w:r>
                </w:p>
                <w:p w14:paraId="1BFCC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305玻璃制品制造</w:t>
                  </w:r>
                </w:p>
                <w:p w14:paraId="049BC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306玻璃纤维和玻璃纤维增强塑料制品制造</w:t>
                  </w:r>
                </w:p>
                <w:p w14:paraId="2E1CD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308耐火材料制品制造</w:t>
                  </w:r>
                </w:p>
                <w:p w14:paraId="60A97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309石墨及其他非金属矿物制品制造</w:t>
                  </w:r>
                </w:p>
              </w:tc>
            </w:tr>
            <w:tr w14:paraId="1EFB2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restart"/>
                  <w:noWrap w:val="0"/>
                  <w:vAlign w:val="center"/>
                </w:tcPr>
                <w:p w14:paraId="5FA65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优先引入</w:t>
                  </w:r>
                </w:p>
              </w:tc>
              <w:tc>
                <w:tcPr>
                  <w:tcW w:w="5293" w:type="dxa"/>
                  <w:gridSpan w:val="2"/>
                  <w:noWrap w:val="0"/>
                  <w:vAlign w:val="center"/>
                </w:tcPr>
                <w:p w14:paraId="1CB77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符合产业定位且属于国家发展和改革委《产业结构调整指导目录（2024年本）</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鼓励外商投资产业目录》（2022年版）、《产业转移指导目录》（2018年版）、《战略性新兴产业重点产品和服务指导目录（2016版）》等产业政策文件中属于鼓励类和重点发展中的产品、工艺和技术。</w:t>
                  </w:r>
                </w:p>
              </w:tc>
            </w:tr>
            <w:tr w14:paraId="2BC30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continue"/>
                  <w:noWrap w:val="0"/>
                  <w:vAlign w:val="center"/>
                </w:tcPr>
                <w:p w14:paraId="633BB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p>
              </w:tc>
              <w:tc>
                <w:tcPr>
                  <w:tcW w:w="5293" w:type="dxa"/>
                  <w:gridSpan w:val="2"/>
                  <w:noWrap w:val="0"/>
                  <w:vAlign w:val="center"/>
                </w:tcPr>
                <w:p w14:paraId="26357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鼓励依托产业定位发展上下游关联度强、技术水平高、绿色安全环保的企业和项目，进一步补链、延链、强链。</w:t>
                  </w:r>
                </w:p>
              </w:tc>
            </w:tr>
            <w:tr w14:paraId="66CE0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55CFB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有条件引入</w:t>
                  </w:r>
                </w:p>
              </w:tc>
              <w:tc>
                <w:tcPr>
                  <w:tcW w:w="5293" w:type="dxa"/>
                  <w:gridSpan w:val="2"/>
                  <w:noWrap w:val="0"/>
                  <w:vAlign w:val="center"/>
                </w:tcPr>
                <w:p w14:paraId="33E7C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与主导产业链配套的其他相关产业，且经过充分的环境影响论证。</w:t>
                  </w:r>
                </w:p>
              </w:tc>
            </w:tr>
            <w:tr w14:paraId="60C09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restart"/>
                  <w:noWrap w:val="0"/>
                  <w:vAlign w:val="center"/>
                </w:tcPr>
                <w:p w14:paraId="09C88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限制引入类项目</w:t>
                  </w:r>
                </w:p>
              </w:tc>
              <w:tc>
                <w:tcPr>
                  <w:tcW w:w="5293" w:type="dxa"/>
                  <w:gridSpan w:val="2"/>
                  <w:noWrap w:val="0"/>
                  <w:vAlign w:val="center"/>
                </w:tcPr>
                <w:p w14:paraId="0158F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限制发展能源、资源消耗量或排污量较大但效益相对较好的企业，主要为规划外非禁止类项目，具体项目引入需经充分环境影响论证；</w:t>
                  </w:r>
                </w:p>
              </w:tc>
            </w:tr>
            <w:tr w14:paraId="0883E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continue"/>
                  <w:noWrap w:val="0"/>
                  <w:vAlign w:val="center"/>
                </w:tcPr>
                <w:p w14:paraId="0DF90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p>
              </w:tc>
              <w:tc>
                <w:tcPr>
                  <w:tcW w:w="5293" w:type="dxa"/>
                  <w:gridSpan w:val="2"/>
                  <w:noWrap w:val="0"/>
                  <w:vAlign w:val="center"/>
                </w:tcPr>
                <w:p w14:paraId="6C480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限制新增与主导产业无关的、污染物排放量大的产业项目；</w:t>
                  </w:r>
                </w:p>
              </w:tc>
            </w:tr>
            <w:tr w14:paraId="3396B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continue"/>
                  <w:noWrap w:val="0"/>
                  <w:vAlign w:val="center"/>
                </w:tcPr>
                <w:p w14:paraId="2EFED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p>
              </w:tc>
              <w:tc>
                <w:tcPr>
                  <w:tcW w:w="5293" w:type="dxa"/>
                  <w:gridSpan w:val="2"/>
                  <w:noWrap w:val="0"/>
                  <w:vAlign w:val="center"/>
                </w:tcPr>
                <w:p w14:paraId="4BE30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与主导产业相关的“两高”类项目需按照国家及安徽省相关政策要求严格控制引入，并经过环境影响充分论证。</w:t>
                  </w:r>
                </w:p>
              </w:tc>
            </w:tr>
            <w:tr w14:paraId="7EFA4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73A41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禁止类</w:t>
                  </w:r>
                </w:p>
              </w:tc>
              <w:tc>
                <w:tcPr>
                  <w:tcW w:w="5293" w:type="dxa"/>
                  <w:gridSpan w:val="2"/>
                  <w:noWrap w:val="0"/>
                  <w:vAlign w:val="center"/>
                </w:tcPr>
                <w:p w14:paraId="24263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禁止引入《产业结构调整指导目录（2024年本）》《外商投资准入特别管理措施（负面清单）（2021年版）》《市场准入负面清单（2020年版）》和《国家长江经济带市场准入禁止限制目录》等相关产业政策中禁止或淘汰类项目、产品、工艺和设备；</w:t>
                  </w:r>
                </w:p>
                <w:p w14:paraId="0D649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（2）禁止引入专门从事印染、制革、电镀等生产的项目，禁止引入与主导产业不相符的“两高”类项目；</w:t>
                  </w:r>
                </w:p>
                <w:p w14:paraId="42379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（3）禁止新建、扩建法律法规和相关政策明令禁止的落后产能项目；</w:t>
                  </w:r>
                </w:p>
                <w:p w14:paraId="26E4B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（4）禁止新建、扩建不符合国家产能置换要求的严重过剩产能行业的项目；</w:t>
                  </w:r>
                </w:p>
                <w:p w14:paraId="11784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（5）区内部分紧邻居民点等环境敏感目标的工业用地，严格限制设计使用危险化学品的企业入驻。</w:t>
                  </w:r>
                </w:p>
              </w:tc>
            </w:tr>
            <w:tr w14:paraId="15A6B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4CA97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空间布局约束</w:t>
                  </w:r>
                </w:p>
              </w:tc>
              <w:tc>
                <w:tcPr>
                  <w:tcW w:w="5293" w:type="dxa"/>
                  <w:gridSpan w:val="2"/>
                  <w:noWrap w:val="0"/>
                  <w:vAlign w:val="center"/>
                </w:tcPr>
                <w:p w14:paraId="29004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新建项目不得占用规划生态廊道和绿地区域。</w:t>
                  </w:r>
                </w:p>
              </w:tc>
            </w:tr>
            <w:tr w14:paraId="7848C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1985B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环境质量</w:t>
                  </w:r>
                </w:p>
              </w:tc>
              <w:tc>
                <w:tcPr>
                  <w:tcW w:w="5293" w:type="dxa"/>
                  <w:gridSpan w:val="2"/>
                  <w:noWrap w:val="0"/>
                  <w:vAlign w:val="center"/>
                </w:tcPr>
                <w:p w14:paraId="5053E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质量达到《环境空气质量标准》二级标准、《环境影响评价技术导则大气环境》（HJ2.2-2018）附录D其他污染物空气质量浓度参考限值等。淮河地表水达到《地表水环境质量标准》Ⅲ类标准；架河达到《地表水环境质量标准》IV类标准。土壤达到《土壤环境质量建设用地土壤污染风险管控标准（试行）》（GB36600-2018）中第二类用地筛选值，规划区域居住用地土壤达到《土壤环境质量建设用地土壤污染风险管控标准（试行）》（GB36600-2018）中第一类用地筛选值，规划区域农田土壤达到</w:t>
                  </w:r>
                  <w:r>
                    <w:rPr>
                      <w:rFonts w:hint="eastAsia" w:ascii="Times New Roman" w:hAnsi="Times New Roman" w:cs="Times New Roman"/>
                      <w:color w:val="auto"/>
                      <w:sz w:val="21"/>
                      <w:szCs w:val="21"/>
                      <w:highlight w:val="none"/>
                      <w:lang w:eastAsia="zh-CN"/>
                    </w:rPr>
                    <w:t>《土壤环境质量农用地土壤污染风险管控标准（试行）》</w:t>
                  </w:r>
                  <w:r>
                    <w:rPr>
                      <w:rFonts w:hint="default" w:ascii="Times New Roman" w:hAnsi="Times New Roman" w:cs="Times New Roman"/>
                      <w:color w:val="auto"/>
                      <w:sz w:val="21"/>
                      <w:szCs w:val="21"/>
                      <w:highlight w:val="none"/>
                    </w:rPr>
                    <w:t>中筛选值。</w:t>
                  </w:r>
                </w:p>
              </w:tc>
            </w:tr>
            <w:tr w14:paraId="0B213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41D9D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总量控制</w:t>
                  </w:r>
                </w:p>
              </w:tc>
              <w:tc>
                <w:tcPr>
                  <w:tcW w:w="5293" w:type="dxa"/>
                  <w:gridSpan w:val="2"/>
                  <w:noWrap w:val="0"/>
                  <w:vAlign w:val="center"/>
                </w:tcPr>
                <w:p w14:paraId="250F5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大气污染物：规划期末SO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：0.785t/a、NOx：27.133t/a、颗粒物：55.408t/a、VOCs：168.449t/a；废水污染物（外环境）：废水排放总量1638.288万t/a、COD：615.644t/a、氨氮：63.977t/a。</w:t>
                  </w:r>
                </w:p>
              </w:tc>
            </w:tr>
            <w:tr w14:paraId="0CC24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restart"/>
                  <w:noWrap w:val="0"/>
                  <w:vAlign w:val="center"/>
                </w:tcPr>
                <w:p w14:paraId="4C49D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环境风险防控</w:t>
                  </w:r>
                </w:p>
              </w:tc>
              <w:tc>
                <w:tcPr>
                  <w:tcW w:w="5293" w:type="dxa"/>
                  <w:gridSpan w:val="2"/>
                  <w:noWrap w:val="0"/>
                  <w:vAlign w:val="center"/>
                </w:tcPr>
                <w:p w14:paraId="3BC3C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完善园区环境风险防范预警系统，建立风险源动态数据库，加强对潜在风险源的管理，对易引发突发性环境污染事故的场所安装相应的监测和预警装置，实现快速应急响应。</w:t>
                  </w:r>
                </w:p>
              </w:tc>
            </w:tr>
            <w:tr w14:paraId="4DA53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vMerge w:val="continue"/>
                  <w:noWrap w:val="0"/>
                  <w:vAlign w:val="center"/>
                </w:tcPr>
                <w:p w14:paraId="66697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p>
              </w:tc>
              <w:tc>
                <w:tcPr>
                  <w:tcW w:w="5293" w:type="dxa"/>
                  <w:gridSpan w:val="2"/>
                  <w:noWrap w:val="0"/>
                  <w:vAlign w:val="center"/>
                </w:tcPr>
                <w:p w14:paraId="155E4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对生产、使用、存储或释放风险物质的企业，开展突发环境事件风险评估，督促重点环境风险企业开展环境风险隐患排查整改。加强危险化学品运输管理。</w:t>
                  </w:r>
                </w:p>
              </w:tc>
            </w:tr>
            <w:tr w14:paraId="51490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0" w:type="dxa"/>
                  <w:noWrap w:val="0"/>
                  <w:vAlign w:val="center"/>
                </w:tcPr>
                <w:p w14:paraId="7CB0D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清洁生产要求</w:t>
                  </w:r>
                </w:p>
              </w:tc>
              <w:tc>
                <w:tcPr>
                  <w:tcW w:w="5293" w:type="dxa"/>
                  <w:gridSpan w:val="2"/>
                  <w:noWrap w:val="0"/>
                  <w:vAlign w:val="center"/>
                </w:tcPr>
                <w:p w14:paraId="20BD3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标节能减排和碳达峰、碳中和目标，严格高耗能高排放项目准入，新建、改建、扩建项目应采取先进适用的工艺技术和装备，单位产品能耗、物耗和水耗等达到国内清洁生产先进水平。禁止引进低于国内先进水平的项目。</w:t>
                  </w:r>
                </w:p>
              </w:tc>
            </w:tr>
          </w:tbl>
          <w:p w14:paraId="1104A3F1">
            <w:pPr>
              <w:keepNext w:val="0"/>
              <w:keepLines w:val="0"/>
              <w:widowControl/>
              <w:suppressLineNumbers w:val="0"/>
              <w:spacing w:before="0" w:beforeAutospacing="0" w:after="0" w:afterAutospacing="0"/>
              <w:ind w:left="0" w:right="0"/>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注：安徽凤台开发区生态环境准入要求应同步满足安徽省生态环境准入清单、淮南市市级生态环境准入清单中所列的一般性管控要求，上述清单中所列要求此处不再重复。</w:t>
            </w:r>
          </w:p>
          <w:p w14:paraId="4EDAABC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jc w:val="left"/>
              <w:textAlignment w:val="auto"/>
              <w:rPr>
                <w:rFonts w:hint="eastAsia" w:hAnsi="宋体" w:eastAsia="宋体"/>
                <w:b w:val="0"/>
                <w:bCs/>
                <w:color w:val="auto"/>
                <w:sz w:val="24"/>
                <w:highlight w:val="none"/>
                <w:lang w:val="en-US" w:eastAsia="zh-CN"/>
              </w:rPr>
            </w:pPr>
            <w:r>
              <w:rPr>
                <w:rFonts w:hint="eastAsia" w:ascii="Times New Roman" w:hAnsi="Times New Roman"/>
                <w:color w:val="auto"/>
                <w:kern w:val="0"/>
                <w:sz w:val="24"/>
                <w:szCs w:val="24"/>
                <w:highlight w:val="none"/>
              </w:rPr>
              <w:t>本项目国民经济行业类别为</w:t>
            </w:r>
            <w:r>
              <w:rPr>
                <w:rFonts w:hint="eastAsia" w:ascii="Times New Roman" w:hAnsi="宋体" w:eastAsia="宋体" w:cs="Times New Roman"/>
                <w:color w:val="auto"/>
                <w:sz w:val="24"/>
                <w:highlight w:val="none"/>
              </w:rPr>
              <w:t>C3042 特种玻璃制造</w:t>
            </w:r>
            <w:r>
              <w:rPr>
                <w:rFonts w:hint="eastAsia" w:ascii="Times New Roman" w:hAnsi="Times New Roman"/>
                <w:color w:val="auto"/>
                <w:kern w:val="0"/>
                <w:sz w:val="24"/>
                <w:szCs w:val="24"/>
                <w:highlight w:val="none"/>
              </w:rPr>
              <w:t>，主要从事</w:t>
            </w:r>
            <w:r>
              <w:rPr>
                <w:rFonts w:hint="eastAsia" w:ascii="Times New Roman" w:hAnsi="Times New Roman"/>
                <w:color w:val="auto"/>
                <w:kern w:val="0"/>
                <w:sz w:val="24"/>
                <w:szCs w:val="24"/>
                <w:highlight w:val="none"/>
                <w:lang w:val="en-US" w:eastAsia="zh-CN"/>
              </w:rPr>
              <w:t>光伏玻璃生产加工</w:t>
            </w:r>
            <w:r>
              <w:rPr>
                <w:rFonts w:hint="eastAsia" w:ascii="Times New Roman" w:hAnsi="Times New Roman"/>
                <w:color w:val="auto"/>
                <w:kern w:val="0"/>
                <w:sz w:val="24"/>
                <w:szCs w:val="24"/>
                <w:highlight w:val="none"/>
              </w:rPr>
              <w:t>，对照</w:t>
            </w:r>
            <w:r>
              <w:rPr>
                <w:rFonts w:hint="eastAsia" w:ascii="Times New Roman" w:hAnsi="Times New Roman"/>
                <w:color w:val="auto"/>
                <w:kern w:val="0"/>
                <w:sz w:val="24"/>
                <w:szCs w:val="24"/>
                <w:highlight w:val="none"/>
                <w:lang w:val="en-US" w:eastAsia="zh-CN"/>
              </w:rPr>
              <w:t>准入清单</w:t>
            </w:r>
            <w:r>
              <w:rPr>
                <w:rFonts w:hint="eastAsia" w:ascii="Times New Roman" w:hAnsi="Times New Roman"/>
                <w:color w:val="auto"/>
                <w:kern w:val="0"/>
                <w:sz w:val="24"/>
                <w:szCs w:val="24"/>
                <w:highlight w:val="none"/>
              </w:rPr>
              <w:t>项目</w:t>
            </w:r>
            <w:r>
              <w:rPr>
                <w:rFonts w:hint="eastAsia"/>
                <w:color w:val="auto"/>
                <w:kern w:val="0"/>
                <w:sz w:val="24"/>
                <w:szCs w:val="24"/>
                <w:highlight w:val="none"/>
                <w:lang w:val="en-US" w:eastAsia="zh-CN"/>
              </w:rPr>
              <w:t>属于</w:t>
            </w:r>
            <w:r>
              <w:rPr>
                <w:rFonts w:hint="eastAsia"/>
                <w:color w:val="auto"/>
                <w:kern w:val="0"/>
                <w:sz w:val="24"/>
                <w:szCs w:val="24"/>
                <w:highlight w:val="none"/>
                <w:lang w:eastAsia="zh-CN"/>
              </w:rPr>
              <w:t>主导产业，</w:t>
            </w:r>
            <w:r>
              <w:rPr>
                <w:rFonts w:hint="eastAsia" w:ascii="Times New Roman" w:hAnsi="Times New Roman"/>
                <w:color w:val="auto"/>
                <w:kern w:val="0"/>
                <w:sz w:val="24"/>
                <w:szCs w:val="24"/>
                <w:highlight w:val="none"/>
              </w:rPr>
              <w:t>因此</w:t>
            </w:r>
            <w:r>
              <w:rPr>
                <w:rFonts w:hint="eastAsia"/>
                <w:color w:val="auto"/>
                <w:kern w:val="0"/>
                <w:sz w:val="24"/>
                <w:szCs w:val="24"/>
                <w:highlight w:val="none"/>
                <w:lang w:eastAsia="zh-CN"/>
              </w:rPr>
              <w:t>，</w:t>
            </w:r>
            <w:r>
              <w:rPr>
                <w:rFonts w:hint="eastAsia" w:ascii="Times New Roman" w:hAnsi="Times New Roman"/>
                <w:color w:val="auto"/>
                <w:kern w:val="0"/>
                <w:sz w:val="24"/>
                <w:szCs w:val="24"/>
                <w:highlight w:val="none"/>
              </w:rPr>
              <w:t>符合开发区</w:t>
            </w:r>
            <w:r>
              <w:rPr>
                <w:rFonts w:hint="eastAsia" w:ascii="Times New Roman" w:hAnsi="Times New Roman"/>
                <w:color w:val="auto"/>
                <w:kern w:val="0"/>
                <w:sz w:val="24"/>
                <w:szCs w:val="24"/>
                <w:highlight w:val="none"/>
                <w:lang w:val="en-US" w:eastAsia="zh-CN"/>
              </w:rPr>
              <w:t>准入清单</w:t>
            </w:r>
            <w:r>
              <w:rPr>
                <w:rFonts w:hint="eastAsia" w:ascii="Times New Roman" w:hAnsi="Times New Roman"/>
                <w:color w:val="auto"/>
                <w:kern w:val="0"/>
                <w:sz w:val="24"/>
                <w:szCs w:val="24"/>
                <w:highlight w:val="none"/>
              </w:rPr>
              <w:t>要求</w:t>
            </w:r>
            <w:r>
              <w:rPr>
                <w:rFonts w:hint="eastAsia"/>
                <w:color w:val="auto"/>
                <w:kern w:val="0"/>
                <w:sz w:val="24"/>
                <w:szCs w:val="24"/>
                <w:highlight w:val="none"/>
                <w:lang w:eastAsia="zh-CN"/>
              </w:rPr>
              <w:t>。</w:t>
            </w:r>
          </w:p>
          <w:p w14:paraId="29EE5956">
            <w:pPr>
              <w:autoSpaceDE w:val="0"/>
              <w:autoSpaceDN w:val="0"/>
              <w:adjustRightInd w:val="0"/>
              <w:snapToGrid w:val="0"/>
              <w:spacing w:line="360" w:lineRule="auto"/>
              <w:ind w:firstLine="480" w:firstLineChars="200"/>
              <w:jc w:val="left"/>
              <w:rPr>
                <w:rFonts w:ascii="Times New Roman" w:hAnsi="Times New Roman"/>
                <w:color w:val="auto"/>
                <w:sz w:val="24"/>
                <w:highlight w:val="none"/>
              </w:rPr>
            </w:pPr>
          </w:p>
        </w:tc>
      </w:tr>
    </w:tbl>
    <w:p w14:paraId="3DDF0FCA">
      <w:pPr>
        <w:ind w:firstLine="480"/>
        <w:rPr>
          <w:color w:val="auto"/>
          <w:highlight w:val="none"/>
        </w:rPr>
        <w:sectPr>
          <w:headerReference r:id="rId3" w:type="default"/>
          <w:footerReference r:id="rId4" w:type="default"/>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8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14:paraId="793C9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7" w:type="dxa"/>
            <w:noWrap w:val="0"/>
            <w:vAlign w:val="center"/>
          </w:tcPr>
          <w:p w14:paraId="38E8DFC2">
            <w:pPr>
              <w:autoSpaceDE w:val="0"/>
              <w:autoSpaceDN w:val="0"/>
              <w:spacing w:line="360" w:lineRule="auto"/>
              <w:jc w:val="center"/>
              <w:rPr>
                <w:rFonts w:ascii="Times New Roman" w:hAnsi="宋体"/>
                <w:color w:val="auto"/>
                <w:kern w:val="0"/>
                <w:sz w:val="24"/>
                <w:szCs w:val="24"/>
                <w:highlight w:val="none"/>
              </w:rPr>
            </w:pPr>
            <w:r>
              <w:rPr>
                <w:rFonts w:ascii="Times New Roman" w:hAnsi="宋体"/>
                <w:color w:val="auto"/>
                <w:kern w:val="0"/>
                <w:sz w:val="24"/>
                <w:szCs w:val="24"/>
                <w:highlight w:val="none"/>
              </w:rPr>
              <w:t>其他符合性</w:t>
            </w:r>
          </w:p>
          <w:p w14:paraId="62216A85">
            <w:pPr>
              <w:autoSpaceDE w:val="0"/>
              <w:autoSpaceDN w:val="0"/>
              <w:spacing w:line="360" w:lineRule="auto"/>
              <w:jc w:val="center"/>
              <w:rPr>
                <w:rFonts w:ascii="Times New Roman" w:hAnsi="Times New Roman"/>
                <w:color w:val="auto"/>
                <w:kern w:val="0"/>
                <w:sz w:val="24"/>
                <w:szCs w:val="24"/>
                <w:highlight w:val="none"/>
              </w:rPr>
            </w:pPr>
            <w:r>
              <w:rPr>
                <w:rFonts w:ascii="Times New Roman" w:hAnsi="宋体"/>
                <w:color w:val="auto"/>
                <w:kern w:val="0"/>
                <w:sz w:val="24"/>
                <w:szCs w:val="24"/>
                <w:highlight w:val="none"/>
              </w:rPr>
              <w:t>分析</w:t>
            </w:r>
          </w:p>
        </w:tc>
        <w:tc>
          <w:tcPr>
            <w:tcW w:w="8125" w:type="dxa"/>
            <w:noWrap w:val="0"/>
            <w:vAlign w:val="center"/>
          </w:tcPr>
          <w:p w14:paraId="004548DA">
            <w:pPr>
              <w:snapToGrid w:val="0"/>
              <w:spacing w:line="360" w:lineRule="auto"/>
              <w:ind w:firstLine="482" w:firstLineChars="200"/>
              <w:rPr>
                <w:rFonts w:ascii="Times New Roman" w:hAnsi="Times New Roman"/>
                <w:b/>
                <w:color w:val="auto"/>
                <w:kern w:val="0"/>
                <w:sz w:val="24"/>
                <w:szCs w:val="24"/>
                <w:highlight w:val="none"/>
              </w:rPr>
            </w:pPr>
            <w:r>
              <w:rPr>
                <w:rFonts w:ascii="Times New Roman" w:hAnsi="Times New Roman"/>
                <w:b/>
                <w:color w:val="auto"/>
                <w:kern w:val="0"/>
                <w:sz w:val="24"/>
                <w:szCs w:val="24"/>
                <w:highlight w:val="none"/>
              </w:rPr>
              <w:t>1</w:t>
            </w:r>
            <w:r>
              <w:rPr>
                <w:rFonts w:ascii="Times New Roman" w:hAnsi="宋体"/>
                <w:b/>
                <w:color w:val="auto"/>
                <w:kern w:val="0"/>
                <w:sz w:val="24"/>
                <w:szCs w:val="24"/>
                <w:highlight w:val="none"/>
              </w:rPr>
              <w:t>、产业政策</w:t>
            </w:r>
            <w:r>
              <w:rPr>
                <w:rFonts w:hint="eastAsia" w:ascii="Times New Roman" w:hAnsi="宋体"/>
                <w:b/>
                <w:color w:val="auto"/>
                <w:kern w:val="0"/>
                <w:sz w:val="24"/>
                <w:szCs w:val="24"/>
                <w:highlight w:val="none"/>
              </w:rPr>
              <w:t>符合</w:t>
            </w:r>
            <w:r>
              <w:rPr>
                <w:rFonts w:ascii="Times New Roman" w:hAnsi="宋体"/>
                <w:b/>
                <w:color w:val="auto"/>
                <w:kern w:val="0"/>
                <w:sz w:val="24"/>
                <w:szCs w:val="24"/>
                <w:highlight w:val="none"/>
              </w:rPr>
              <w:t>性分析</w:t>
            </w:r>
          </w:p>
          <w:p w14:paraId="7D5F52D2">
            <w:pPr>
              <w:snapToGrid w:val="0"/>
              <w:spacing w:line="360" w:lineRule="auto"/>
              <w:ind w:firstLine="480" w:firstLineChars="200"/>
              <w:rPr>
                <w:rFonts w:ascii="Times New Roman" w:hAnsi="Times New Roman"/>
                <w:color w:val="auto"/>
                <w:kern w:val="0"/>
                <w:sz w:val="24"/>
                <w:szCs w:val="24"/>
                <w:highlight w:val="none"/>
              </w:rPr>
            </w:pPr>
            <w:r>
              <w:rPr>
                <w:rFonts w:ascii="Times New Roman" w:hAnsi="宋体"/>
                <w:bCs/>
                <w:color w:val="auto"/>
                <w:sz w:val="24"/>
                <w:highlight w:val="none"/>
              </w:rPr>
              <w:t>本项目</w:t>
            </w:r>
            <w:r>
              <w:rPr>
                <w:rFonts w:hint="eastAsia" w:ascii="Times New Roman" w:hAnsi="宋体"/>
                <w:bCs/>
                <w:color w:val="auto"/>
                <w:sz w:val="24"/>
                <w:highlight w:val="none"/>
              </w:rPr>
              <w:t>属于</w:t>
            </w:r>
            <w:r>
              <w:rPr>
                <w:rFonts w:hint="eastAsia" w:ascii="Times New Roman" w:hAnsi="宋体"/>
                <w:bCs/>
                <w:color w:val="auto"/>
                <w:sz w:val="24"/>
                <w:highlight w:val="none"/>
                <w:lang w:eastAsia="zh-CN"/>
              </w:rPr>
              <w:t>C3042 特种玻璃制造</w:t>
            </w:r>
            <w:r>
              <w:rPr>
                <w:rFonts w:hint="eastAsia" w:ascii="Times New Roman" w:hAnsi="宋体"/>
                <w:bCs/>
                <w:color w:val="auto"/>
                <w:sz w:val="24"/>
                <w:highlight w:val="none"/>
              </w:rPr>
              <w:t>，建设</w:t>
            </w:r>
            <w:r>
              <w:rPr>
                <w:rFonts w:hint="eastAsia" w:ascii="Times New Roman" w:hAnsi="Times New Roman"/>
                <w:color w:val="auto"/>
                <w:sz w:val="24"/>
                <w:szCs w:val="24"/>
                <w:highlight w:val="none"/>
                <w:lang w:eastAsia="zh-CN"/>
              </w:rPr>
              <w:t>双玻组件用光伏玻璃深加工项目</w:t>
            </w:r>
            <w:r>
              <w:rPr>
                <w:rFonts w:hint="eastAsia" w:ascii="Times New Roman" w:hAnsi="宋体"/>
                <w:bCs/>
                <w:color w:val="auto"/>
                <w:sz w:val="24"/>
                <w:highlight w:val="none"/>
              </w:rPr>
              <w:t>，</w:t>
            </w:r>
            <w:r>
              <w:rPr>
                <w:rFonts w:ascii="Times New Roman" w:hAnsi="宋体"/>
                <w:bCs/>
                <w:color w:val="auto"/>
                <w:sz w:val="24"/>
                <w:highlight w:val="none"/>
              </w:rPr>
              <w:t>根据国家产业政策</w:t>
            </w:r>
            <w:r>
              <w:rPr>
                <w:rFonts w:hint="eastAsia" w:ascii="Times New Roman" w:hAnsi="宋体"/>
                <w:bCs/>
                <w:color w:val="auto"/>
                <w:sz w:val="24"/>
                <w:highlight w:val="none"/>
              </w:rPr>
              <w:t>，</w:t>
            </w:r>
            <w:r>
              <w:rPr>
                <w:rFonts w:hint="eastAsia" w:ascii="Times New Roman" w:hAnsi="宋体"/>
                <w:bCs/>
                <w:color w:val="auto"/>
                <w:sz w:val="24"/>
                <w:highlight w:val="none"/>
                <w:lang w:val="en-US" w:eastAsia="zh-CN"/>
              </w:rPr>
              <w:t>对照</w:t>
            </w:r>
            <w:r>
              <w:rPr>
                <w:rFonts w:ascii="Times New Roman" w:hAnsi="宋体"/>
                <w:bCs/>
                <w:color w:val="auto"/>
                <w:sz w:val="24"/>
                <w:highlight w:val="none"/>
              </w:rPr>
              <w:t>《产业结构调整指导目录</w:t>
            </w:r>
            <w:r>
              <w:rPr>
                <w:rFonts w:hint="eastAsia" w:ascii="Times New Roman" w:hAnsi="Times New Roman"/>
                <w:bCs/>
                <w:color w:val="auto"/>
                <w:sz w:val="24"/>
                <w:highlight w:val="none"/>
              </w:rPr>
              <w:t>（2024</w:t>
            </w:r>
            <w:r>
              <w:rPr>
                <w:rFonts w:ascii="Times New Roman" w:hAnsi="宋体"/>
                <w:bCs/>
                <w:color w:val="auto"/>
                <w:sz w:val="24"/>
                <w:highlight w:val="none"/>
              </w:rPr>
              <w:t>年本</w:t>
            </w:r>
            <w:r>
              <w:rPr>
                <w:rFonts w:hint="eastAsia" w:ascii="Times New Roman" w:hAnsi="Times New Roman"/>
                <w:bCs/>
                <w:color w:val="auto"/>
                <w:sz w:val="24"/>
                <w:highlight w:val="none"/>
              </w:rPr>
              <w:t>）</w:t>
            </w:r>
            <w:r>
              <w:rPr>
                <w:rFonts w:ascii="Times New Roman" w:hAnsi="宋体"/>
                <w:bCs/>
                <w:color w:val="auto"/>
                <w:sz w:val="24"/>
                <w:highlight w:val="none"/>
              </w:rPr>
              <w:t>》，本项目不属于限制类或淘汰类项目</w:t>
            </w:r>
            <w:r>
              <w:rPr>
                <w:rFonts w:hint="eastAsia" w:ascii="Times New Roman" w:hAnsi="宋体"/>
                <w:bCs/>
                <w:color w:val="auto"/>
                <w:sz w:val="24"/>
                <w:highlight w:val="none"/>
              </w:rPr>
              <w:t>，视为允许建设项目</w:t>
            </w:r>
            <w:r>
              <w:rPr>
                <w:rFonts w:hint="eastAsia" w:ascii="Times New Roman" w:hAnsi="宋体"/>
                <w:color w:val="auto"/>
                <w:kern w:val="0"/>
                <w:sz w:val="24"/>
                <w:szCs w:val="24"/>
                <w:highlight w:val="none"/>
              </w:rPr>
              <w:t>。</w:t>
            </w:r>
            <w:r>
              <w:rPr>
                <w:rFonts w:ascii="Times New Roman" w:hAnsi="Times New Roman"/>
                <w:bCs/>
                <w:color w:val="auto"/>
                <w:sz w:val="24"/>
                <w:highlight w:val="none"/>
              </w:rPr>
              <w:t>同时，</w:t>
            </w:r>
            <w:r>
              <w:rPr>
                <w:rFonts w:ascii="Times New Roman" w:hAnsi="Times New Roman"/>
                <w:color w:val="auto"/>
                <w:kern w:val="0"/>
                <w:sz w:val="24"/>
                <w:szCs w:val="24"/>
                <w:highlight w:val="none"/>
              </w:rPr>
              <w:t>项目已取得</w:t>
            </w:r>
            <w:r>
              <w:rPr>
                <w:rFonts w:hint="eastAsia" w:ascii="Times New Roman" w:hAnsi="Times New Roman"/>
                <w:color w:val="auto"/>
                <w:kern w:val="0"/>
                <w:sz w:val="24"/>
                <w:szCs w:val="24"/>
                <w:highlight w:val="none"/>
              </w:rPr>
              <w:t>淮南市凤台县发展和改革委员会对</w:t>
            </w:r>
            <w:r>
              <w:rPr>
                <w:rFonts w:ascii="Times New Roman" w:hAnsi="Times New Roman"/>
                <w:color w:val="auto"/>
                <w:kern w:val="0"/>
                <w:sz w:val="24"/>
                <w:szCs w:val="24"/>
                <w:highlight w:val="none"/>
              </w:rPr>
              <w:t>项目</w:t>
            </w:r>
            <w:r>
              <w:rPr>
                <w:rFonts w:hint="eastAsia" w:ascii="Times New Roman" w:hAnsi="Times New Roman"/>
                <w:color w:val="auto"/>
                <w:kern w:val="0"/>
                <w:sz w:val="24"/>
                <w:szCs w:val="24"/>
                <w:highlight w:val="none"/>
              </w:rPr>
              <w:t>的</w:t>
            </w:r>
            <w:r>
              <w:rPr>
                <w:rFonts w:ascii="Times New Roman" w:hAnsi="Times New Roman"/>
                <w:color w:val="auto"/>
                <w:kern w:val="0"/>
                <w:sz w:val="24"/>
                <w:szCs w:val="24"/>
                <w:highlight w:val="none"/>
              </w:rPr>
              <w:t>备案表，项目代码为：</w:t>
            </w:r>
            <w:r>
              <w:rPr>
                <w:rFonts w:hint="eastAsia" w:ascii="Times New Roman" w:hAnsi="Times New Roman"/>
                <w:color w:val="auto"/>
                <w:sz w:val="24"/>
                <w:szCs w:val="24"/>
                <w:highlight w:val="none"/>
                <w:lang w:eastAsia="zh-CN"/>
              </w:rPr>
              <w:t>2603-340421-04-03-407767</w:t>
            </w:r>
            <w:r>
              <w:rPr>
                <w:rFonts w:ascii="Times New Roman" w:hAnsi="Times New Roman"/>
                <w:color w:val="auto"/>
                <w:kern w:val="0"/>
                <w:sz w:val="24"/>
                <w:szCs w:val="24"/>
                <w:highlight w:val="none"/>
              </w:rPr>
              <w:t>。因此，本项目建设符合国家产业政策要求。</w:t>
            </w:r>
          </w:p>
          <w:p w14:paraId="5C2F7C3A">
            <w:pPr>
              <w:snapToGrid w:val="0"/>
              <w:spacing w:line="360" w:lineRule="auto"/>
              <w:ind w:firstLine="482" w:firstLineChars="200"/>
              <w:rPr>
                <w:rFonts w:ascii="Times New Roman" w:hAnsi="宋体"/>
                <w:b/>
                <w:color w:val="auto"/>
                <w:kern w:val="0"/>
                <w:sz w:val="24"/>
                <w:szCs w:val="24"/>
                <w:highlight w:val="none"/>
              </w:rPr>
            </w:pPr>
            <w:r>
              <w:rPr>
                <w:rFonts w:hint="eastAsia" w:ascii="Times New Roman" w:hAnsi="宋体"/>
                <w:b/>
                <w:color w:val="auto"/>
                <w:kern w:val="0"/>
                <w:sz w:val="24"/>
                <w:szCs w:val="24"/>
                <w:highlight w:val="none"/>
              </w:rPr>
              <w:t>2、用地性质符合性分析</w:t>
            </w:r>
          </w:p>
          <w:p w14:paraId="623667BF">
            <w:pPr>
              <w:pStyle w:val="42"/>
              <w:snapToGrid/>
              <w:ind w:firstLine="480"/>
              <w:jc w:val="left"/>
              <w:rPr>
                <w:rFonts w:hint="default" w:ascii="Times New Roman" w:hAnsi="Times New Roman" w:eastAsia="宋体" w:cs="Times New Roman"/>
                <w:snapToGrid/>
                <w:color w:val="auto"/>
                <w:szCs w:val="24"/>
                <w:highlight w:val="none"/>
              </w:rPr>
            </w:pPr>
            <w:r>
              <w:rPr>
                <w:rFonts w:hint="default" w:ascii="Times New Roman" w:hAnsi="Times New Roman" w:eastAsia="宋体" w:cs="Times New Roman"/>
                <w:snapToGrid/>
                <w:color w:val="auto"/>
                <w:szCs w:val="24"/>
                <w:highlight w:val="none"/>
              </w:rPr>
              <w:t>本项目位于安徽省淮南市凤台经济开发区</w:t>
            </w:r>
            <w:r>
              <w:rPr>
                <w:rFonts w:hint="eastAsia" w:ascii="Times New Roman" w:hAnsi="宋体"/>
                <w:color w:val="auto"/>
                <w:sz w:val="24"/>
                <w:highlight w:val="none"/>
              </w:rPr>
              <w:t>国晟</w:t>
            </w:r>
            <w:r>
              <w:rPr>
                <w:rFonts w:hint="eastAsia" w:ascii="Times New Roman" w:hAnsi="宋体"/>
                <w:color w:val="auto"/>
                <w:sz w:val="24"/>
                <w:highlight w:val="none"/>
                <w:lang w:eastAsia="zh-CN"/>
              </w:rPr>
              <w:t>（</w:t>
            </w:r>
            <w:r>
              <w:rPr>
                <w:rFonts w:hint="eastAsia" w:ascii="Times New Roman" w:hAnsi="宋体"/>
                <w:color w:val="auto"/>
                <w:sz w:val="24"/>
                <w:highlight w:val="none"/>
              </w:rPr>
              <w:t>凤台</w:t>
            </w:r>
            <w:r>
              <w:rPr>
                <w:rFonts w:hint="eastAsia" w:ascii="Times New Roman" w:hAnsi="宋体"/>
                <w:color w:val="auto"/>
                <w:sz w:val="24"/>
                <w:highlight w:val="none"/>
                <w:lang w:eastAsia="zh-CN"/>
              </w:rPr>
              <w:t>）</w:t>
            </w:r>
            <w:r>
              <w:rPr>
                <w:rFonts w:hint="eastAsia" w:ascii="Times New Roman" w:hAnsi="宋体"/>
                <w:color w:val="auto"/>
                <w:sz w:val="24"/>
                <w:highlight w:val="none"/>
              </w:rPr>
              <w:t>异质结双碳产业园内</w:t>
            </w:r>
            <w:r>
              <w:rPr>
                <w:rFonts w:hint="default" w:ascii="Times New Roman" w:hAnsi="Times New Roman" w:eastAsia="宋体" w:cs="Times New Roman"/>
                <w:snapToGrid/>
                <w:color w:val="auto"/>
                <w:szCs w:val="24"/>
                <w:highlight w:val="none"/>
              </w:rPr>
              <w:t>，根据</w:t>
            </w:r>
            <w:r>
              <w:rPr>
                <w:rFonts w:hint="default" w:ascii="Times New Roman" w:hAnsi="Times New Roman" w:eastAsia="宋体" w:cs="Times New Roman"/>
                <w:bCs/>
                <w:color w:val="auto"/>
                <w:highlight w:val="none"/>
              </w:rPr>
              <w:t>《凤台县城区A09-01-01、A09-01-02地块控制性详细规划》</w:t>
            </w:r>
            <w:r>
              <w:rPr>
                <w:rFonts w:hint="default" w:ascii="Times New Roman" w:hAnsi="Times New Roman" w:eastAsia="宋体" w:cs="Times New Roman"/>
                <w:snapToGrid/>
                <w:color w:val="auto"/>
                <w:szCs w:val="24"/>
                <w:highlight w:val="none"/>
              </w:rPr>
              <w:t>，项目用地性质为工业用地，因此项目用地符合规划。具体见下图1-1。</w:t>
            </w:r>
          </w:p>
          <w:p w14:paraId="1DB17261">
            <w:pPr>
              <w:pStyle w:val="42"/>
              <w:snapToGrid/>
              <w:ind w:firstLine="0" w:firstLineChars="0"/>
              <w:jc w:val="center"/>
              <w:rPr>
                <w:rFonts w:ascii="Times New Roman" w:hAnsi="Times New Roman" w:cs="Times New Roman"/>
                <w:snapToGrid/>
                <w:color w:val="auto"/>
                <w:szCs w:val="24"/>
                <w:highlight w:val="none"/>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2506980</wp:posOffset>
                      </wp:positionH>
                      <wp:positionV relativeFrom="paragraph">
                        <wp:posOffset>1243330</wp:posOffset>
                      </wp:positionV>
                      <wp:extent cx="384175" cy="222885"/>
                      <wp:effectExtent l="4445" t="4445" r="11430" b="20320"/>
                      <wp:wrapNone/>
                      <wp:docPr id="7" name="矩形 25"/>
                      <wp:cNvGraphicFramePr/>
                      <a:graphic xmlns:a="http://schemas.openxmlformats.org/drawingml/2006/main">
                        <a:graphicData uri="http://schemas.microsoft.com/office/word/2010/wordprocessingShape">
                          <wps:wsp>
                            <wps:cNvSpPr/>
                            <wps:spPr>
                              <a:xfrm>
                                <a:off x="0" y="0"/>
                                <a:ext cx="384175" cy="222885"/>
                              </a:xfrm>
                              <a:prstGeom prst="rect">
                                <a:avLst/>
                              </a:prstGeom>
                              <a:noFill/>
                              <a:ln w="6350" cap="flat" cmpd="sng">
                                <a:solidFill>
                                  <a:srgbClr val="FFFF00"/>
                                </a:solidFill>
                                <a:prstDash val="solid"/>
                                <a:miter/>
                                <a:headEnd type="none" w="med" len="med"/>
                                <a:tailEnd type="none" w="sm" len="med"/>
                              </a:ln>
                            </wps:spPr>
                            <wps:bodyPr vert="horz" wrap="square" anchor="t" anchorCtr="0" upright="1"/>
                          </wps:wsp>
                        </a:graphicData>
                      </a:graphic>
                    </wp:anchor>
                  </w:drawing>
                </mc:Choice>
                <mc:Fallback>
                  <w:pict>
                    <v:rect id="矩形 25" o:spid="_x0000_s1026" o:spt="1" style="position:absolute;left:0pt;margin-left:197.4pt;margin-top:97.9pt;height:17.55pt;width:30.25pt;z-index:251663360;mso-width-relative:page;mso-height-relative:page;" filled="f" stroked="t" coordsize="21600,21600" o:gfxdata="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dnMetwA&#10;AAALAQAADwAAAAAAAAABACAAAAAiAAAAZHJzL2Rvd25yZXYueG1sUEsBAhQAFAAAAAgAh07iQGzY&#10;s0UbAgAAJwQAAA4AAAAAAAAAAQAgAAAAKwEAAGRycy9lMm9Eb2MueG1sUEsFBgAAAAAGAAYAWQEA&#10;ALgFAAAAAA==&#10;">
                      <v:fill on="f" focussize="0,0"/>
                      <v:stroke weight="0.5pt" color="#FFFF00" joinstyle="miter" endarrowwidth="narrow"/>
                      <v:imagedata o:title=""/>
                      <o:lock v:ext="edit" aspectratio="f"/>
                    </v:rect>
                  </w:pict>
                </mc:Fallback>
              </mc:AlternateContent>
            </w: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1983105</wp:posOffset>
                      </wp:positionH>
                      <wp:positionV relativeFrom="paragraph">
                        <wp:posOffset>1247140</wp:posOffset>
                      </wp:positionV>
                      <wp:extent cx="431800" cy="222885"/>
                      <wp:effectExtent l="4445" t="5080" r="20955" b="19685"/>
                      <wp:wrapNone/>
                      <wp:docPr id="6" name="矩形 18"/>
                      <wp:cNvGraphicFramePr/>
                      <a:graphic xmlns:a="http://schemas.openxmlformats.org/drawingml/2006/main">
                        <a:graphicData uri="http://schemas.microsoft.com/office/word/2010/wordprocessingShape">
                          <wps:wsp>
                            <wps:cNvSpPr/>
                            <wps:spPr>
                              <a:xfrm>
                                <a:off x="0" y="0"/>
                                <a:ext cx="431800" cy="222885"/>
                              </a:xfrm>
                              <a:prstGeom prst="rect">
                                <a:avLst/>
                              </a:prstGeom>
                              <a:noFill/>
                              <a:ln w="6350" cap="flat" cmpd="sng">
                                <a:solidFill>
                                  <a:srgbClr val="FFFF00"/>
                                </a:solidFill>
                                <a:prstDash val="solid"/>
                                <a:miter/>
                                <a:headEnd type="none" w="med" len="med"/>
                                <a:tailEnd type="none" w="sm" len="med"/>
                              </a:ln>
                            </wps:spPr>
                            <wps:bodyPr vert="horz" wrap="square" anchor="t" anchorCtr="0" upright="1"/>
                          </wps:wsp>
                        </a:graphicData>
                      </a:graphic>
                    </wp:anchor>
                  </w:drawing>
                </mc:Choice>
                <mc:Fallback>
                  <w:pict>
                    <v:rect id="矩形 18" o:spid="_x0000_s1026" o:spt="1" style="position:absolute;left:0pt;margin-left:156.15pt;margin-top:98.2pt;height:17.55pt;width:34pt;z-index:251662336;mso-width-relative:page;mso-height-relative:page;" filled="f" stroked="t" coordsize="21600,21600" o:gfxdata="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HhZu9wAAAAL&#10;AQAADwAAAAAAAAABACAAAAAiAAAAZHJzL2Rvd25yZXYueG1sUEsBAhQAFAAAAAgAh07iQClKgM8Y&#10;AgAAJwQAAA4AAAAAAAAAAQAgAAAAKwEAAGRycy9lMm9Eb2MueG1sUEsFBgAAAAAGAAYAWQEAALUF&#10;AAAAAA==&#10;">
                      <v:fill on="f" focussize="0,0"/>
                      <v:stroke weight="0.5pt" color="#FFFF00" joinstyle="miter" endarrowwidth="narrow"/>
                      <v:imagedata o:title=""/>
                      <o:lock v:ext="edit" aspectratio="f"/>
                    </v:rect>
                  </w:pict>
                </mc:Fallback>
              </mc:AlternateContent>
            </w:r>
            <w:r>
              <w:rPr>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1170940</wp:posOffset>
                      </wp:positionH>
                      <wp:positionV relativeFrom="paragraph">
                        <wp:posOffset>621030</wp:posOffset>
                      </wp:positionV>
                      <wp:extent cx="863600" cy="724535"/>
                      <wp:effectExtent l="4445" t="5080" r="8255" b="13335"/>
                      <wp:wrapNone/>
                      <wp:docPr id="5" name="组合 19"/>
                      <wp:cNvGraphicFramePr/>
                      <a:graphic xmlns:a="http://schemas.openxmlformats.org/drawingml/2006/main">
                        <a:graphicData uri="http://schemas.microsoft.com/office/word/2010/wordprocessingGroup">
                          <wpg:wgp>
                            <wpg:cNvGrpSpPr/>
                            <wpg:grpSpPr>
                              <a:xfrm>
                                <a:off x="0" y="0"/>
                                <a:ext cx="863600" cy="724535"/>
                                <a:chOff x="5066" y="40819"/>
                                <a:chExt cx="1360" cy="1141"/>
                              </a:xfrm>
                            </wpg:grpSpPr>
                            <wps:wsp>
                              <wps:cNvPr id="3" name="自选图形 20"/>
                              <wps:cNvCnPr/>
                              <wps:spPr>
                                <a:xfrm>
                                  <a:off x="5747" y="41288"/>
                                  <a:ext cx="590" cy="672"/>
                                </a:xfrm>
                                <a:prstGeom prst="straightConnector1">
                                  <a:avLst/>
                                </a:prstGeom>
                                <a:ln w="9525" cap="flat" cmpd="sng">
                                  <a:solidFill>
                                    <a:srgbClr val="FFFF00"/>
                                  </a:solidFill>
                                  <a:prstDash val="solid"/>
                                  <a:headEnd type="none" w="med" len="med"/>
                                  <a:tailEnd type="triangle" w="sm" len="med"/>
                                </a:ln>
                              </wps:spPr>
                              <wps:bodyPr/>
                            </wps:wsp>
                            <wps:wsp>
                              <wps:cNvPr id="4" name="文本框 21"/>
                              <wps:cNvSpPr txBox="1"/>
                              <wps:spPr>
                                <a:xfrm>
                                  <a:off x="5066" y="40819"/>
                                  <a:ext cx="1361" cy="454"/>
                                </a:xfrm>
                                <a:prstGeom prst="rect">
                                  <a:avLst/>
                                </a:prstGeom>
                                <a:noFill/>
                                <a:ln w="9525" cap="flat" cmpd="sng">
                                  <a:solidFill>
                                    <a:srgbClr val="FFFF00"/>
                                  </a:solidFill>
                                  <a:prstDash val="dash"/>
                                  <a:miter/>
                                  <a:headEnd type="none" w="med" len="med"/>
                                  <a:tailEnd type="none" w="med" len="med"/>
                                </a:ln>
                              </wps:spPr>
                              <wps:txbx>
                                <w:txbxContent>
                                  <w:p w14:paraId="07E52F26">
                                    <w:pPr>
                                      <w:rPr>
                                        <w:rFonts w:ascii="黑体" w:hAnsi="黑体" w:eastAsia="黑体"/>
                                        <w:color w:val="FFFF00"/>
                                      </w:rPr>
                                    </w:pPr>
                                    <w:r>
                                      <w:rPr>
                                        <w:rFonts w:ascii="黑体" w:hAnsi="黑体" w:eastAsia="黑体"/>
                                        <w:color w:val="FFFF00"/>
                                      </w:rPr>
                                      <w:t>项目所在地</w:t>
                                    </w:r>
                                  </w:p>
                                </w:txbxContent>
                              </wps:txbx>
                              <wps:bodyPr wrap="square" upright="1"/>
                            </wps:wsp>
                          </wpg:wgp>
                        </a:graphicData>
                      </a:graphic>
                    </wp:anchor>
                  </w:drawing>
                </mc:Choice>
                <mc:Fallback>
                  <w:pict>
                    <v:group id="组合 19" o:spid="_x0000_s1026" o:spt="203" style="position:absolute;left:0pt;margin-left:92.2pt;margin-top:48.9pt;height:57.05pt;width:68pt;z-index:251661312;mso-width-relative:page;mso-height-relative:page;" coordorigin="5066,40819" coordsize="1360,1141" o:gfxdata="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LY5I09oAAAAKAQAADwAA&#10;AAAAAAABACAAAAAiAAAAZHJzL2Rvd25yZXYueG1sUEsBAhQAFAAAAAgAh07iQO/c8aL4AgAAWwcA&#10;AA4AAAAAAAAAAQAgAAAAKQEAAGRycy9lMm9Eb2MueG1sUEsFBgAAAAAGAAYAWQEAAJMGAAAAAA==&#10;">
                      <o:lock v:ext="edit" aspectratio="f"/>
                      <v:shape id="自选图形 20" o:spid="_x0000_s1026" o:spt="32" type="#_x0000_t32" style="position:absolute;left:5747;top:41288;height:672;width:590;" filled="f" stroked="t" coordsize="21600,21600" o:gfxdata="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3GNK8AAAA&#10;2gAAAA8AAAAAAAAAAQAgAAAAIgAAAGRycy9kb3ducmV2LnhtbFBLAQIUABQAAAAIAIdO4kAzLwWe&#10;OwAAADkAAAAQAAAAAAAAAAEAIAAAAAsBAABkcnMvc2hhcGV4bWwueG1sUEsFBgAAAAAGAAYAWwEA&#10;ALUDAAAAAA==&#10;">
                        <v:fill on="f" focussize="0,0"/>
                        <v:stroke color="#FFFF00" joinstyle="round" endarrow="block" endarrowwidth="narrow"/>
                        <v:imagedata o:title=""/>
                        <o:lock v:ext="edit" aspectratio="f"/>
                      </v:shape>
                      <v:shape id="文本框 21" o:spid="_x0000_s1026" o:spt="202" type="#_x0000_t202" style="position:absolute;left:5066;top:40819;height:454;width:1361;" filled="f" stroked="t" coordsize="21600,21600" o:gfxdata="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FMjrsAAADa&#10;AAAADwAAAAAAAAABACAAAAAiAAAAZHJzL2Rvd25yZXYueG1sUEsBAhQAFAAAAAgAh07iQDMvBZ47&#10;AAAAOQAAABAAAAAAAAAAAQAgAAAACgEAAGRycy9zaGFwZXhtbC54bWxQSwUGAAAAAAYABgBbAQAA&#10;tAMAAAAA&#10;">
                        <v:fill on="f" focussize="0,0"/>
                        <v:stroke color="#FFFF00" joinstyle="miter" dashstyle="dash"/>
                        <v:imagedata o:title=""/>
                        <o:lock v:ext="edit" aspectratio="f"/>
                        <v:textbox>
                          <w:txbxContent>
                            <w:p w14:paraId="07E52F26">
                              <w:pPr>
                                <w:rPr>
                                  <w:rFonts w:ascii="黑体" w:hAnsi="黑体" w:eastAsia="黑体"/>
                                  <w:color w:val="FFFF00"/>
                                </w:rPr>
                              </w:pPr>
                              <w:r>
                                <w:rPr>
                                  <w:rFonts w:ascii="黑体" w:hAnsi="黑体" w:eastAsia="黑体"/>
                                  <w:color w:val="FFFF00"/>
                                </w:rPr>
                                <w:t>项目所在地</w:t>
                              </w:r>
                            </w:p>
                          </w:txbxContent>
                        </v:textbox>
                      </v:shape>
                    </v:group>
                  </w:pict>
                </mc:Fallback>
              </mc:AlternateContent>
            </w:r>
            <w:r>
              <w:rPr>
                <w:rFonts w:ascii="Times New Roman" w:hAnsi="Times New Roman" w:cs="Times New Roman"/>
                <w:snapToGrid/>
                <w:color w:val="auto"/>
                <w:szCs w:val="24"/>
                <w:highlight w:val="none"/>
              </w:rPr>
              <w:drawing>
                <wp:inline distT="0" distB="0" distL="114300" distR="114300">
                  <wp:extent cx="5205095" cy="3549650"/>
                  <wp:effectExtent l="0" t="0" r="14605" b="12700"/>
                  <wp:docPr id="10" name="图片 64" descr="C:\Users\YXL\AppData\Local\Temp\WeChat Files\950bcd9fd425e95f1b2c394e9ecb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descr="C:\Users\YXL\AppData\Local\Temp\WeChat Files\950bcd9fd425e95f1b2c394e9ecb66f.jpg"/>
                          <pic:cNvPicPr>
                            <a:picLocks noChangeAspect="1"/>
                          </pic:cNvPicPr>
                        </pic:nvPicPr>
                        <pic:blipFill>
                          <a:blip r:embed="rId14"/>
                          <a:srcRect l="5135" r="3642"/>
                          <a:stretch>
                            <a:fillRect/>
                          </a:stretch>
                        </pic:blipFill>
                        <pic:spPr>
                          <a:xfrm>
                            <a:off x="0" y="0"/>
                            <a:ext cx="5205095" cy="3549650"/>
                          </a:xfrm>
                          <a:prstGeom prst="rect">
                            <a:avLst/>
                          </a:prstGeom>
                          <a:noFill/>
                          <a:ln>
                            <a:noFill/>
                          </a:ln>
                        </pic:spPr>
                      </pic:pic>
                    </a:graphicData>
                  </a:graphic>
                </wp:inline>
              </w:drawing>
            </w:r>
          </w:p>
          <w:p w14:paraId="609742D5">
            <w:pPr>
              <w:pStyle w:val="42"/>
              <w:snapToGrid/>
              <w:ind w:firstLine="0" w:firstLineChars="0"/>
              <w:jc w:val="center"/>
              <w:rPr>
                <w:rFonts w:ascii="Times New Roman" w:hAnsi="黑体" w:eastAsia="黑体" w:cs="Times New Roman"/>
                <w:color w:val="auto"/>
                <w:highlight w:val="none"/>
              </w:rPr>
            </w:pPr>
            <w:r>
              <w:rPr>
                <w:rFonts w:ascii="Times New Roman" w:hAnsi="黑体" w:eastAsia="黑体" w:cs="Times New Roman"/>
                <w:snapToGrid/>
                <w:color w:val="auto"/>
                <w:szCs w:val="24"/>
                <w:highlight w:val="none"/>
              </w:rPr>
              <w:t>图</w:t>
            </w:r>
            <w:r>
              <w:rPr>
                <w:rFonts w:ascii="Times New Roman" w:hAnsi="Times New Roman" w:eastAsia="黑体" w:cs="Times New Roman"/>
                <w:snapToGrid/>
                <w:color w:val="auto"/>
                <w:szCs w:val="24"/>
                <w:highlight w:val="none"/>
              </w:rPr>
              <w:t xml:space="preserve">1-1  </w:t>
            </w:r>
            <w:r>
              <w:rPr>
                <w:rFonts w:ascii="Times New Roman" w:hAnsi="黑体" w:eastAsia="黑体" w:cs="Times New Roman"/>
                <w:color w:val="auto"/>
                <w:highlight w:val="none"/>
              </w:rPr>
              <w:t>项目土地性质及规划符合性</w:t>
            </w:r>
          </w:p>
          <w:p w14:paraId="41C9ABCD">
            <w:pPr>
              <w:spacing w:line="360" w:lineRule="auto"/>
              <w:ind w:firstLine="482" w:firstLineChars="200"/>
              <w:rPr>
                <w:rFonts w:ascii="Times New Roman" w:hAnsi="Times New Roman"/>
                <w:b/>
                <w:color w:val="auto"/>
                <w:kern w:val="0"/>
                <w:sz w:val="24"/>
                <w:szCs w:val="24"/>
                <w:highlight w:val="none"/>
              </w:rPr>
            </w:pPr>
            <w:r>
              <w:rPr>
                <w:rFonts w:hint="eastAsia" w:ascii="Times New Roman" w:hAnsi="Times New Roman"/>
                <w:b/>
                <w:color w:val="auto"/>
                <w:kern w:val="0"/>
                <w:sz w:val="24"/>
                <w:szCs w:val="24"/>
                <w:highlight w:val="none"/>
              </w:rPr>
              <w:t>3、</w:t>
            </w:r>
            <w:r>
              <w:rPr>
                <w:rFonts w:hint="eastAsia" w:ascii="Times New Roman" w:hAnsi="Times New Roman"/>
                <w:b/>
                <w:color w:val="auto"/>
                <w:kern w:val="0"/>
                <w:sz w:val="24"/>
                <w:szCs w:val="24"/>
                <w:highlight w:val="none"/>
                <w:lang w:val="en-US" w:eastAsia="zh-CN"/>
              </w:rPr>
              <w:t>与安徽省分区防控管控单元符合性分析</w:t>
            </w:r>
          </w:p>
          <w:p w14:paraId="2EEFFE63">
            <w:pPr>
              <w:pStyle w:val="89"/>
              <w:widowControl/>
              <w:snapToGrid w:val="0"/>
              <w:rPr>
                <w:color w:val="auto"/>
                <w:kern w:val="0"/>
                <w:sz w:val="24"/>
                <w:szCs w:val="24"/>
                <w:highlight w:val="none"/>
              </w:rPr>
            </w:pPr>
            <w:r>
              <w:rPr>
                <w:rFonts w:hint="eastAsia"/>
                <w:color w:val="auto"/>
                <w:kern w:val="0"/>
                <w:sz w:val="24"/>
                <w:szCs w:val="24"/>
                <w:highlight w:val="none"/>
              </w:rPr>
              <w:t>通过与安徽省“三线一单”公共服务平台的对照分析，项目涉及1个重点管控单元，环境管控单元名称：重点管控单元2</w:t>
            </w:r>
            <w:r>
              <w:rPr>
                <w:rFonts w:hint="eastAsia"/>
                <w:color w:val="auto"/>
                <w:kern w:val="0"/>
                <w:sz w:val="24"/>
                <w:szCs w:val="24"/>
                <w:highlight w:val="none"/>
                <w:lang w:val="en-US" w:eastAsia="zh-CN"/>
              </w:rPr>
              <w:t>3</w:t>
            </w:r>
            <w:r>
              <w:rPr>
                <w:rFonts w:hint="eastAsia"/>
                <w:color w:val="auto"/>
                <w:kern w:val="0"/>
                <w:sz w:val="24"/>
                <w:szCs w:val="24"/>
                <w:highlight w:val="none"/>
              </w:rPr>
              <w:t>，单元编码：ZH34042120013。详情见图1-1和表1-3。</w:t>
            </w:r>
          </w:p>
          <w:p w14:paraId="21298FEE">
            <w:pPr>
              <w:pStyle w:val="90"/>
              <w:rPr>
                <w:color w:val="auto"/>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3312160</wp:posOffset>
                      </wp:positionH>
                      <wp:positionV relativeFrom="paragraph">
                        <wp:posOffset>2110740</wp:posOffset>
                      </wp:positionV>
                      <wp:extent cx="1579880" cy="448310"/>
                      <wp:effectExtent l="0" t="0" r="0" b="0"/>
                      <wp:wrapNone/>
                      <wp:docPr id="2" name="文本框 60077"/>
                      <wp:cNvGraphicFramePr/>
                      <a:graphic xmlns:a="http://schemas.openxmlformats.org/drawingml/2006/main">
                        <a:graphicData uri="http://schemas.microsoft.com/office/word/2010/wordprocessingShape">
                          <wps:wsp>
                            <wps:cNvSpPr txBox="1"/>
                            <wps:spPr>
                              <a:xfrm>
                                <a:off x="0" y="0"/>
                                <a:ext cx="1579880" cy="448310"/>
                              </a:xfrm>
                              <a:prstGeom prst="rect">
                                <a:avLst/>
                              </a:prstGeom>
                              <a:noFill/>
                              <a:ln>
                                <a:noFill/>
                              </a:ln>
                            </wps:spPr>
                            <wps:txbx>
                              <w:txbxContent>
                                <w:p w14:paraId="41EA7E13">
                                  <w:pPr>
                                    <w:rPr>
                                      <w:rFonts w:ascii="黑体" w:hAnsi="黑体" w:eastAsia="黑体" w:cs="黑体"/>
                                      <w:color w:val="0000FF"/>
                                      <w:sz w:val="28"/>
                                      <w:szCs w:val="28"/>
                                    </w:rPr>
                                  </w:pPr>
                                  <w:r>
                                    <w:rPr>
                                      <w:rFonts w:hint="eastAsia" w:ascii="黑体" w:hAnsi="黑体" w:eastAsia="黑体" w:cs="黑体"/>
                                      <w:color w:val="0000FF"/>
                                      <w:sz w:val="28"/>
                                      <w:szCs w:val="28"/>
                                    </w:rPr>
                                    <w:t>拟建项目厂址</w:t>
                                  </w:r>
                                </w:p>
                              </w:txbxContent>
                            </wps:txbx>
                            <wps:bodyPr wrap="square" upright="1"/>
                          </wps:wsp>
                        </a:graphicData>
                      </a:graphic>
                    </wp:anchor>
                  </w:drawing>
                </mc:Choice>
                <mc:Fallback>
                  <w:pict>
                    <v:shape id="文本框 60077" o:spid="_x0000_s1026" o:spt="202" type="#_x0000_t202" style="position:absolute;left:0pt;margin-left:260.8pt;margin-top:166.2pt;height:35.3pt;width:124.4pt;z-index:251660288;mso-width-relative:page;mso-height-relative:page;" filled="f" stroked="f" coordsize="21600,21600" o:gfxdata="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TWjB7YAAAACwEAAA8AAAAAAAAAAQAgAAAAIgAAAGRycy9kb3ducmV2LnhtbFBLAQIU&#10;ABQAAAAIAIdO4kAQ3YtBugEAAGADAAAOAAAAAAAAAAEAIAAAACcBAABkcnMvZTJvRG9jLnhtbFBL&#10;BQYAAAAABgAGAFkBAABTBQAAAAA=&#10;">
                      <v:fill on="f" focussize="0,0"/>
                      <v:stroke on="f"/>
                      <v:imagedata o:title=""/>
                      <o:lock v:ext="edit" aspectratio="f"/>
                      <v:textbox>
                        <w:txbxContent>
                          <w:p w14:paraId="41EA7E13">
                            <w:pPr>
                              <w:rPr>
                                <w:rFonts w:ascii="黑体" w:hAnsi="黑体" w:eastAsia="黑体" w:cs="黑体"/>
                                <w:color w:val="0000FF"/>
                                <w:sz w:val="28"/>
                                <w:szCs w:val="28"/>
                              </w:rPr>
                            </w:pPr>
                            <w:r>
                              <w:rPr>
                                <w:rFonts w:hint="eastAsia" w:ascii="黑体" w:hAnsi="黑体" w:eastAsia="黑体" w:cs="黑体"/>
                                <w:color w:val="0000FF"/>
                                <w:sz w:val="28"/>
                                <w:szCs w:val="28"/>
                              </w:rPr>
                              <w:t>拟建项目厂址</w:t>
                            </w:r>
                          </w:p>
                        </w:txbxContent>
                      </v:textbox>
                    </v:shape>
                  </w:pict>
                </mc:Fallback>
              </mc:AlternateContent>
            </w:r>
            <w:r>
              <w:rPr>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2620645</wp:posOffset>
                      </wp:positionH>
                      <wp:positionV relativeFrom="paragraph">
                        <wp:posOffset>1505585</wp:posOffset>
                      </wp:positionV>
                      <wp:extent cx="662305" cy="721360"/>
                      <wp:effectExtent l="0" t="0" r="42545" b="40640"/>
                      <wp:wrapNone/>
                      <wp:docPr id="1" name="直线 60078"/>
                      <wp:cNvGraphicFramePr/>
                      <a:graphic xmlns:a="http://schemas.openxmlformats.org/drawingml/2006/main">
                        <a:graphicData uri="http://schemas.microsoft.com/office/word/2010/wordprocessingShape">
                          <wps:wsp>
                            <wps:cNvCnPr/>
                            <wps:spPr>
                              <a:xfrm flipH="1" flipV="1">
                                <a:off x="0" y="0"/>
                                <a:ext cx="662305" cy="721360"/>
                              </a:xfrm>
                              <a:prstGeom prst="line">
                                <a:avLst/>
                              </a:prstGeom>
                              <a:ln w="76200" cap="flat" cmpd="sng">
                                <a:solidFill>
                                  <a:srgbClr val="0000FF"/>
                                </a:solidFill>
                                <a:prstDash val="solid"/>
                                <a:headEnd type="none" w="med" len="med"/>
                                <a:tailEnd type="triangle" w="med" len="med"/>
                              </a:ln>
                            </wps:spPr>
                            <wps:bodyPr upright="1"/>
                          </wps:wsp>
                        </a:graphicData>
                      </a:graphic>
                    </wp:anchor>
                  </w:drawing>
                </mc:Choice>
                <mc:Fallback>
                  <w:pict>
                    <v:line id="直线 60078" o:spid="_x0000_s1026" o:spt="20" style="position:absolute;left:0pt;flip:x y;margin-left:206.35pt;margin-top:118.55pt;height:56.8pt;width:52.15pt;z-index:251659264;mso-width-relative:page;mso-height-relative:page;" filled="f" stroked="t" coordsize="21600,21600" o:gfxdata="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Su0qTcAAAACwEAAA8AAAAAAAAAAQAgAAAAIgAA&#10;AGRycy9kb3ducmV2LnhtbFBLAQIUABQAAAAIAIdO4kABqhSFBAIAAPwDAAAOAAAAAAAAAAEAIAAA&#10;ACsBAABkcnMvZTJvRG9jLnhtbFBLBQYAAAAABgAGAFkBAAChBQAAAAA=&#10;">
                      <v:fill on="f" focussize="0,0"/>
                      <v:stroke weight="6pt" color="#0000FF" joinstyle="round" endarrow="block"/>
                      <v:imagedata o:title=""/>
                      <o:lock v:ext="edit" aspectratio="f"/>
                    </v:line>
                  </w:pict>
                </mc:Fallback>
              </mc:AlternateContent>
            </w:r>
            <w:r>
              <w:rPr>
                <w:color w:val="auto"/>
                <w:highlight w:val="none"/>
              </w:rPr>
              <w:drawing>
                <wp:inline distT="0" distB="0" distL="114300" distR="114300">
                  <wp:extent cx="5425440" cy="3017520"/>
                  <wp:effectExtent l="0" t="0" r="3810" b="11430"/>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15"/>
                          <a:stretch>
                            <a:fillRect/>
                          </a:stretch>
                        </pic:blipFill>
                        <pic:spPr>
                          <a:xfrm>
                            <a:off x="0" y="0"/>
                            <a:ext cx="5425440" cy="3017520"/>
                          </a:xfrm>
                          <a:prstGeom prst="rect">
                            <a:avLst/>
                          </a:prstGeom>
                          <a:noFill/>
                          <a:ln>
                            <a:noFill/>
                          </a:ln>
                        </pic:spPr>
                      </pic:pic>
                    </a:graphicData>
                  </a:graphic>
                </wp:inline>
              </w:drawing>
            </w:r>
          </w:p>
          <w:p w14:paraId="39A89B46">
            <w:pPr>
              <w:pStyle w:val="91"/>
              <w:rPr>
                <w:color w:val="auto"/>
                <w:sz w:val="24"/>
                <w:szCs w:val="24"/>
                <w:highlight w:val="none"/>
              </w:rPr>
            </w:pPr>
            <w:r>
              <w:rPr>
                <w:rFonts w:hint="eastAsia"/>
                <w:color w:val="auto"/>
                <w:sz w:val="24"/>
                <w:szCs w:val="24"/>
                <w:highlight w:val="none"/>
              </w:rPr>
              <w:t>图1-1</w:t>
            </w:r>
            <w:r>
              <w:rPr>
                <w:color w:val="auto"/>
                <w:sz w:val="24"/>
                <w:szCs w:val="24"/>
                <w:highlight w:val="none"/>
              </w:rPr>
              <w:t xml:space="preserve">  </w:t>
            </w:r>
            <w:r>
              <w:rPr>
                <w:rFonts w:hint="eastAsia"/>
                <w:color w:val="auto"/>
                <w:sz w:val="24"/>
                <w:szCs w:val="24"/>
                <w:highlight w:val="none"/>
              </w:rPr>
              <w:t>项目选址与环境管控单元的位置关系示意</w:t>
            </w:r>
            <w:r>
              <w:rPr>
                <w:color w:val="auto"/>
                <w:sz w:val="24"/>
                <w:szCs w:val="24"/>
                <w:highlight w:val="none"/>
              </w:rPr>
              <w:t>图</w:t>
            </w:r>
          </w:p>
          <w:p w14:paraId="2AF24753">
            <w:pPr>
              <w:widowControl/>
              <w:adjustRightInd w:val="0"/>
              <w:spacing w:line="360" w:lineRule="auto"/>
              <w:jc w:val="center"/>
              <w:textAlignment w:val="center"/>
              <w:rPr>
                <w:rFonts w:ascii="Times New Roman" w:hAnsi="Times New Roman" w:eastAsia="黑体"/>
                <w:color w:val="auto"/>
                <w:kern w:val="0"/>
                <w:sz w:val="24"/>
                <w:szCs w:val="24"/>
                <w:highlight w:val="none"/>
              </w:rPr>
            </w:pPr>
            <w:r>
              <w:rPr>
                <w:rFonts w:ascii="Times New Roman" w:hAnsi="Times New Roman" w:eastAsia="黑体"/>
                <w:color w:val="auto"/>
                <w:kern w:val="0"/>
                <w:sz w:val="24"/>
                <w:szCs w:val="24"/>
                <w:highlight w:val="none"/>
              </w:rPr>
              <w:t>表1-</w:t>
            </w:r>
            <w:r>
              <w:rPr>
                <w:rFonts w:hint="eastAsia" w:ascii="Times New Roman" w:hAnsi="Times New Roman" w:eastAsia="黑体"/>
                <w:color w:val="auto"/>
                <w:kern w:val="0"/>
                <w:sz w:val="24"/>
                <w:szCs w:val="24"/>
                <w:highlight w:val="none"/>
              </w:rPr>
              <w:t>3</w:t>
            </w:r>
            <w:r>
              <w:rPr>
                <w:rFonts w:ascii="Times New Roman" w:hAnsi="Times New Roman" w:eastAsia="黑体"/>
                <w:color w:val="auto"/>
                <w:kern w:val="0"/>
                <w:sz w:val="24"/>
                <w:szCs w:val="24"/>
                <w:highlight w:val="none"/>
              </w:rPr>
              <w:t xml:space="preserve">  与环境管控单元要求的协调性分析</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806"/>
              <w:gridCol w:w="3776"/>
              <w:gridCol w:w="2323"/>
              <w:gridCol w:w="794"/>
            </w:tblGrid>
            <w:tr w14:paraId="15EE1D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noWrap w:val="0"/>
                  <w:vAlign w:val="center"/>
                </w:tcPr>
                <w:p w14:paraId="0799223C">
                  <w:pPr>
                    <w:adjustRightInd w:val="0"/>
                    <w:snapToGrid w:val="0"/>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管控单元分类</w:t>
                  </w:r>
                </w:p>
              </w:tc>
              <w:tc>
                <w:tcPr>
                  <w:tcW w:w="480" w:type="pct"/>
                  <w:noWrap w:val="0"/>
                  <w:vAlign w:val="center"/>
                </w:tcPr>
                <w:p w14:paraId="5CD3E308">
                  <w:pPr>
                    <w:adjustRightInd w:val="0"/>
                    <w:snapToGrid w:val="0"/>
                    <w:jc w:val="center"/>
                    <w:textAlignment w:val="center"/>
                    <w:rPr>
                      <w:rFonts w:ascii="Times New Roman" w:hAnsi="Times New Roman"/>
                      <w:b/>
                      <w:bCs/>
                      <w:color w:val="auto"/>
                      <w:szCs w:val="21"/>
                      <w:highlight w:val="none"/>
                    </w:rPr>
                  </w:pPr>
                  <w:r>
                    <w:rPr>
                      <w:rFonts w:hint="eastAsia" w:ascii="Times New Roman" w:hAnsi="Times New Roman"/>
                      <w:b/>
                      <w:bCs/>
                      <w:color w:val="auto"/>
                      <w:szCs w:val="21"/>
                      <w:highlight w:val="none"/>
                    </w:rPr>
                    <w:t>管控类别</w:t>
                  </w:r>
                </w:p>
              </w:tc>
              <w:tc>
                <w:tcPr>
                  <w:tcW w:w="2249" w:type="pct"/>
                  <w:noWrap w:val="0"/>
                  <w:vAlign w:val="center"/>
                </w:tcPr>
                <w:p w14:paraId="36DF0EF0">
                  <w:pPr>
                    <w:adjustRightInd w:val="0"/>
                    <w:snapToGrid w:val="0"/>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环境管控要求</w:t>
                  </w:r>
                </w:p>
              </w:tc>
              <w:tc>
                <w:tcPr>
                  <w:tcW w:w="1384" w:type="pct"/>
                  <w:noWrap w:val="0"/>
                  <w:vAlign w:val="center"/>
                </w:tcPr>
                <w:p w14:paraId="5F7EEFBA">
                  <w:pPr>
                    <w:adjustRightInd w:val="0"/>
                    <w:snapToGrid w:val="0"/>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协调性分析</w:t>
                  </w:r>
                </w:p>
              </w:tc>
              <w:tc>
                <w:tcPr>
                  <w:tcW w:w="473" w:type="pct"/>
                  <w:noWrap w:val="0"/>
                  <w:vAlign w:val="center"/>
                </w:tcPr>
                <w:p w14:paraId="31B96B8C">
                  <w:pPr>
                    <w:adjustRightInd w:val="0"/>
                    <w:snapToGrid w:val="0"/>
                    <w:jc w:val="center"/>
                    <w:textAlignment w:val="center"/>
                    <w:rPr>
                      <w:rFonts w:ascii="Times New Roman" w:hAnsi="Times New Roman"/>
                      <w:b/>
                      <w:bCs/>
                      <w:color w:val="auto"/>
                      <w:szCs w:val="21"/>
                      <w:highlight w:val="none"/>
                    </w:rPr>
                  </w:pPr>
                  <w:r>
                    <w:rPr>
                      <w:rFonts w:hint="eastAsia" w:ascii="Times New Roman" w:hAnsi="Times New Roman"/>
                      <w:b/>
                      <w:bCs/>
                      <w:color w:val="auto"/>
                      <w:szCs w:val="21"/>
                      <w:highlight w:val="none"/>
                    </w:rPr>
                    <w:t>是否符合</w:t>
                  </w:r>
                </w:p>
              </w:tc>
            </w:tr>
            <w:tr w14:paraId="3AB984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14:paraId="0255C81E">
                  <w:pPr>
                    <w:adjustRightInd w:val="0"/>
                    <w:snapToGrid w:val="0"/>
                    <w:jc w:val="center"/>
                    <w:textAlignment w:val="center"/>
                    <w:rPr>
                      <w:rFonts w:ascii="Times New Roman" w:hAnsi="Times New Roman"/>
                      <w:color w:val="auto"/>
                      <w:szCs w:val="21"/>
                      <w:highlight w:val="none"/>
                    </w:rPr>
                  </w:pPr>
                  <w:r>
                    <w:rPr>
                      <w:rFonts w:ascii="Times New Roman" w:hAnsi="Times New Roman"/>
                      <w:color w:val="auto"/>
                      <w:szCs w:val="21"/>
                      <w:highlight w:val="none"/>
                    </w:rPr>
                    <w:t>重点管控</w:t>
                  </w:r>
                  <w:r>
                    <w:rPr>
                      <w:rFonts w:hint="eastAsia" w:ascii="Times New Roman" w:hAnsi="Times New Roman"/>
                      <w:color w:val="auto"/>
                      <w:szCs w:val="21"/>
                      <w:highlight w:val="none"/>
                    </w:rPr>
                    <w:t>单元</w:t>
                  </w:r>
                </w:p>
              </w:tc>
              <w:tc>
                <w:tcPr>
                  <w:tcW w:w="480" w:type="pct"/>
                  <w:noWrap w:val="0"/>
                  <w:vAlign w:val="center"/>
                </w:tcPr>
                <w:p w14:paraId="3BB7148E">
                  <w:pPr>
                    <w:adjustRightInd w:val="0"/>
                    <w:snapToGrid w:val="0"/>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rPr>
                    <w:t>空间分布约束</w:t>
                  </w:r>
                </w:p>
              </w:tc>
              <w:tc>
                <w:tcPr>
                  <w:tcW w:w="2249" w:type="pct"/>
                  <w:noWrap w:val="0"/>
                  <w:vAlign w:val="center"/>
                </w:tcPr>
                <w:p w14:paraId="1E7E6CAA">
                  <w:pPr>
                    <w:widowControl/>
                    <w:adjustRightInd w:val="0"/>
                    <w:snapToGrid w:val="0"/>
                    <w:jc w:val="both"/>
                    <w:rPr>
                      <w:rFonts w:ascii="Times New Roman" w:hAnsi="Times New Roman"/>
                      <w:color w:val="auto"/>
                      <w:szCs w:val="21"/>
                      <w:highlight w:val="none"/>
                    </w:rPr>
                  </w:pPr>
                  <w:r>
                    <w:rPr>
                      <w:rFonts w:hint="eastAsia" w:ascii="Times New Roman" w:hAnsi="Times New Roman"/>
                      <w:color w:val="auto"/>
                      <w:szCs w:val="21"/>
                      <w:highlight w:val="none"/>
                    </w:rPr>
                    <w:t>1</w:t>
                  </w:r>
                  <w:r>
                    <w:rPr>
                      <w:rFonts w:ascii="Times New Roman" w:hAnsi="Times New Roman"/>
                      <w:color w:val="auto"/>
                      <w:szCs w:val="21"/>
                      <w:highlight w:val="none"/>
                    </w:rPr>
                    <w:t>.严格控制新增“两高”项目审批，认真分析评估拟建项目必要性、可行 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具有节能减排潜力的加快改造升级，属于落后产能的加快淘汰。</w:t>
                  </w:r>
                </w:p>
                <w:p w14:paraId="6C002CD7">
                  <w:pPr>
                    <w:widowControl/>
                    <w:adjustRightInd w:val="0"/>
                    <w:snapToGrid w:val="0"/>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禁止建设生产和使用高挥发性有机物含量涂料、油墨、胶粘剂、清洗剂等项目。禁止建设生产和使用VOCs含量限值不符合国家标准的涂料、油墨、胶黏剂、清洗剂等项目</w:t>
                  </w:r>
                </w:p>
                <w:p w14:paraId="2B84B761">
                  <w:pPr>
                    <w:widowControl/>
                    <w:adjustRightInd w:val="0"/>
                    <w:snapToGrid w:val="0"/>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rPr>
                    <w:t>.在机关、学校、医院、居民住宅区等人口集中地区和其他依法需要特殊保护的区域内，禁止从事下列生产活动：</w:t>
                  </w:r>
                </w:p>
                <w:p w14:paraId="484DB2C8">
                  <w:pPr>
                    <w:widowControl/>
                    <w:adjustRightInd w:val="0"/>
                    <w:snapToGrid w:val="0"/>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橡胶制品生产、经营性喷漆、制骨胶、制骨粉、屠宰、畜禽养殖、生物发酵等产生恶臭、有毒有害气体的生产经营活动；（2）露天焚烧油毡、沥青、橡胶、塑料、皮革、垃圾或者其他可能产生恶臭、有毒有害气体的活动。严禁钢铁、水泥、电解铝、平板玻璃等行业新增产能，对确有必要新建的必须实施等量或减量置换。禁止淘汰落后类的产业进入开发区。</w:t>
                  </w:r>
                </w:p>
                <w:p w14:paraId="4D73727F">
                  <w:pPr>
                    <w:widowControl/>
                    <w:adjustRightInd w:val="0"/>
                    <w:snapToGrid w:val="0"/>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w:t>
                  </w:r>
                  <w:r>
                    <w:rPr>
                      <w:rFonts w:hint="eastAsia" w:ascii="Times New Roman" w:hAnsi="Times New Roman" w:eastAsia="宋体" w:cs="Times New Roman"/>
                      <w:color w:val="auto"/>
                      <w:szCs w:val="21"/>
                      <w:highlight w:val="none"/>
                    </w:rPr>
                    <w:t>禁止淘汰落后类的产业进入开发区。</w:t>
                  </w:r>
                </w:p>
                <w:p w14:paraId="00D83776">
                  <w:pPr>
                    <w:widowControl/>
                    <w:adjustRightInd w:val="0"/>
                    <w:snapToGrid w:val="0"/>
                    <w:jc w:val="both"/>
                    <w:rPr>
                      <w:rFonts w:ascii="Times New Roman" w:hAnsi="Times New Roman"/>
                      <w:color w:val="auto"/>
                      <w:szCs w:val="21"/>
                      <w:highlight w:val="none"/>
                    </w:rPr>
                  </w:pPr>
                  <w:r>
                    <w:rPr>
                      <w:rFonts w:hint="eastAsia" w:ascii="Times New Roman" w:hAnsi="Times New Roman" w:eastAsia="宋体" w:cs="Times New Roman"/>
                      <w:color w:val="auto"/>
                      <w:szCs w:val="21"/>
                      <w:highlight w:val="none"/>
                      <w:lang w:val="en-US" w:eastAsia="zh-CN"/>
                    </w:rPr>
                    <w:t>5.</w:t>
                  </w:r>
                  <w:r>
                    <w:rPr>
                      <w:rFonts w:hint="eastAsia" w:ascii="Times New Roman" w:hAnsi="Times New Roman" w:eastAsia="宋体" w:cs="Times New Roman"/>
                      <w:color w:val="auto"/>
                      <w:szCs w:val="21"/>
                      <w:highlight w:val="none"/>
                    </w:rPr>
                    <w:t>禁止在淮河流域新建化学制浆造纸企业和印染、制革、化工、电镀、酿造等污染严重的小型企业。</w:t>
                  </w:r>
                </w:p>
              </w:tc>
              <w:tc>
                <w:tcPr>
                  <w:tcW w:w="1384" w:type="pct"/>
                  <w:noWrap w:val="0"/>
                  <w:vAlign w:val="center"/>
                </w:tcPr>
                <w:p w14:paraId="220B1E5C">
                  <w:pPr>
                    <w:widowControl/>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1.</w:t>
                  </w:r>
                  <w:r>
                    <w:rPr>
                      <w:rFonts w:ascii="Times New Roman" w:hAnsi="宋体"/>
                      <w:color w:val="auto"/>
                      <w:kern w:val="0"/>
                      <w:szCs w:val="21"/>
                      <w:highlight w:val="none"/>
                    </w:rPr>
                    <w:t>本项目</w:t>
                  </w:r>
                  <w:r>
                    <w:rPr>
                      <w:rFonts w:hint="eastAsia" w:ascii="Times New Roman" w:hAnsi="宋体"/>
                      <w:color w:val="auto"/>
                      <w:kern w:val="0"/>
                      <w:szCs w:val="21"/>
                      <w:highlight w:val="none"/>
                    </w:rPr>
                    <w:t>新建</w:t>
                  </w:r>
                  <w:r>
                    <w:rPr>
                      <w:rFonts w:hint="eastAsia" w:ascii="Times New Roman" w:hAnsi="宋体"/>
                      <w:color w:val="auto"/>
                      <w:kern w:val="0"/>
                      <w:szCs w:val="21"/>
                      <w:highlight w:val="none"/>
                      <w:lang w:eastAsia="zh-CN"/>
                    </w:rPr>
                    <w:t>双玻组件用光伏玻璃深加工项目</w:t>
                  </w:r>
                  <w:r>
                    <w:rPr>
                      <w:rFonts w:hint="eastAsia" w:ascii="Times New Roman" w:hAnsi="宋体"/>
                      <w:color w:val="auto"/>
                      <w:kern w:val="0"/>
                      <w:szCs w:val="21"/>
                      <w:highlight w:val="none"/>
                    </w:rPr>
                    <w:t>属于</w:t>
                  </w:r>
                  <w:r>
                    <w:rPr>
                      <w:rFonts w:hint="eastAsia" w:ascii="Times New Roman" w:hAnsi="宋体"/>
                      <w:color w:val="auto"/>
                      <w:kern w:val="0"/>
                      <w:szCs w:val="21"/>
                      <w:highlight w:val="none"/>
                      <w:lang w:val="en-US" w:eastAsia="zh-CN"/>
                    </w:rPr>
                    <w:t>特种玻璃</w:t>
                  </w:r>
                  <w:r>
                    <w:rPr>
                      <w:rFonts w:hint="eastAsia" w:ascii="Times New Roman" w:hAnsi="宋体"/>
                      <w:color w:val="auto"/>
                      <w:kern w:val="0"/>
                      <w:szCs w:val="21"/>
                      <w:highlight w:val="none"/>
                    </w:rPr>
                    <w:t>制造，</w:t>
                  </w:r>
                  <w:r>
                    <w:rPr>
                      <w:rFonts w:ascii="Times New Roman" w:hAnsi="宋体"/>
                      <w:color w:val="auto"/>
                      <w:kern w:val="0"/>
                      <w:szCs w:val="21"/>
                      <w:highlight w:val="none"/>
                    </w:rPr>
                    <w:t>根据《关于有力有效管控高耗能高排放项目的通知》中明确的“两高”项目重点管理范围（2025年版），</w:t>
                  </w:r>
                  <w:r>
                    <w:rPr>
                      <w:rFonts w:hint="eastAsia" w:ascii="Times New Roman" w:hAnsi="宋体"/>
                      <w:color w:val="auto"/>
                      <w:kern w:val="0"/>
                      <w:szCs w:val="21"/>
                      <w:highlight w:val="none"/>
                    </w:rPr>
                    <w:t>均</w:t>
                  </w:r>
                  <w:r>
                    <w:rPr>
                      <w:rFonts w:ascii="Times New Roman" w:hAnsi="宋体"/>
                      <w:color w:val="auto"/>
                      <w:kern w:val="0"/>
                      <w:szCs w:val="21"/>
                      <w:highlight w:val="none"/>
                    </w:rPr>
                    <w:t>不属于</w:t>
                  </w:r>
                  <w:r>
                    <w:rPr>
                      <w:rFonts w:hint="eastAsia" w:ascii="Times New Roman" w:hAnsi="宋体"/>
                      <w:color w:val="auto"/>
                      <w:kern w:val="0"/>
                      <w:szCs w:val="21"/>
                      <w:highlight w:val="none"/>
                      <w:lang w:eastAsia="zh-CN"/>
                    </w:rPr>
                    <w:t>“两高”项目</w:t>
                  </w:r>
                  <w:r>
                    <w:rPr>
                      <w:rFonts w:hint="eastAsia" w:ascii="Times New Roman" w:hAnsi="宋体"/>
                      <w:color w:val="auto"/>
                      <w:kern w:val="0"/>
                      <w:szCs w:val="21"/>
                      <w:highlight w:val="none"/>
                    </w:rPr>
                    <w:t>。</w:t>
                  </w:r>
                  <w:r>
                    <w:rPr>
                      <w:rFonts w:hint="eastAsia" w:ascii="Times New Roman" w:hAnsi="Times New Roman"/>
                      <w:color w:val="auto"/>
                      <w:szCs w:val="21"/>
                      <w:highlight w:val="none"/>
                    </w:rPr>
                    <w:t>项目</w:t>
                  </w:r>
                  <w:r>
                    <w:rPr>
                      <w:rFonts w:ascii="Times New Roman" w:hAnsi="Times New Roman"/>
                      <w:color w:val="auto"/>
                      <w:szCs w:val="21"/>
                      <w:highlight w:val="none"/>
                    </w:rPr>
                    <w:t>选址与</w:t>
                  </w:r>
                  <w:r>
                    <w:rPr>
                      <w:rFonts w:hint="eastAsia" w:ascii="Times New Roman" w:hAnsi="Times New Roman"/>
                      <w:color w:val="auto"/>
                      <w:szCs w:val="21"/>
                      <w:highlight w:val="none"/>
                    </w:rPr>
                    <w:t>“</w:t>
                  </w:r>
                  <w:r>
                    <w:rPr>
                      <w:rFonts w:ascii="Times New Roman" w:hAnsi="Times New Roman"/>
                      <w:color w:val="auto"/>
                      <w:szCs w:val="21"/>
                      <w:highlight w:val="none"/>
                    </w:rPr>
                    <w:t>三线一单</w:t>
                  </w:r>
                  <w:r>
                    <w:rPr>
                      <w:rFonts w:hint="eastAsia" w:ascii="Times New Roman" w:hAnsi="Times New Roman"/>
                      <w:color w:val="auto"/>
                      <w:szCs w:val="21"/>
                      <w:highlight w:val="none"/>
                    </w:rPr>
                    <w:t>”（</w:t>
                  </w:r>
                  <w:r>
                    <w:rPr>
                      <w:rFonts w:ascii="Times New Roman" w:hAnsi="Times New Roman"/>
                      <w:color w:val="auto"/>
                      <w:szCs w:val="21"/>
                      <w:highlight w:val="none"/>
                    </w:rPr>
                    <w:t>生态保护红线、环境质量底线、资源利用上线和生态环境准入清单</w:t>
                  </w:r>
                  <w:r>
                    <w:rPr>
                      <w:rFonts w:hint="eastAsia" w:ascii="Times New Roman" w:hAnsi="Times New Roman"/>
                      <w:color w:val="auto"/>
                      <w:szCs w:val="21"/>
                      <w:highlight w:val="none"/>
                    </w:rPr>
                    <w:t>）</w:t>
                  </w:r>
                  <w:r>
                    <w:rPr>
                      <w:rFonts w:ascii="Times New Roman" w:hAnsi="Times New Roman"/>
                      <w:color w:val="auto"/>
                      <w:szCs w:val="21"/>
                      <w:highlight w:val="none"/>
                    </w:rPr>
                    <w:t>相协调，并符合园区产业定位、园区规划及规划环评要求</w:t>
                  </w:r>
                  <w:r>
                    <w:rPr>
                      <w:rFonts w:hint="eastAsia" w:ascii="Times New Roman" w:hAnsi="Times New Roman"/>
                      <w:color w:val="auto"/>
                      <w:szCs w:val="21"/>
                      <w:highlight w:val="none"/>
                    </w:rPr>
                    <w:t>。</w:t>
                  </w:r>
                </w:p>
                <w:p w14:paraId="05E36E6A">
                  <w:pPr>
                    <w:widowControl/>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rPr>
                    <w:t>2.</w:t>
                  </w:r>
                  <w:r>
                    <w:rPr>
                      <w:rFonts w:hint="eastAsia" w:ascii="Times New Roman" w:hAnsi="Times New Roman"/>
                      <w:color w:val="auto"/>
                      <w:szCs w:val="21"/>
                      <w:highlight w:val="none"/>
                      <w:lang w:val="en-US" w:eastAsia="zh-CN"/>
                    </w:rPr>
                    <w:t>本项目使用的丝印油墨为高反射膜材料，不属于高挥发性有机物含量的油墨。不涉及使用不符合国家标准的油墨。</w:t>
                  </w:r>
                </w:p>
                <w:p w14:paraId="29B0F732">
                  <w:pPr>
                    <w:widowControl/>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r>
                    <w:rPr>
                      <w:rFonts w:hint="eastAsia" w:ascii="Times New Roman" w:hAnsi="宋体"/>
                      <w:color w:val="auto"/>
                      <w:kern w:val="0"/>
                      <w:szCs w:val="21"/>
                      <w:highlight w:val="none"/>
                    </w:rPr>
                    <w:t>本项目属于</w:t>
                  </w:r>
                  <w:r>
                    <w:rPr>
                      <w:rFonts w:hint="eastAsia" w:ascii="Times New Roman" w:hAnsi="宋体"/>
                      <w:color w:val="auto"/>
                      <w:kern w:val="0"/>
                      <w:szCs w:val="21"/>
                      <w:highlight w:val="none"/>
                      <w:lang w:eastAsia="zh-CN"/>
                    </w:rPr>
                    <w:t>C3042特种玻璃制造</w:t>
                  </w:r>
                  <w:r>
                    <w:rPr>
                      <w:rFonts w:hint="eastAsia" w:ascii="Times New Roman" w:hAnsi="宋体"/>
                      <w:color w:val="auto"/>
                      <w:kern w:val="0"/>
                      <w:szCs w:val="21"/>
                      <w:highlight w:val="none"/>
                    </w:rPr>
                    <w:t>，不属于禁止从事的生产活动和产业。</w:t>
                  </w:r>
                </w:p>
                <w:p w14:paraId="0140225A">
                  <w:pPr>
                    <w:widowControl/>
                    <w:adjustRightInd w:val="0"/>
                    <w:snapToGrid w:val="0"/>
                    <w:jc w:val="center"/>
                    <w:rPr>
                      <w:rFonts w:hint="eastAsia" w:ascii="Times New Roman" w:hAnsi="Times New Roman"/>
                      <w:color w:val="auto"/>
                      <w:szCs w:val="21"/>
                      <w:highlight w:val="none"/>
                    </w:rPr>
                  </w:pPr>
                  <w:r>
                    <w:rPr>
                      <w:rFonts w:hint="eastAsia" w:ascii="Times New Roman" w:hAnsi="Times New Roman"/>
                      <w:color w:val="auto"/>
                      <w:szCs w:val="21"/>
                      <w:highlight w:val="none"/>
                      <w:lang w:val="en-US" w:eastAsia="zh-CN"/>
                    </w:rPr>
                    <w:t>4</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对照</w:t>
                  </w:r>
                  <w:r>
                    <w:rPr>
                      <w:rFonts w:hint="eastAsia" w:ascii="Times New Roman" w:hAnsi="Times New Roman"/>
                      <w:color w:val="auto"/>
                      <w:szCs w:val="21"/>
                      <w:highlight w:val="none"/>
                    </w:rPr>
                    <w:t>《产业结构调整指导目录（2024年本）》，本项目不属于限制类或淘汰类项目。</w:t>
                  </w:r>
                </w:p>
                <w:p w14:paraId="69B26F23">
                  <w:pPr>
                    <w:widowControl/>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5.本项目为特种玻璃制造，不属于</w:t>
                  </w:r>
                  <w:r>
                    <w:rPr>
                      <w:rFonts w:hint="eastAsia" w:ascii="Times New Roman" w:hAnsi="Times New Roman" w:eastAsia="宋体" w:cs="Times New Roman"/>
                      <w:color w:val="auto"/>
                      <w:szCs w:val="21"/>
                      <w:highlight w:val="none"/>
                    </w:rPr>
                    <w:t>化学制浆造纸企业和印染、制革、化工、电镀、酿造等污染严重的企业</w:t>
                  </w:r>
                </w:p>
              </w:tc>
              <w:tc>
                <w:tcPr>
                  <w:tcW w:w="473" w:type="pct"/>
                  <w:noWrap w:val="0"/>
                  <w:vAlign w:val="center"/>
                </w:tcPr>
                <w:p w14:paraId="523A4AD3">
                  <w:pPr>
                    <w:widowControl/>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符合</w:t>
                  </w:r>
                </w:p>
              </w:tc>
            </w:tr>
            <w:tr w14:paraId="291A3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14:paraId="23D00558">
                  <w:pPr>
                    <w:adjustRightInd w:val="0"/>
                    <w:snapToGrid w:val="0"/>
                    <w:ind w:firstLine="360"/>
                    <w:jc w:val="center"/>
                    <w:textAlignment w:val="center"/>
                    <w:rPr>
                      <w:rFonts w:ascii="Times New Roman" w:hAnsi="Times New Roman"/>
                      <w:color w:val="auto"/>
                      <w:szCs w:val="21"/>
                      <w:highlight w:val="none"/>
                    </w:rPr>
                  </w:pPr>
                </w:p>
              </w:tc>
              <w:tc>
                <w:tcPr>
                  <w:tcW w:w="480" w:type="pct"/>
                  <w:noWrap w:val="0"/>
                  <w:vAlign w:val="center"/>
                </w:tcPr>
                <w:p w14:paraId="38D12CD7">
                  <w:pPr>
                    <w:adjustRightInd w:val="0"/>
                    <w:snapToGrid w:val="0"/>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rPr>
                    <w:t>污染物排放管控</w:t>
                  </w:r>
                </w:p>
              </w:tc>
              <w:tc>
                <w:tcPr>
                  <w:tcW w:w="2249" w:type="pct"/>
                  <w:noWrap w:val="0"/>
                  <w:vAlign w:val="center"/>
                </w:tcPr>
                <w:p w14:paraId="65C640C9">
                  <w:pPr>
                    <w:widowControl/>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实施技术、工艺、设备等生态化、循环化改造，加快布局分散的企业向园区集中，按要求设置生态隔离带，建设相应的防护工程。</w:t>
                  </w:r>
                </w:p>
                <w:p w14:paraId="57661FFF">
                  <w:pPr>
                    <w:widowControl/>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污染物排放标准中有特别排放限值的 标准的行业，二氧化硫、氮氧化物、颗粒物、挥发性有机物（VOCs）全面执行大气污染物特别排放限值。已核发 排污许可证的，应严格执行许可要求。</w:t>
                  </w:r>
                </w:p>
                <w:p w14:paraId="30E45406">
                  <w:pPr>
                    <w:widowControl/>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rPr>
                    <w:t>按《挥发性有机物无组织排放控制标准》（GB 37822 2019）要求，做好VOCs物料储存、物料转移和输送、工艺过程、设备与管线组件、敞开液面VOCs排放，以及VOCs无组织排放废气收集处理系统要求。</w:t>
                  </w:r>
                </w:p>
              </w:tc>
              <w:tc>
                <w:tcPr>
                  <w:tcW w:w="1384" w:type="pct"/>
                  <w:noWrap w:val="0"/>
                  <w:vAlign w:val="center"/>
                </w:tcPr>
                <w:p w14:paraId="4809D2D5">
                  <w:pPr>
                    <w:widowControl/>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val="en-US" w:eastAsia="zh-CN"/>
                    </w:rPr>
                    <w:t>丝印、固化</w:t>
                  </w:r>
                  <w:r>
                    <w:rPr>
                      <w:rFonts w:hint="eastAsia" w:ascii="Times New Roman" w:hAnsi="Times New Roman" w:eastAsia="宋体" w:cs="Times New Roman"/>
                      <w:color w:val="auto"/>
                      <w:szCs w:val="21"/>
                      <w:highlight w:val="none"/>
                    </w:rPr>
                    <w:t>废气初始排放速率为</w:t>
                  </w:r>
                  <w:r>
                    <w:rPr>
                      <w:rFonts w:hint="eastAsia" w:ascii="Times New Roman" w:hAnsi="Times New Roman" w:eastAsia="宋体" w:cs="Times New Roman"/>
                      <w:color w:val="auto"/>
                      <w:szCs w:val="21"/>
                      <w:highlight w:val="none"/>
                      <w:lang w:val="en-US" w:eastAsia="zh-CN"/>
                    </w:rPr>
                    <w:t>1.736</w:t>
                  </w:r>
                  <w:r>
                    <w:rPr>
                      <w:rFonts w:hint="eastAsia" w:ascii="Times New Roman" w:hAnsi="Times New Roman" w:eastAsia="宋体" w:cs="Times New Roman"/>
                      <w:color w:val="auto"/>
                      <w:szCs w:val="21"/>
                      <w:highlight w:val="none"/>
                    </w:rPr>
                    <w:t>kg/h，通过集气罩和密闭管道收集后经</w:t>
                  </w:r>
                  <w:r>
                    <w:rPr>
                      <w:rFonts w:hint="eastAsia" w:ascii="Times New Roman" w:hAnsi="Times New Roman" w:eastAsia="宋体"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两级活性炭</w:t>
                  </w:r>
                  <w:r>
                    <w:rPr>
                      <w:rFonts w:hint="eastAsia" w:ascii="Times New Roman" w:hAnsi="Times New Roman" w:eastAsia="宋体" w:cs="Times New Roman"/>
                      <w:color w:val="auto"/>
                      <w:szCs w:val="21"/>
                      <w:highlight w:val="none"/>
                      <w:lang w:val="en-US" w:eastAsia="zh-CN"/>
                    </w:rPr>
                    <w:t>吸附</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装置处理后排放，</w:t>
                  </w:r>
                  <w:r>
                    <w:rPr>
                      <w:rFonts w:hint="eastAsia" w:ascii="Times New Roman" w:hAnsi="Times New Roman" w:eastAsia="宋体" w:cs="Times New Roman"/>
                      <w:color w:val="auto"/>
                      <w:szCs w:val="21"/>
                      <w:highlight w:val="none"/>
                      <w:lang w:val="en-US" w:eastAsia="zh-CN"/>
                    </w:rPr>
                    <w:t>同时要求采用</w:t>
                  </w:r>
                  <w:r>
                    <w:rPr>
                      <w:rFonts w:hint="eastAsia" w:ascii="Times New Roman" w:hAnsi="Times New Roman" w:cs="Times New Roman"/>
                      <w:color w:val="auto"/>
                      <w:szCs w:val="21"/>
                      <w:highlight w:val="none"/>
                      <w:lang w:val="en-US" w:eastAsia="zh-CN"/>
                    </w:rPr>
                    <w:t>蜂窝活性炭</w:t>
                  </w:r>
                  <w:r>
                    <w:rPr>
                      <w:rFonts w:hint="eastAsia" w:ascii="Times New Roman" w:hAnsi="Times New Roman" w:eastAsia="宋体" w:cs="Times New Roman"/>
                      <w:color w:val="auto"/>
                      <w:szCs w:val="21"/>
                      <w:highlight w:val="none"/>
                      <w:lang w:val="en-US" w:eastAsia="zh-CN"/>
                    </w:rPr>
                    <w:t>，碘值不低于800mg/g，</w:t>
                  </w:r>
                  <w:r>
                    <w:rPr>
                      <w:rFonts w:hint="eastAsia" w:ascii="Times New Roman" w:hAnsi="Times New Roman" w:eastAsia="宋体" w:cs="Times New Roman"/>
                      <w:color w:val="auto"/>
                      <w:szCs w:val="21"/>
                      <w:highlight w:val="none"/>
                    </w:rPr>
                    <w:t>处理效率可以达到</w:t>
                  </w:r>
                  <w:r>
                    <w:rPr>
                      <w:rFonts w:hint="eastAsia" w:ascii="Times New Roman" w:hAnsi="Times New Roman" w:eastAsia="宋体" w:cs="Times New Roman"/>
                      <w:color w:val="auto"/>
                      <w:szCs w:val="21"/>
                      <w:highlight w:val="none"/>
                      <w:lang w:val="en-US" w:eastAsia="zh-CN"/>
                    </w:rPr>
                    <w:t>90</w:t>
                  </w:r>
                  <w:r>
                    <w:rPr>
                      <w:rFonts w:hint="eastAsia" w:ascii="Times New Roman" w:hAnsi="Times New Roman" w:eastAsia="宋体" w:cs="Times New Roman"/>
                      <w:color w:val="auto"/>
                      <w:szCs w:val="21"/>
                      <w:highlight w:val="none"/>
                    </w:rPr>
                    <w:t>%，处理后的废气可以满足《玻璃工业大气污染物排放标准》</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GB26453-2022</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的排放限值，达标排放。</w:t>
                  </w:r>
                </w:p>
              </w:tc>
              <w:tc>
                <w:tcPr>
                  <w:tcW w:w="473" w:type="pct"/>
                  <w:noWrap w:val="0"/>
                  <w:vAlign w:val="center"/>
                </w:tcPr>
                <w:p w14:paraId="5220BB33">
                  <w:pPr>
                    <w:widowControl/>
                    <w:adjustRightInd w:val="0"/>
                    <w:snapToGrid w:val="0"/>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符合</w:t>
                  </w:r>
                </w:p>
              </w:tc>
            </w:tr>
          </w:tbl>
          <w:p w14:paraId="0F6EEA38">
            <w:pPr>
              <w:spacing w:line="360" w:lineRule="auto"/>
              <w:ind w:firstLine="482" w:firstLineChars="200"/>
              <w:rPr>
                <w:rFonts w:ascii="Times New Roman" w:hAnsi="Times New Roman"/>
                <w:b/>
                <w:color w:val="auto"/>
                <w:sz w:val="24"/>
                <w:szCs w:val="24"/>
                <w:highlight w:val="none"/>
              </w:rPr>
            </w:pPr>
            <w:r>
              <w:rPr>
                <w:rFonts w:hint="eastAsia" w:ascii="Times New Roman" w:hAnsi="Times New Roman"/>
                <w:b/>
                <w:color w:val="auto"/>
                <w:sz w:val="24"/>
                <w:szCs w:val="24"/>
                <w:highlight w:val="none"/>
              </w:rPr>
              <w:t>4</w:t>
            </w:r>
            <w:r>
              <w:rPr>
                <w:rFonts w:ascii="Times New Roman" w:hAnsi="Times New Roman"/>
                <w:b/>
                <w:color w:val="auto"/>
                <w:sz w:val="24"/>
                <w:szCs w:val="24"/>
                <w:highlight w:val="none"/>
              </w:rPr>
              <w:t>、与《安徽省淮河流域水污染防治条例》相符性分析</w:t>
            </w:r>
          </w:p>
          <w:p w14:paraId="167ECA72">
            <w:pPr>
              <w:spacing w:line="360" w:lineRule="auto"/>
              <w:jc w:val="center"/>
              <w:rPr>
                <w:rFonts w:ascii="Times New Roman" w:hAnsi="黑体" w:eastAsia="黑体"/>
                <w:bCs/>
                <w:color w:val="auto"/>
                <w:szCs w:val="21"/>
                <w:highlight w:val="none"/>
              </w:rPr>
            </w:pPr>
            <w:r>
              <w:rPr>
                <w:rFonts w:ascii="Times New Roman" w:hAnsi="黑体" w:eastAsia="黑体"/>
                <w:bCs/>
                <w:color w:val="auto"/>
                <w:sz w:val="24"/>
                <w:szCs w:val="24"/>
                <w:highlight w:val="none"/>
              </w:rPr>
              <w:t>表</w:t>
            </w:r>
            <w:r>
              <w:rPr>
                <w:rFonts w:hint="eastAsia" w:ascii="Times New Roman" w:hAnsi="黑体" w:eastAsia="黑体"/>
                <w:bCs/>
                <w:color w:val="auto"/>
                <w:sz w:val="24"/>
                <w:szCs w:val="24"/>
                <w:highlight w:val="none"/>
              </w:rPr>
              <w:t xml:space="preserve">1-4 </w:t>
            </w:r>
            <w:r>
              <w:rPr>
                <w:rFonts w:ascii="Times New Roman" w:hAnsi="黑体" w:eastAsia="黑体"/>
                <w:bCs/>
                <w:color w:val="auto"/>
                <w:sz w:val="24"/>
                <w:szCs w:val="24"/>
                <w:highlight w:val="none"/>
              </w:rPr>
              <w:t>与《安徽省淮河流域水污染防治条例》相符性分析</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2"/>
              <w:gridCol w:w="3248"/>
              <w:gridCol w:w="3192"/>
              <w:gridCol w:w="1120"/>
            </w:tblGrid>
            <w:tr w14:paraId="02727B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96" w:type="pct"/>
                  <w:tcBorders>
                    <w:top w:val="single" w:color="auto" w:sz="8" w:space="0"/>
                    <w:bottom w:val="single" w:color="auto" w:sz="4" w:space="0"/>
                    <w:right w:val="single" w:color="auto" w:sz="4" w:space="0"/>
                  </w:tcBorders>
                  <w:noWrap w:val="0"/>
                  <w:vAlign w:val="center"/>
                </w:tcPr>
                <w:p w14:paraId="4513CB17">
                  <w:pPr>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序号</w:t>
                  </w:r>
                </w:p>
              </w:tc>
              <w:tc>
                <w:tcPr>
                  <w:tcW w:w="1935" w:type="pct"/>
                  <w:tcBorders>
                    <w:top w:val="single" w:color="auto" w:sz="8" w:space="0"/>
                    <w:left w:val="single" w:color="auto" w:sz="4" w:space="0"/>
                    <w:bottom w:val="single" w:color="auto" w:sz="4" w:space="0"/>
                    <w:right w:val="single" w:color="auto" w:sz="4" w:space="0"/>
                  </w:tcBorders>
                  <w:noWrap w:val="0"/>
                  <w:vAlign w:val="center"/>
                </w:tcPr>
                <w:p w14:paraId="02F37F21">
                  <w:pPr>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措施内容</w:t>
                  </w:r>
                </w:p>
              </w:tc>
              <w:tc>
                <w:tcPr>
                  <w:tcW w:w="1902" w:type="pct"/>
                  <w:tcBorders>
                    <w:top w:val="single" w:color="auto" w:sz="8" w:space="0"/>
                    <w:left w:val="single" w:color="auto" w:sz="4" w:space="0"/>
                    <w:bottom w:val="single" w:color="auto" w:sz="4" w:space="0"/>
                    <w:right w:val="single" w:color="auto" w:sz="4" w:space="0"/>
                  </w:tcBorders>
                  <w:noWrap w:val="0"/>
                  <w:vAlign w:val="center"/>
                </w:tcPr>
                <w:p w14:paraId="6900F5B1">
                  <w:pPr>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本项目措施</w:t>
                  </w:r>
                </w:p>
              </w:tc>
              <w:tc>
                <w:tcPr>
                  <w:tcW w:w="667" w:type="pct"/>
                  <w:tcBorders>
                    <w:top w:val="single" w:color="auto" w:sz="8" w:space="0"/>
                    <w:left w:val="single" w:color="auto" w:sz="4" w:space="0"/>
                    <w:bottom w:val="single" w:color="auto" w:sz="4" w:space="0"/>
                  </w:tcBorders>
                  <w:noWrap w:val="0"/>
                  <w:vAlign w:val="center"/>
                </w:tcPr>
                <w:p w14:paraId="060A623E">
                  <w:pPr>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相符性</w:t>
                  </w:r>
                </w:p>
              </w:tc>
            </w:tr>
            <w:tr w14:paraId="2C7392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96" w:type="pct"/>
                  <w:tcBorders>
                    <w:top w:val="single" w:color="auto" w:sz="4" w:space="0"/>
                    <w:bottom w:val="single" w:color="auto" w:sz="4" w:space="0"/>
                    <w:right w:val="single" w:color="auto" w:sz="4" w:space="0"/>
                  </w:tcBorders>
                  <w:noWrap w:val="0"/>
                  <w:vAlign w:val="center"/>
                </w:tcPr>
                <w:p w14:paraId="0CC0C4B7">
                  <w:pPr>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1</w:t>
                  </w:r>
                </w:p>
              </w:tc>
              <w:tc>
                <w:tcPr>
                  <w:tcW w:w="1935" w:type="pct"/>
                  <w:tcBorders>
                    <w:top w:val="single" w:color="auto" w:sz="4" w:space="0"/>
                    <w:left w:val="single" w:color="auto" w:sz="4" w:space="0"/>
                    <w:bottom w:val="single" w:color="auto" w:sz="4" w:space="0"/>
                    <w:right w:val="single" w:color="auto" w:sz="4" w:space="0"/>
                  </w:tcBorders>
                  <w:noWrap w:val="0"/>
                  <w:vAlign w:val="center"/>
                </w:tcPr>
                <w:p w14:paraId="752FA60B">
                  <w:pPr>
                    <w:widowControl/>
                    <w:adjustRightInd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902" w:type="pct"/>
                  <w:tcBorders>
                    <w:top w:val="single" w:color="auto" w:sz="4" w:space="0"/>
                    <w:left w:val="single" w:color="auto" w:sz="4" w:space="0"/>
                    <w:bottom w:val="single" w:color="auto" w:sz="4" w:space="0"/>
                    <w:right w:val="single" w:color="auto" w:sz="4" w:space="0"/>
                  </w:tcBorders>
                  <w:noWrap w:val="0"/>
                  <w:vAlign w:val="center"/>
                </w:tcPr>
                <w:p w14:paraId="41CF3DEB">
                  <w:pPr>
                    <w:widowControl/>
                    <w:adjustRightInd w:val="0"/>
                    <w:snapToGrid w:val="0"/>
                    <w:spacing w:line="276" w:lineRule="auto"/>
                    <w:jc w:val="center"/>
                    <w:rPr>
                      <w:rFonts w:ascii="Times New Roman" w:hAnsi="Times New Roman"/>
                      <w:color w:val="auto"/>
                      <w:szCs w:val="21"/>
                      <w:highlight w:val="none"/>
                    </w:rPr>
                  </w:pPr>
                  <w:r>
                    <w:rPr>
                      <w:rFonts w:ascii="Times New Roman" w:hAnsi="宋体"/>
                      <w:color w:val="auto"/>
                      <w:kern w:val="0"/>
                      <w:szCs w:val="21"/>
                      <w:highlight w:val="none"/>
                    </w:rPr>
                    <w:t>本项</w:t>
                  </w:r>
                  <w:r>
                    <w:rPr>
                      <w:rFonts w:hint="eastAsia" w:ascii="Times New Roman" w:hAnsi="宋体"/>
                      <w:color w:val="auto"/>
                      <w:kern w:val="0"/>
                      <w:szCs w:val="21"/>
                      <w:highlight w:val="none"/>
                      <w:lang w:eastAsia="zh-CN"/>
                    </w:rPr>
                    <w:t>目是</w:t>
                  </w:r>
                  <w:r>
                    <w:rPr>
                      <w:rFonts w:hint="eastAsia" w:ascii="Times New Roman" w:hAnsi="宋体"/>
                      <w:color w:val="auto"/>
                      <w:kern w:val="0"/>
                      <w:szCs w:val="21"/>
                      <w:highlight w:val="none"/>
                    </w:rPr>
                    <w:t>新建</w:t>
                  </w:r>
                  <w:r>
                    <w:rPr>
                      <w:rFonts w:hint="eastAsia" w:ascii="Times New Roman" w:hAnsi="宋体"/>
                      <w:color w:val="auto"/>
                      <w:kern w:val="0"/>
                      <w:szCs w:val="21"/>
                      <w:highlight w:val="none"/>
                      <w:lang w:eastAsia="zh-CN"/>
                    </w:rPr>
                    <w:t>光伏玻璃深加工项目，</w:t>
                  </w:r>
                  <w:r>
                    <w:rPr>
                      <w:rFonts w:hint="eastAsia" w:ascii="Times New Roman" w:hAnsi="宋体"/>
                      <w:color w:val="auto"/>
                      <w:kern w:val="0"/>
                      <w:szCs w:val="21"/>
                      <w:highlight w:val="none"/>
                    </w:rPr>
                    <w:t>属于</w:t>
                  </w:r>
                  <w:r>
                    <w:rPr>
                      <w:rFonts w:hint="eastAsia" w:ascii="Times New Roman" w:hAnsi="宋体"/>
                      <w:color w:val="auto"/>
                      <w:kern w:val="0"/>
                      <w:szCs w:val="21"/>
                      <w:highlight w:val="none"/>
                      <w:lang w:val="en-US" w:eastAsia="zh-CN"/>
                    </w:rPr>
                    <w:t>特种玻璃</w:t>
                  </w:r>
                  <w:r>
                    <w:rPr>
                      <w:rFonts w:hint="eastAsia" w:ascii="Times New Roman" w:hAnsi="宋体"/>
                      <w:color w:val="auto"/>
                      <w:kern w:val="0"/>
                      <w:szCs w:val="21"/>
                      <w:highlight w:val="none"/>
                    </w:rPr>
                    <w:t>制造</w:t>
                  </w:r>
                  <w:r>
                    <w:rPr>
                      <w:rFonts w:ascii="Times New Roman" w:hAnsi="Times New Roman"/>
                      <w:color w:val="auto"/>
                      <w:szCs w:val="21"/>
                      <w:highlight w:val="none"/>
                    </w:rPr>
                    <w:t>，企业不属于印染、制革、化工、电镀、酿造等污染严重的小型企业。项目已取得</w:t>
                  </w:r>
                  <w:r>
                    <w:rPr>
                      <w:rFonts w:hint="eastAsia" w:ascii="Times New Roman" w:hAnsi="Times New Roman"/>
                      <w:color w:val="auto"/>
                      <w:szCs w:val="21"/>
                      <w:highlight w:val="none"/>
                    </w:rPr>
                    <w:t>淮南市凤台县发展和改革委员会项目备案</w:t>
                  </w:r>
                </w:p>
              </w:tc>
              <w:tc>
                <w:tcPr>
                  <w:tcW w:w="667" w:type="pct"/>
                  <w:tcBorders>
                    <w:top w:val="single" w:color="auto" w:sz="4" w:space="0"/>
                    <w:left w:val="single" w:color="auto" w:sz="4" w:space="0"/>
                    <w:bottom w:val="single" w:color="auto" w:sz="4" w:space="0"/>
                  </w:tcBorders>
                  <w:noWrap w:val="0"/>
                  <w:vAlign w:val="center"/>
                </w:tcPr>
                <w:p w14:paraId="5C0C367C">
                  <w:pPr>
                    <w:widowControl/>
                    <w:adjustRightInd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符合</w:t>
                  </w:r>
                </w:p>
              </w:tc>
            </w:tr>
            <w:tr w14:paraId="3DE36B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96" w:type="pct"/>
                  <w:tcBorders>
                    <w:top w:val="single" w:color="auto" w:sz="4" w:space="0"/>
                    <w:bottom w:val="single" w:color="auto" w:sz="8" w:space="0"/>
                    <w:right w:val="single" w:color="auto" w:sz="4" w:space="0"/>
                  </w:tcBorders>
                  <w:noWrap w:val="0"/>
                  <w:vAlign w:val="center"/>
                </w:tcPr>
                <w:p w14:paraId="55A85A61">
                  <w:pPr>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2</w:t>
                  </w:r>
                </w:p>
              </w:tc>
              <w:tc>
                <w:tcPr>
                  <w:tcW w:w="1935" w:type="pct"/>
                  <w:tcBorders>
                    <w:top w:val="single" w:color="auto" w:sz="4" w:space="0"/>
                    <w:left w:val="single" w:color="auto" w:sz="4" w:space="0"/>
                    <w:bottom w:val="single" w:color="auto" w:sz="8" w:space="0"/>
                    <w:right w:val="single" w:color="auto" w:sz="4" w:space="0"/>
                  </w:tcBorders>
                  <w:noWrap w:val="0"/>
                  <w:vAlign w:val="center"/>
                </w:tcPr>
                <w:p w14:paraId="79401E53">
                  <w:pPr>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第十四条新建、改建、改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r>
                    <w:rPr>
                      <w:rFonts w:ascii="Times New Roman" w:hAnsi="Times New Roman"/>
                      <w:color w:val="auto"/>
                      <w:szCs w:val="21"/>
                      <w:highlight w:val="none"/>
                    </w:rPr>
                    <w:t>。</w:t>
                  </w:r>
                </w:p>
              </w:tc>
              <w:tc>
                <w:tcPr>
                  <w:tcW w:w="1902" w:type="pct"/>
                  <w:tcBorders>
                    <w:top w:val="single" w:color="auto" w:sz="4" w:space="0"/>
                    <w:left w:val="single" w:color="auto" w:sz="4" w:space="0"/>
                    <w:bottom w:val="single" w:color="auto" w:sz="8" w:space="0"/>
                    <w:right w:val="single" w:color="auto" w:sz="4" w:space="0"/>
                  </w:tcBorders>
                  <w:noWrap w:val="0"/>
                  <w:vAlign w:val="center"/>
                </w:tcPr>
                <w:p w14:paraId="29B2AC94">
                  <w:pPr>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项目</w:t>
                  </w:r>
                  <w:r>
                    <w:rPr>
                      <w:rFonts w:hint="eastAsia" w:ascii="Times New Roman" w:hAnsi="Times New Roman"/>
                      <w:color w:val="auto"/>
                      <w:szCs w:val="21"/>
                      <w:highlight w:val="none"/>
                      <w:lang w:val="en-US" w:eastAsia="zh-CN"/>
                    </w:rPr>
                    <w:t>生产废水经处理后循环使用，</w:t>
                  </w:r>
                  <w:r>
                    <w:rPr>
                      <w:rFonts w:hint="eastAsia" w:ascii="Times New Roman" w:hAnsi="Times New Roman"/>
                      <w:color w:val="auto"/>
                      <w:szCs w:val="21"/>
                      <w:highlight w:val="none"/>
                    </w:rPr>
                    <w:t>定期补充损耗；生活污水经园区化粪池处理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default" w:ascii="Times New Roman" w:hAnsi="Times New Roman" w:eastAsia="宋体" w:cs="Times New Roman"/>
                      <w:color w:val="auto"/>
                      <w:szCs w:val="21"/>
                      <w:highlight w:val="none"/>
                      <w:lang w:val="en-US" w:eastAsia="zh-CN"/>
                    </w:rPr>
                    <w:t>。</w:t>
                  </w:r>
                </w:p>
              </w:tc>
              <w:tc>
                <w:tcPr>
                  <w:tcW w:w="667" w:type="pct"/>
                  <w:tcBorders>
                    <w:top w:val="single" w:color="auto" w:sz="4" w:space="0"/>
                    <w:left w:val="single" w:color="auto" w:sz="4" w:space="0"/>
                    <w:bottom w:val="single" w:color="auto" w:sz="8" w:space="0"/>
                  </w:tcBorders>
                  <w:noWrap w:val="0"/>
                  <w:vAlign w:val="center"/>
                </w:tcPr>
                <w:p w14:paraId="12666FB1">
                  <w:pPr>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符合</w:t>
                  </w:r>
                </w:p>
              </w:tc>
            </w:tr>
          </w:tbl>
          <w:p w14:paraId="0A79F76D">
            <w:pPr>
              <w:spacing w:line="360" w:lineRule="auto"/>
              <w:ind w:firstLine="480" w:firstLineChars="200"/>
              <w:rPr>
                <w:rFonts w:ascii="Times New Roman" w:hAnsi="Times New Roman" w:cs="宋体"/>
                <w:color w:val="auto"/>
                <w:kern w:val="0"/>
                <w:sz w:val="24"/>
                <w:szCs w:val="24"/>
                <w:highlight w:val="none"/>
              </w:rPr>
            </w:pPr>
            <w:r>
              <w:rPr>
                <w:rFonts w:hint="eastAsia" w:ascii="Times New Roman" w:hAnsi="Times New Roman" w:cs="宋体"/>
                <w:color w:val="auto"/>
                <w:kern w:val="0"/>
                <w:sz w:val="24"/>
                <w:szCs w:val="24"/>
                <w:highlight w:val="none"/>
              </w:rPr>
              <w:t>根据上表可知，本项目与</w:t>
            </w:r>
            <w:r>
              <w:rPr>
                <w:rFonts w:ascii="Times New Roman" w:hAnsi="Times New Roman" w:cs="宋体"/>
                <w:color w:val="auto"/>
                <w:kern w:val="0"/>
                <w:sz w:val="24"/>
                <w:szCs w:val="24"/>
                <w:highlight w:val="none"/>
              </w:rPr>
              <w:t>《安徽省淮河流域水污染防治条例》</w:t>
            </w:r>
            <w:r>
              <w:rPr>
                <w:rFonts w:hint="eastAsia" w:ascii="Times New Roman" w:hAnsi="Times New Roman" w:cs="宋体"/>
                <w:color w:val="auto"/>
                <w:kern w:val="0"/>
                <w:sz w:val="24"/>
                <w:szCs w:val="24"/>
                <w:highlight w:val="none"/>
              </w:rPr>
              <w:t>中的规定相符。</w:t>
            </w:r>
          </w:p>
          <w:p w14:paraId="3825A6DB">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黑体"/>
                <w:b/>
                <w:color w:val="auto"/>
                <w:kern w:val="2"/>
                <w:sz w:val="24"/>
                <w:szCs w:val="22"/>
                <w:highlight w:val="none"/>
                <w:lang w:val="en-US" w:eastAsia="zh-CN" w:bidi="ar-SA"/>
              </w:rPr>
            </w:pPr>
            <w:r>
              <w:rPr>
                <w:rFonts w:hint="eastAsia" w:ascii="Times New Roman" w:hAnsi="Times New Roman" w:eastAsia="宋体" w:cs="黑体"/>
                <w:b/>
                <w:color w:val="auto"/>
                <w:kern w:val="2"/>
                <w:sz w:val="24"/>
                <w:szCs w:val="22"/>
                <w:highlight w:val="none"/>
                <w:lang w:val="en-US" w:eastAsia="zh-CN" w:bidi="ar-SA"/>
              </w:rPr>
              <w:t>5、与《安徽省“十四五”大气污染防治规划》符合性分析</w:t>
            </w:r>
          </w:p>
          <w:p w14:paraId="25A58B7A">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sz w:val="24"/>
                <w:szCs w:val="21"/>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ascii="Times New Roman" w:hAnsi="Times New Roman" w:eastAsia="黑体" w:cs="Times New Roman"/>
                <w:color w:val="auto"/>
                <w:kern w:val="2"/>
                <w:sz w:val="24"/>
                <w:szCs w:val="24"/>
                <w:highlight w:val="none"/>
                <w:lang w:val="en-US" w:eastAsia="zh-CN" w:bidi="ar-SA"/>
              </w:rPr>
              <w:t>1-8</w:t>
            </w:r>
            <w:r>
              <w:rPr>
                <w:rFonts w:hint="default" w:ascii="Times New Roman" w:hAnsi="Times New Roman" w:eastAsia="黑体" w:cs="Times New Roman"/>
                <w:color w:val="auto"/>
                <w:kern w:val="2"/>
                <w:sz w:val="24"/>
                <w:szCs w:val="24"/>
                <w:highlight w:val="none"/>
                <w:lang w:val="en-US" w:eastAsia="zh-CN" w:bidi="ar-SA"/>
              </w:rPr>
              <w:t xml:space="preserve"> </w:t>
            </w:r>
            <w:r>
              <w:rPr>
                <w:rFonts w:hint="eastAsia" w:ascii="Times New Roman" w:hAnsi="Times New Roman" w:eastAsia="黑体" w:cs="Times New Roman"/>
                <w:color w:val="auto"/>
                <w:kern w:val="2"/>
                <w:sz w:val="24"/>
                <w:szCs w:val="24"/>
                <w:highlight w:val="none"/>
                <w:lang w:val="en-US" w:eastAsia="zh-CN" w:bidi="ar-SA"/>
              </w:rPr>
              <w:t>建设</w:t>
            </w:r>
            <w:r>
              <w:rPr>
                <w:rFonts w:hint="default" w:ascii="Times New Roman" w:hAnsi="Times New Roman" w:eastAsia="黑体" w:cs="Times New Roman"/>
                <w:color w:val="auto"/>
                <w:kern w:val="2"/>
                <w:sz w:val="24"/>
                <w:szCs w:val="24"/>
                <w:highlight w:val="none"/>
                <w:lang w:val="en-US" w:eastAsia="zh-CN" w:bidi="ar-SA"/>
              </w:rPr>
              <w:t>项目与</w:t>
            </w:r>
            <w:r>
              <w:rPr>
                <w:rFonts w:hint="eastAsia" w:ascii="Times New Roman" w:hAnsi="Times New Roman" w:eastAsia="黑体" w:cs="Times New Roman"/>
                <w:color w:val="auto"/>
                <w:kern w:val="2"/>
                <w:sz w:val="24"/>
                <w:szCs w:val="24"/>
                <w:highlight w:val="none"/>
                <w:lang w:val="en-US" w:eastAsia="zh-CN" w:bidi="ar-SA"/>
              </w:rPr>
              <w:t>《安徽省“十四五”大气污染防治规划》</w:t>
            </w:r>
            <w:r>
              <w:rPr>
                <w:rFonts w:hint="default" w:ascii="Times New Roman" w:hAnsi="Times New Roman" w:eastAsia="黑体" w:cs="Times New Roman"/>
                <w:color w:val="auto"/>
                <w:kern w:val="2"/>
                <w:sz w:val="24"/>
                <w:szCs w:val="24"/>
                <w:highlight w:val="none"/>
                <w:lang w:val="en-US" w:eastAsia="zh-CN" w:bidi="ar-SA"/>
              </w:rPr>
              <w:t>符合性分析</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4"/>
              <w:gridCol w:w="2902"/>
              <w:gridCol w:w="3855"/>
              <w:gridCol w:w="1008"/>
            </w:tblGrid>
            <w:tr w14:paraId="607D1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noWrap w:val="0"/>
                  <w:vAlign w:val="center"/>
                </w:tcPr>
                <w:p w14:paraId="7B9EDFD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序号</w:t>
                  </w:r>
                </w:p>
              </w:tc>
              <w:tc>
                <w:tcPr>
                  <w:tcW w:w="1729" w:type="pct"/>
                  <w:noWrap w:val="0"/>
                  <w:vAlign w:val="center"/>
                </w:tcPr>
                <w:p w14:paraId="2CE2C45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相关要求</w:t>
                  </w:r>
                </w:p>
              </w:tc>
              <w:tc>
                <w:tcPr>
                  <w:tcW w:w="2297" w:type="pct"/>
                  <w:noWrap w:val="0"/>
                  <w:vAlign w:val="center"/>
                </w:tcPr>
                <w:p w14:paraId="7711E2E9">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本项目情况</w:t>
                  </w:r>
                </w:p>
              </w:tc>
              <w:tc>
                <w:tcPr>
                  <w:tcW w:w="600" w:type="pct"/>
                  <w:noWrap w:val="0"/>
                  <w:vAlign w:val="center"/>
                </w:tcPr>
                <w:p w14:paraId="414A2AD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符合性分析</w:t>
                  </w:r>
                </w:p>
              </w:tc>
            </w:tr>
            <w:tr w14:paraId="3C1684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noWrap w:val="0"/>
                  <w:vAlign w:val="center"/>
                </w:tcPr>
                <w:p w14:paraId="37ADEA65">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1</w:t>
                  </w:r>
                </w:p>
              </w:tc>
              <w:tc>
                <w:tcPr>
                  <w:tcW w:w="1729" w:type="pct"/>
                  <w:noWrap w:val="0"/>
                  <w:vAlign w:val="center"/>
                </w:tcPr>
                <w:p w14:paraId="17068429">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shd w:val="clear" w:color="auto" w:fill="FFFFFF"/>
                    </w:rPr>
                  </w:pPr>
                  <w:r>
                    <w:rPr>
                      <w:rFonts w:hint="eastAsia" w:ascii="Times New Roman" w:hAnsi="宋体" w:eastAsia="宋体" w:cs="Times New Roman"/>
                      <w:color w:val="auto"/>
                      <w:szCs w:val="21"/>
                      <w:highlight w:val="none"/>
                      <w:shd w:val="clear" w:color="auto" w:fill="FFFFFF"/>
                    </w:rPr>
                    <w:t>严格落实国家产业规划、产业政策、“三线一单”、规划环评，以及产能置换、煤炭消费减量替代、区域污染物削减等要求，坚决叫停不符合要求的“两高”项目。</w:t>
                  </w:r>
                </w:p>
              </w:tc>
              <w:tc>
                <w:tcPr>
                  <w:tcW w:w="2297" w:type="pct"/>
                  <w:noWrap w:val="0"/>
                  <w:vAlign w:val="center"/>
                </w:tcPr>
                <w:p w14:paraId="52ED7362">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本项目属于C3042 特种玻璃制造，建设双玻组件用光伏玻璃深加工项目，选址</w:t>
                  </w:r>
                  <w:r>
                    <w:rPr>
                      <w:rFonts w:hint="default" w:ascii="Times New Roman" w:hAnsi="宋体" w:eastAsia="宋体" w:cs="Times New Roman"/>
                      <w:color w:val="auto"/>
                      <w:szCs w:val="21"/>
                      <w:highlight w:val="none"/>
                    </w:rPr>
                    <w:t>位于</w:t>
                  </w:r>
                  <w:r>
                    <w:rPr>
                      <w:rFonts w:hint="eastAsia" w:ascii="Times New Roman" w:hAnsi="宋体" w:eastAsia="宋体" w:cs="Times New Roman"/>
                      <w:color w:val="auto"/>
                      <w:szCs w:val="21"/>
                      <w:highlight w:val="none"/>
                      <w:lang w:val="en-US" w:eastAsia="zh-CN"/>
                    </w:rPr>
                    <w:t>安徽省淮南市凤台经济开发区国晟（凤台）异质结双碳产业园内</w:t>
                  </w:r>
                  <w:r>
                    <w:rPr>
                      <w:rFonts w:hint="default"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val="en-US" w:eastAsia="zh-CN"/>
                    </w:rPr>
                    <w:t>属于安徽凤台经济开发区管辖范畴</w:t>
                  </w:r>
                  <w:r>
                    <w:rPr>
                      <w:rFonts w:hint="default"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val="en-US" w:eastAsia="zh-CN"/>
                    </w:rPr>
                    <w:t>不</w:t>
                  </w:r>
                  <w:r>
                    <w:rPr>
                      <w:rFonts w:hint="default" w:ascii="Times New Roman" w:hAnsi="宋体" w:eastAsia="宋体" w:cs="Times New Roman"/>
                      <w:color w:val="auto"/>
                      <w:szCs w:val="21"/>
                      <w:highlight w:val="none"/>
                    </w:rPr>
                    <w:t>涉及自然保护区，不</w:t>
                  </w:r>
                  <w:r>
                    <w:rPr>
                      <w:rFonts w:hint="eastAsia" w:ascii="Times New Roman" w:hAnsi="宋体" w:eastAsia="宋体" w:cs="Times New Roman"/>
                      <w:color w:val="auto"/>
                      <w:szCs w:val="21"/>
                      <w:highlight w:val="none"/>
                      <w:lang w:val="en-US" w:eastAsia="zh-CN"/>
                    </w:rPr>
                    <w:t>在</w:t>
                  </w:r>
                  <w:r>
                    <w:rPr>
                      <w:rFonts w:hint="default" w:ascii="Times New Roman" w:hAnsi="宋体" w:eastAsia="宋体" w:cs="Times New Roman"/>
                      <w:color w:val="auto"/>
                      <w:szCs w:val="21"/>
                      <w:highlight w:val="none"/>
                    </w:rPr>
                    <w:t>安徽省生态保护红线划定红线范围内。</w:t>
                  </w:r>
                </w:p>
              </w:tc>
              <w:tc>
                <w:tcPr>
                  <w:tcW w:w="600" w:type="pct"/>
                  <w:noWrap w:val="0"/>
                  <w:vAlign w:val="center"/>
                </w:tcPr>
                <w:p w14:paraId="53F599C2">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符合</w:t>
                  </w:r>
                </w:p>
              </w:tc>
            </w:tr>
            <w:tr w14:paraId="42121B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noWrap w:val="0"/>
                  <w:vAlign w:val="center"/>
                </w:tcPr>
                <w:p w14:paraId="05DC0ADA">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eastAsia="zh-CN"/>
                    </w:rPr>
                  </w:pPr>
                  <w:r>
                    <w:rPr>
                      <w:rFonts w:hint="eastAsia" w:ascii="Times New Roman" w:hAnsi="宋体" w:eastAsia="宋体" w:cs="Times New Roman"/>
                      <w:color w:val="auto"/>
                      <w:szCs w:val="21"/>
                      <w:highlight w:val="none"/>
                      <w:lang w:val="en-US" w:eastAsia="zh-CN"/>
                    </w:rPr>
                    <w:t>2</w:t>
                  </w:r>
                </w:p>
              </w:tc>
              <w:tc>
                <w:tcPr>
                  <w:tcW w:w="1729" w:type="pct"/>
                  <w:noWrap w:val="0"/>
                  <w:vAlign w:val="center"/>
                </w:tcPr>
                <w:p w14:paraId="4C8E9F99">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shd w:val="clear" w:color="auto" w:fill="FFFFFF"/>
                    </w:rPr>
                    <w:t>加强挥发性有机物污染防治精细化管理，针对石化、化工、包装印刷、工业涂装等重点行业建立完善源头削减、过程控制和末端治理的VOCs全过程控制体系，实施VOCs排放总量控制。</w:t>
                  </w:r>
                </w:p>
              </w:tc>
              <w:tc>
                <w:tcPr>
                  <w:tcW w:w="2297" w:type="pct"/>
                  <w:noWrap w:val="0"/>
                  <w:vAlign w:val="center"/>
                </w:tcPr>
                <w:p w14:paraId="19E83C5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lang w:val="en-US" w:eastAsia="zh-CN"/>
                    </w:rPr>
                    <w:t>本项目主要从事C3042 特种玻璃制造。</w:t>
                  </w:r>
                  <w:r>
                    <w:rPr>
                      <w:rFonts w:hint="eastAsia" w:ascii="Times New Roman" w:hAnsi="Times New Roman" w:eastAsia="宋体" w:cs="Times New Roman"/>
                      <w:color w:val="auto"/>
                      <w:szCs w:val="21"/>
                      <w:highlight w:val="none"/>
                      <w:lang w:val="en-US" w:eastAsia="zh-CN"/>
                    </w:rPr>
                    <w:t>丝印、固化废气</w:t>
                  </w:r>
                  <w:r>
                    <w:rPr>
                      <w:rFonts w:hint="eastAsia" w:ascii="Times New Roman" w:hAnsi="Times New Roman" w:eastAsia="宋体" w:cs="Times New Roman"/>
                      <w:color w:val="auto"/>
                      <w:szCs w:val="21"/>
                      <w:highlight w:val="none"/>
                    </w:rPr>
                    <w:t>通过集气罩和密闭管道收集后经</w:t>
                  </w:r>
                  <w:r>
                    <w:rPr>
                      <w:rFonts w:hint="eastAsia" w:ascii="Times New Roman" w:hAnsi="Times New Roman" w:eastAsia="宋体"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两级活性炭</w:t>
                  </w:r>
                  <w:r>
                    <w:rPr>
                      <w:rFonts w:hint="eastAsia" w:ascii="Times New Roman" w:hAnsi="Times New Roman" w:eastAsia="宋体" w:cs="Times New Roman"/>
                      <w:color w:val="auto"/>
                      <w:szCs w:val="21"/>
                      <w:highlight w:val="none"/>
                      <w:lang w:val="en-US" w:eastAsia="zh-CN"/>
                    </w:rPr>
                    <w:t>吸附</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装置处理后排放</w:t>
                  </w:r>
                  <w:r>
                    <w:rPr>
                      <w:rFonts w:hint="eastAsia" w:ascii="Times New Roman" w:hAnsi="Times New Roman" w:eastAsia="宋体" w:cs="Times New Roman"/>
                      <w:color w:val="auto"/>
                      <w:szCs w:val="21"/>
                      <w:highlight w:val="none"/>
                      <w:lang w:val="en-US" w:eastAsia="zh-CN"/>
                    </w:rPr>
                    <w:t>经15m高的（DA001）排气筒排放</w:t>
                  </w:r>
                  <w:r>
                    <w:rPr>
                      <w:rFonts w:hint="eastAsia" w:ascii="Times New Roman" w:hAnsi="宋体" w:eastAsia="宋体" w:cs="Times New Roman"/>
                      <w:color w:val="auto"/>
                      <w:szCs w:val="21"/>
                      <w:highlight w:val="none"/>
                      <w:lang w:val="en-US" w:eastAsia="zh-CN"/>
                    </w:rPr>
                    <w:t>。实施VOCs全过程控制体系，项目产生的挥发性有机物、颗粒物等大气污染物排放总量指标向淮南市生态环境局申请。</w:t>
                  </w:r>
                </w:p>
              </w:tc>
              <w:tc>
                <w:tcPr>
                  <w:tcW w:w="600" w:type="pct"/>
                  <w:noWrap w:val="0"/>
                  <w:vAlign w:val="center"/>
                </w:tcPr>
                <w:p w14:paraId="0948E81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符合</w:t>
                  </w:r>
                </w:p>
              </w:tc>
            </w:tr>
          </w:tbl>
          <w:p w14:paraId="55C7EF5A">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黑体"/>
                <w:b/>
                <w:color w:val="auto"/>
                <w:kern w:val="2"/>
                <w:sz w:val="24"/>
                <w:szCs w:val="22"/>
                <w:highlight w:val="none"/>
                <w:lang w:val="en-US" w:eastAsia="zh-CN" w:bidi="ar-SA"/>
              </w:rPr>
            </w:pPr>
            <w:r>
              <w:rPr>
                <w:rFonts w:hint="eastAsia" w:ascii="Times New Roman" w:hAnsi="Times New Roman" w:eastAsia="宋体" w:cs="黑体"/>
                <w:b/>
                <w:color w:val="auto"/>
                <w:kern w:val="2"/>
                <w:sz w:val="24"/>
                <w:szCs w:val="22"/>
                <w:highlight w:val="none"/>
                <w:lang w:val="en-US" w:eastAsia="zh-CN" w:bidi="ar-SA"/>
              </w:rPr>
              <w:t>6、与《安徽省“十四五”生态环境保护规划》相符性分析</w:t>
            </w:r>
          </w:p>
          <w:p w14:paraId="0BE045F3">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sz w:val="24"/>
                <w:szCs w:val="21"/>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ascii="Times New Roman" w:hAnsi="Times New Roman" w:eastAsia="黑体" w:cs="Times New Roman"/>
                <w:color w:val="auto"/>
                <w:kern w:val="2"/>
                <w:sz w:val="24"/>
                <w:szCs w:val="24"/>
                <w:highlight w:val="none"/>
                <w:lang w:val="en-US" w:eastAsia="zh-CN" w:bidi="ar-SA"/>
              </w:rPr>
              <w:t>1-9</w:t>
            </w:r>
            <w:r>
              <w:rPr>
                <w:rFonts w:hint="default" w:ascii="Times New Roman" w:hAnsi="Times New Roman" w:eastAsia="黑体" w:cs="Times New Roman"/>
                <w:color w:val="auto"/>
                <w:kern w:val="2"/>
                <w:sz w:val="24"/>
                <w:szCs w:val="24"/>
                <w:highlight w:val="none"/>
                <w:lang w:val="en-US" w:eastAsia="zh-CN" w:bidi="ar-SA"/>
              </w:rPr>
              <w:t xml:space="preserve"> </w:t>
            </w:r>
            <w:r>
              <w:rPr>
                <w:rFonts w:hint="eastAsia" w:ascii="Times New Roman" w:hAnsi="Times New Roman" w:eastAsia="黑体" w:cs="Times New Roman"/>
                <w:color w:val="auto"/>
                <w:kern w:val="2"/>
                <w:sz w:val="24"/>
                <w:szCs w:val="24"/>
                <w:highlight w:val="none"/>
                <w:lang w:val="en-US" w:eastAsia="zh-CN" w:bidi="ar-SA"/>
              </w:rPr>
              <w:t>建设</w:t>
            </w:r>
            <w:r>
              <w:rPr>
                <w:rFonts w:hint="default" w:ascii="Times New Roman" w:hAnsi="Times New Roman" w:eastAsia="黑体" w:cs="Times New Roman"/>
                <w:color w:val="auto"/>
                <w:kern w:val="2"/>
                <w:sz w:val="24"/>
                <w:szCs w:val="24"/>
                <w:highlight w:val="none"/>
                <w:lang w:val="en-US" w:eastAsia="zh-CN" w:bidi="ar-SA"/>
              </w:rPr>
              <w:t>项目与</w:t>
            </w:r>
            <w:r>
              <w:rPr>
                <w:rFonts w:hint="eastAsia" w:ascii="Times New Roman" w:hAnsi="Times New Roman" w:eastAsia="黑体" w:cs="Times New Roman"/>
                <w:color w:val="auto"/>
                <w:kern w:val="2"/>
                <w:sz w:val="24"/>
                <w:szCs w:val="24"/>
                <w:highlight w:val="none"/>
                <w:lang w:val="en-US" w:eastAsia="zh-CN" w:bidi="ar-SA"/>
              </w:rPr>
              <w:t>《安徽省“十四五”生态环境保护规划》</w:t>
            </w:r>
            <w:r>
              <w:rPr>
                <w:rFonts w:hint="default" w:ascii="Times New Roman" w:hAnsi="Times New Roman" w:eastAsia="黑体" w:cs="Times New Roman"/>
                <w:color w:val="auto"/>
                <w:kern w:val="2"/>
                <w:sz w:val="24"/>
                <w:szCs w:val="24"/>
                <w:highlight w:val="none"/>
                <w:lang w:val="en-US" w:eastAsia="zh-CN" w:bidi="ar-SA"/>
              </w:rPr>
              <w:t>符合性分析</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4"/>
              <w:gridCol w:w="3560"/>
              <w:gridCol w:w="3197"/>
              <w:gridCol w:w="1008"/>
            </w:tblGrid>
            <w:tr w14:paraId="226A8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noWrap w:val="0"/>
                  <w:vAlign w:val="center"/>
                </w:tcPr>
                <w:p w14:paraId="625866C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序号</w:t>
                  </w:r>
                </w:p>
              </w:tc>
              <w:tc>
                <w:tcPr>
                  <w:tcW w:w="2121" w:type="pct"/>
                  <w:noWrap w:val="0"/>
                  <w:vAlign w:val="center"/>
                </w:tcPr>
                <w:p w14:paraId="713D304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相关要求</w:t>
                  </w:r>
                </w:p>
              </w:tc>
              <w:tc>
                <w:tcPr>
                  <w:tcW w:w="1905" w:type="pct"/>
                  <w:noWrap w:val="0"/>
                  <w:vAlign w:val="center"/>
                </w:tcPr>
                <w:p w14:paraId="1F9AA53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本项目情况</w:t>
                  </w:r>
                </w:p>
              </w:tc>
              <w:tc>
                <w:tcPr>
                  <w:tcW w:w="600" w:type="pct"/>
                  <w:noWrap w:val="0"/>
                  <w:vAlign w:val="center"/>
                </w:tcPr>
                <w:p w14:paraId="21C1515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符合性分析</w:t>
                  </w:r>
                </w:p>
              </w:tc>
            </w:tr>
            <w:tr w14:paraId="68E5FA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noWrap w:val="0"/>
                  <w:vAlign w:val="center"/>
                </w:tcPr>
                <w:p w14:paraId="434DAAAA">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1</w:t>
                  </w:r>
                </w:p>
              </w:tc>
              <w:tc>
                <w:tcPr>
                  <w:tcW w:w="2121" w:type="pct"/>
                  <w:noWrap w:val="0"/>
                  <w:vAlign w:val="center"/>
                </w:tcPr>
                <w:p w14:paraId="24AA033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shd w:val="clear" w:color="auto" w:fill="FFFFFF"/>
                      <w:lang w:val="en-US" w:eastAsia="zh-CN"/>
                    </w:rPr>
                  </w:pPr>
                  <w:r>
                    <w:rPr>
                      <w:rFonts w:hint="eastAsia" w:ascii="Times New Roman" w:hAnsi="宋体" w:eastAsia="宋体" w:cs="Times New Roman"/>
                      <w:color w:val="auto"/>
                      <w:szCs w:val="21"/>
                      <w:highlight w:val="none"/>
                      <w:shd w:val="clear" w:color="auto" w:fill="FFFFFF"/>
                      <w:lang w:val="en-US" w:eastAsia="zh-CN"/>
                    </w:rPr>
                    <w:t>持续推进固定污染源治理。强化挥发性有机物（VOCs）治理精细化管理，在石化、化工、包装印刷、工业涂装等重点行业建立完善源头、过程和末端的VOCs全过程控制体系，实施VOCs排放总量控制；全面推进使用低VOCs含量涂料、油墨、胶粘剂、清洗剂等；推进皖北地区胶合板、家具制造等产业集群升级改造，推进开发区、企业集群因地制宜推广建设涉VOCs“绿岛”项目。</w:t>
                  </w:r>
                </w:p>
              </w:tc>
              <w:tc>
                <w:tcPr>
                  <w:tcW w:w="1905" w:type="pct"/>
                  <w:noWrap w:val="0"/>
                  <w:vAlign w:val="center"/>
                </w:tcPr>
                <w:p w14:paraId="299E5EC1">
                  <w:pPr>
                    <w:keepNext w:val="0"/>
                    <w:keepLines w:val="0"/>
                    <w:suppressLineNumbers w:val="0"/>
                    <w:spacing w:before="0" w:beforeAutospacing="0" w:after="0" w:afterAutospacing="0" w:line="276" w:lineRule="auto"/>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Cs w:val="21"/>
                      <w:highlight w:val="none"/>
                      <w:lang w:val="en-US" w:eastAsia="zh-CN"/>
                    </w:rPr>
                    <w:t>本项目主要从事C3042 特种玻璃制造，</w:t>
                  </w:r>
                  <w:r>
                    <w:rPr>
                      <w:rFonts w:hint="eastAsia" w:ascii="Times New Roman" w:hAnsi="Times New Roman" w:eastAsia="宋体" w:cs="Times New Roman"/>
                      <w:color w:val="auto"/>
                      <w:szCs w:val="21"/>
                      <w:highlight w:val="none"/>
                      <w:lang w:val="en-US" w:eastAsia="zh-CN"/>
                    </w:rPr>
                    <w:t>丝印、固化废气</w:t>
                  </w:r>
                  <w:r>
                    <w:rPr>
                      <w:rFonts w:hint="eastAsia" w:ascii="Times New Roman" w:hAnsi="Times New Roman" w:eastAsia="宋体" w:cs="Times New Roman"/>
                      <w:color w:val="auto"/>
                      <w:szCs w:val="21"/>
                      <w:highlight w:val="none"/>
                    </w:rPr>
                    <w:t>通过集气罩和密闭管道收集后经</w:t>
                  </w:r>
                  <w:r>
                    <w:rPr>
                      <w:rFonts w:hint="eastAsia" w:ascii="Times New Roman" w:hAnsi="Times New Roman" w:eastAsia="宋体"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两级活性炭</w:t>
                  </w:r>
                  <w:r>
                    <w:rPr>
                      <w:rFonts w:hint="eastAsia" w:ascii="Times New Roman" w:hAnsi="Times New Roman" w:eastAsia="宋体" w:cs="Times New Roman"/>
                      <w:color w:val="auto"/>
                      <w:szCs w:val="21"/>
                      <w:highlight w:val="none"/>
                      <w:lang w:val="en-US" w:eastAsia="zh-CN"/>
                    </w:rPr>
                    <w:t>吸附</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装置处理后排放</w:t>
                  </w:r>
                  <w:r>
                    <w:rPr>
                      <w:rFonts w:hint="eastAsia" w:ascii="Times New Roman" w:hAnsi="Times New Roman" w:eastAsia="宋体" w:cs="Times New Roman"/>
                      <w:color w:val="auto"/>
                      <w:szCs w:val="21"/>
                      <w:highlight w:val="none"/>
                      <w:lang w:val="en-US" w:eastAsia="zh-CN"/>
                    </w:rPr>
                    <w:t>经15m高的（DA001）排气筒排放</w:t>
                  </w:r>
                  <w:r>
                    <w:rPr>
                      <w:rFonts w:hint="eastAsia" w:ascii="Times New Roman" w:hAnsi="宋体" w:eastAsia="宋体" w:cs="Times New Roman"/>
                      <w:color w:val="auto"/>
                      <w:szCs w:val="21"/>
                      <w:highlight w:val="none"/>
                      <w:lang w:val="en-US" w:eastAsia="zh-CN"/>
                    </w:rPr>
                    <w:t>。</w:t>
                  </w:r>
                </w:p>
              </w:tc>
              <w:tc>
                <w:tcPr>
                  <w:tcW w:w="600" w:type="pct"/>
                  <w:noWrap w:val="0"/>
                  <w:vAlign w:val="center"/>
                </w:tcPr>
                <w:p w14:paraId="16982E82">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lang w:val="en-US" w:eastAsia="zh-CN"/>
                    </w:rPr>
                    <w:t>符合</w:t>
                  </w:r>
                </w:p>
              </w:tc>
            </w:tr>
            <w:tr w14:paraId="26DA0C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2" w:type="pct"/>
                  <w:noWrap w:val="0"/>
                  <w:vAlign w:val="center"/>
                </w:tcPr>
                <w:p w14:paraId="6864D0B1">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eastAsia="zh-CN"/>
                    </w:rPr>
                  </w:pPr>
                  <w:r>
                    <w:rPr>
                      <w:rFonts w:hint="eastAsia" w:ascii="Times New Roman" w:hAnsi="宋体" w:eastAsia="宋体" w:cs="Times New Roman"/>
                      <w:color w:val="auto"/>
                      <w:szCs w:val="21"/>
                      <w:highlight w:val="none"/>
                      <w:lang w:val="en-US" w:eastAsia="zh-CN"/>
                    </w:rPr>
                    <w:t>2</w:t>
                  </w:r>
                </w:p>
              </w:tc>
              <w:tc>
                <w:tcPr>
                  <w:tcW w:w="2121" w:type="pct"/>
                  <w:noWrap w:val="0"/>
                  <w:vAlign w:val="center"/>
                </w:tcPr>
                <w:p w14:paraId="5182621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完善“事前、事中、事后”全过程、多层级环境风险防范体系，针对重点区域、重点流域定期开展环境风险排查和整治。以化工园区、尾矿库、冶炼企业等为重点，严格落实企业生态环境风险防范主体责任。</w:t>
                  </w:r>
                </w:p>
              </w:tc>
              <w:tc>
                <w:tcPr>
                  <w:tcW w:w="1905" w:type="pct"/>
                  <w:noWrap w:val="0"/>
                  <w:vAlign w:val="center"/>
                </w:tcPr>
                <w:p w14:paraId="68C1C46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企业环保验收前，将编制企业突发环境事件应急预案并备案</w:t>
                  </w:r>
                  <w:r>
                    <w:rPr>
                      <w:rFonts w:hint="eastAsia" w:ascii="Times New Roman" w:hAnsi="宋体" w:eastAsia="宋体" w:cs="Times New Roman"/>
                      <w:color w:val="auto"/>
                      <w:szCs w:val="21"/>
                      <w:highlight w:val="none"/>
                      <w:lang w:eastAsia="zh-CN"/>
                    </w:rPr>
                    <w:t>，</w:t>
                  </w:r>
                  <w:r>
                    <w:rPr>
                      <w:rFonts w:hint="eastAsia" w:ascii="Times New Roman" w:hAnsi="宋体" w:eastAsia="宋体" w:cs="Times New Roman"/>
                      <w:color w:val="auto"/>
                      <w:szCs w:val="21"/>
                      <w:highlight w:val="none"/>
                      <w:lang w:val="en-US" w:eastAsia="zh-CN"/>
                    </w:rPr>
                    <w:t>并</w:t>
                  </w:r>
                  <w:r>
                    <w:rPr>
                      <w:rFonts w:hint="default" w:ascii="Times New Roman" w:hAnsi="宋体" w:eastAsia="宋体" w:cs="Times New Roman"/>
                      <w:color w:val="auto"/>
                      <w:szCs w:val="21"/>
                      <w:highlight w:val="none"/>
                    </w:rPr>
                    <w:t>制定有效的环境风险管理制度，合理配置环境风险防控及应对处置能力，与当地人民政府和相关部门以及周边企业、园区相衔接，建立区域突发环境事件应急联动机制。</w:t>
                  </w:r>
                </w:p>
              </w:tc>
              <w:tc>
                <w:tcPr>
                  <w:tcW w:w="600" w:type="pct"/>
                  <w:noWrap w:val="0"/>
                  <w:vAlign w:val="center"/>
                </w:tcPr>
                <w:p w14:paraId="58B2F24D">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符合</w:t>
                  </w:r>
                </w:p>
              </w:tc>
            </w:tr>
          </w:tbl>
          <w:p w14:paraId="0A4CF053">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黑体"/>
                <w:b/>
                <w:color w:val="auto"/>
                <w:kern w:val="2"/>
                <w:sz w:val="24"/>
                <w:szCs w:val="22"/>
                <w:highlight w:val="none"/>
                <w:lang w:val="en-US" w:eastAsia="zh-CN" w:bidi="ar-SA"/>
              </w:rPr>
            </w:pPr>
            <w:r>
              <w:rPr>
                <w:rFonts w:hint="eastAsia" w:ascii="Times New Roman" w:hAnsi="Times New Roman" w:eastAsia="宋体" w:cs="黑体"/>
                <w:b/>
                <w:color w:val="auto"/>
                <w:kern w:val="2"/>
                <w:sz w:val="24"/>
                <w:szCs w:val="22"/>
                <w:highlight w:val="none"/>
                <w:lang w:val="en-US" w:eastAsia="zh-CN" w:bidi="ar-SA"/>
              </w:rPr>
              <w:t>7、与《挥发性有机物无组织排放控制标准》（GB37822-2019）相符性分析</w:t>
            </w:r>
          </w:p>
          <w:p w14:paraId="284C1051">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sz w:val="24"/>
                <w:szCs w:val="21"/>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ascii="Times New Roman" w:hAnsi="Times New Roman" w:eastAsia="黑体" w:cs="Times New Roman"/>
                <w:color w:val="auto"/>
                <w:kern w:val="2"/>
                <w:sz w:val="24"/>
                <w:szCs w:val="24"/>
                <w:highlight w:val="none"/>
                <w:lang w:val="en-US" w:eastAsia="zh-CN" w:bidi="ar-SA"/>
              </w:rPr>
              <w:t>1-10</w:t>
            </w:r>
            <w:r>
              <w:rPr>
                <w:rFonts w:hint="default" w:ascii="Times New Roman" w:hAnsi="Times New Roman" w:eastAsia="黑体" w:cs="Times New Roman"/>
                <w:color w:val="auto"/>
                <w:kern w:val="2"/>
                <w:sz w:val="24"/>
                <w:szCs w:val="24"/>
                <w:highlight w:val="none"/>
                <w:lang w:val="en-US" w:eastAsia="zh-CN" w:bidi="ar-SA"/>
              </w:rPr>
              <w:t xml:space="preserve"> </w:t>
            </w:r>
            <w:r>
              <w:rPr>
                <w:rFonts w:hint="eastAsia" w:ascii="Times New Roman" w:hAnsi="Times New Roman" w:eastAsia="黑体" w:cs="Times New Roman"/>
                <w:color w:val="auto"/>
                <w:kern w:val="2"/>
                <w:sz w:val="24"/>
                <w:szCs w:val="24"/>
                <w:highlight w:val="none"/>
                <w:lang w:val="en-US" w:eastAsia="zh-CN" w:bidi="ar-SA"/>
              </w:rPr>
              <w:t>建设项目</w:t>
            </w:r>
            <w:r>
              <w:rPr>
                <w:rFonts w:hint="default" w:ascii="Times New Roman" w:hAnsi="Times New Roman" w:eastAsia="黑体" w:cs="Times New Roman"/>
                <w:color w:val="auto"/>
                <w:kern w:val="2"/>
                <w:sz w:val="24"/>
                <w:szCs w:val="24"/>
                <w:highlight w:val="none"/>
                <w:lang w:val="en-US" w:eastAsia="zh-CN" w:bidi="ar-SA"/>
              </w:rPr>
              <w:t>与GB37822-2019符合性分析</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3"/>
              <w:gridCol w:w="3780"/>
              <w:gridCol w:w="2994"/>
              <w:gridCol w:w="992"/>
            </w:tblGrid>
            <w:tr w14:paraId="6105CD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1" w:type="pct"/>
                  <w:noWrap w:val="0"/>
                  <w:vAlign w:val="center"/>
                </w:tcPr>
                <w:p w14:paraId="13B689A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序号</w:t>
                  </w:r>
                </w:p>
              </w:tc>
              <w:tc>
                <w:tcPr>
                  <w:tcW w:w="2252" w:type="pct"/>
                  <w:noWrap w:val="0"/>
                  <w:vAlign w:val="center"/>
                </w:tcPr>
                <w:p w14:paraId="61457D4B">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相关要求</w:t>
                  </w:r>
                </w:p>
              </w:tc>
              <w:tc>
                <w:tcPr>
                  <w:tcW w:w="1784" w:type="pct"/>
                  <w:noWrap w:val="0"/>
                  <w:vAlign w:val="center"/>
                </w:tcPr>
                <w:p w14:paraId="3E125A7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本项目情况</w:t>
                  </w:r>
                </w:p>
              </w:tc>
              <w:tc>
                <w:tcPr>
                  <w:tcW w:w="591" w:type="pct"/>
                  <w:noWrap w:val="0"/>
                  <w:vAlign w:val="center"/>
                </w:tcPr>
                <w:p w14:paraId="275D375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
                      <w:color w:val="auto"/>
                      <w:szCs w:val="21"/>
                      <w:highlight w:val="none"/>
                    </w:rPr>
                  </w:pPr>
                  <w:r>
                    <w:rPr>
                      <w:rFonts w:hint="eastAsia" w:ascii="Times New Roman" w:hAnsi="宋体" w:eastAsia="宋体" w:cs="Times New Roman"/>
                      <w:b/>
                      <w:color w:val="auto"/>
                      <w:szCs w:val="21"/>
                      <w:highlight w:val="none"/>
                    </w:rPr>
                    <w:t>符合性分析</w:t>
                  </w:r>
                </w:p>
              </w:tc>
            </w:tr>
            <w:tr w14:paraId="1B319A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1" w:type="pct"/>
                  <w:noWrap w:val="0"/>
                  <w:vAlign w:val="center"/>
                </w:tcPr>
                <w:p w14:paraId="3BD1364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1</w:t>
                  </w:r>
                </w:p>
              </w:tc>
              <w:tc>
                <w:tcPr>
                  <w:tcW w:w="2252" w:type="pct"/>
                  <w:noWrap w:val="0"/>
                  <w:vAlign w:val="center"/>
                </w:tcPr>
                <w:p w14:paraId="26C042D6">
                  <w:pPr>
                    <w:keepNext w:val="0"/>
                    <w:keepLines w:val="0"/>
                    <w:suppressLineNumbers w:val="0"/>
                    <w:autoSpaceDE w:val="0"/>
                    <w:autoSpaceDN w:val="0"/>
                    <w:adjustRightInd w:val="0"/>
                    <w:spacing w:before="0" w:beforeAutospacing="0" w:after="0" w:afterAutospacing="0" w:line="276" w:lineRule="auto"/>
                    <w:ind w:left="0" w:right="0"/>
                    <w:jc w:val="center"/>
                    <w:rPr>
                      <w:rFonts w:hint="default" w:ascii="Times New Roman" w:hAnsi="宋体" w:eastAsia="宋体" w:cs="Times New Roman"/>
                      <w:color w:val="auto"/>
                      <w:szCs w:val="21"/>
                      <w:highlight w:val="none"/>
                      <w:shd w:val="clear" w:color="auto" w:fill="FFFFFF"/>
                    </w:rPr>
                  </w:pPr>
                  <w:r>
                    <w:rPr>
                      <w:rFonts w:hint="eastAsia" w:ascii="Times New Roman" w:hAnsi="宋体" w:eastAsia="宋体" w:cs="Times New Roman"/>
                      <w:color w:val="auto"/>
                      <w:szCs w:val="21"/>
                      <w:highlight w:val="none"/>
                      <w:shd w:val="clear" w:color="auto" w:fill="FFFFFF"/>
                    </w:rPr>
                    <w:t>暂存：</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物料应储存于密闭的储罐、储库中。</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物料储罐应密封良好，采用固定顶罐，排放的废气应收集处理，处理效率不低于</w:t>
                  </w:r>
                  <w:r>
                    <w:rPr>
                      <w:rFonts w:hint="default" w:ascii="Times New Roman" w:hAnsi="宋体" w:eastAsia="宋体" w:cs="Times New Roman"/>
                      <w:color w:val="auto"/>
                      <w:szCs w:val="21"/>
                      <w:highlight w:val="none"/>
                      <w:shd w:val="clear" w:color="auto" w:fill="FFFFFF"/>
                    </w:rPr>
                    <w:t>90%</w:t>
                  </w:r>
                  <w:r>
                    <w:rPr>
                      <w:rFonts w:hint="eastAsia" w:ascii="Times New Roman" w:hAnsi="宋体" w:eastAsia="宋体" w:cs="Times New Roman"/>
                      <w:color w:val="auto"/>
                      <w:szCs w:val="21"/>
                      <w:highlight w:val="none"/>
                      <w:shd w:val="clear" w:color="auto" w:fill="FFFFFF"/>
                    </w:rPr>
                    <w:t>。</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物料应利用完整的围护结构将污染物质与周围空间阻隔，该封闭区域除人员、车辆、设备、物料进出时随时保持关闭状态。盛装</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物料的容器或包装袋应存放于室内，或存放于设置有雨棚、遮阳和防渗设施的专用场地。盛装</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物料的容器或包装袋在非取用状态时应加盖、封口，保持密闭。</w:t>
                  </w:r>
                </w:p>
              </w:tc>
              <w:tc>
                <w:tcPr>
                  <w:tcW w:w="1784" w:type="pct"/>
                  <w:noWrap w:val="0"/>
                  <w:vAlign w:val="center"/>
                </w:tcPr>
                <w:p w14:paraId="330A9938">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本</w:t>
                  </w:r>
                  <w:r>
                    <w:rPr>
                      <w:rFonts w:hint="eastAsia" w:ascii="Times New Roman" w:hAnsi="宋体" w:eastAsia="宋体" w:cs="Times New Roman"/>
                      <w:color w:val="auto"/>
                      <w:szCs w:val="21"/>
                      <w:highlight w:val="none"/>
                      <w:lang w:val="en-US" w:eastAsia="zh-CN"/>
                    </w:rPr>
                    <w:t>项目外购的</w:t>
                  </w:r>
                  <w:r>
                    <w:rPr>
                      <w:rFonts w:ascii="宋体" w:hAnsi="宋体" w:eastAsia="宋体" w:cs="宋体"/>
                      <w:color w:val="auto"/>
                      <w:spacing w:val="2"/>
                      <w:sz w:val="20"/>
                      <w:szCs w:val="20"/>
                      <w:highlight w:val="none"/>
                    </w:rPr>
                    <w:t>高反射膜材料</w:t>
                  </w:r>
                  <w:r>
                    <w:rPr>
                      <w:rFonts w:hint="default" w:ascii="Times New Roman" w:hAnsi="宋体" w:eastAsia="宋体" w:cs="Times New Roman"/>
                      <w:color w:val="auto"/>
                      <w:szCs w:val="21"/>
                      <w:highlight w:val="none"/>
                    </w:rPr>
                    <w:t>采取密闭</w:t>
                  </w:r>
                  <w:r>
                    <w:rPr>
                      <w:rFonts w:hint="eastAsia" w:ascii="Times New Roman" w:hAnsi="宋体" w:eastAsia="宋体" w:cs="Times New Roman"/>
                      <w:color w:val="auto"/>
                      <w:szCs w:val="21"/>
                      <w:highlight w:val="none"/>
                      <w:lang w:val="en-US" w:eastAsia="zh-CN"/>
                    </w:rPr>
                    <w:t>桶装储存于化学品库内，常温下不会产生VOCs</w:t>
                  </w:r>
                  <w:r>
                    <w:rPr>
                      <w:rFonts w:hint="eastAsia" w:ascii="Times New Roman" w:hAnsi="宋体" w:eastAsia="宋体" w:cs="Times New Roman"/>
                      <w:color w:val="auto"/>
                      <w:szCs w:val="21"/>
                      <w:highlight w:val="none"/>
                    </w:rPr>
                    <w:t>。</w:t>
                  </w:r>
                </w:p>
              </w:tc>
              <w:tc>
                <w:tcPr>
                  <w:tcW w:w="591" w:type="pct"/>
                  <w:noWrap w:val="0"/>
                  <w:vAlign w:val="center"/>
                </w:tcPr>
                <w:p w14:paraId="27E5032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符合</w:t>
                  </w:r>
                </w:p>
              </w:tc>
            </w:tr>
            <w:tr w14:paraId="63089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1" w:type="pct"/>
                  <w:noWrap w:val="0"/>
                  <w:vAlign w:val="center"/>
                </w:tcPr>
                <w:p w14:paraId="107F6D87">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2</w:t>
                  </w:r>
                </w:p>
              </w:tc>
              <w:tc>
                <w:tcPr>
                  <w:tcW w:w="2252" w:type="pct"/>
                  <w:noWrap w:val="0"/>
                  <w:vAlign w:val="center"/>
                </w:tcPr>
                <w:p w14:paraId="33A3999E">
                  <w:pPr>
                    <w:keepNext w:val="0"/>
                    <w:keepLines w:val="0"/>
                    <w:suppressLineNumbers w:val="0"/>
                    <w:autoSpaceDE w:val="0"/>
                    <w:autoSpaceDN w:val="0"/>
                    <w:adjustRightIn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shd w:val="clear" w:color="auto" w:fill="FFFFFF"/>
                    </w:rPr>
                    <w:t>生产：</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质量占比大于等于</w:t>
                  </w:r>
                  <w:r>
                    <w:rPr>
                      <w:rFonts w:hint="default" w:ascii="Times New Roman" w:hAnsi="宋体" w:eastAsia="宋体" w:cs="Times New Roman"/>
                      <w:color w:val="auto"/>
                      <w:szCs w:val="21"/>
                      <w:highlight w:val="none"/>
                      <w:shd w:val="clear" w:color="auto" w:fill="FFFFFF"/>
                    </w:rPr>
                    <w:t>10%</w:t>
                  </w:r>
                  <w:r>
                    <w:rPr>
                      <w:rFonts w:hint="eastAsia" w:ascii="Times New Roman" w:hAnsi="宋体" w:eastAsia="宋体" w:cs="Times New Roman"/>
                      <w:color w:val="auto"/>
                      <w:szCs w:val="21"/>
                      <w:highlight w:val="none"/>
                      <w:shd w:val="clear" w:color="auto" w:fill="FFFFFF"/>
                    </w:rPr>
                    <w:t>的含</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产品，其使用过程中应采用密闭设备或在密闭空间内操作，废气应排至</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废气收集处理系统；无法密闭的，应采取局部气体收集措施，废气应排至</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废气收集处理系统。含</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产品的使用过程包括但不限于以下作业：</w:t>
                  </w:r>
                  <w:r>
                    <w:rPr>
                      <w:rFonts w:hint="default" w:ascii="Times New Roman" w:hAnsi="宋体" w:eastAsia="宋体" w:cs="Times New Roman"/>
                      <w:color w:val="auto"/>
                      <w:szCs w:val="21"/>
                      <w:highlight w:val="none"/>
                      <w:shd w:val="clear" w:color="auto" w:fill="FFFFFF"/>
                    </w:rPr>
                    <w:t>a</w:t>
                  </w:r>
                  <w:r>
                    <w:rPr>
                      <w:rFonts w:hint="eastAsia" w:ascii="Times New Roman" w:hAnsi="宋体" w:eastAsia="宋体" w:cs="Times New Roman"/>
                      <w:color w:val="auto"/>
                      <w:szCs w:val="21"/>
                      <w:highlight w:val="none"/>
                      <w:shd w:val="clear" w:color="auto" w:fill="FFFFFF"/>
                    </w:rPr>
                    <w:t>）调配（混合、搅拌等）；</w:t>
                  </w:r>
                  <w:r>
                    <w:rPr>
                      <w:rFonts w:hint="default" w:ascii="Times New Roman" w:hAnsi="宋体" w:eastAsia="宋体" w:cs="Times New Roman"/>
                      <w:color w:val="auto"/>
                      <w:szCs w:val="21"/>
                      <w:highlight w:val="none"/>
                      <w:shd w:val="clear" w:color="auto" w:fill="FFFFFF"/>
                    </w:rPr>
                    <w:t>b</w:t>
                  </w:r>
                  <w:r>
                    <w:rPr>
                      <w:rFonts w:hint="eastAsia" w:ascii="Times New Roman" w:hAnsi="宋体" w:eastAsia="宋体" w:cs="Times New Roman"/>
                      <w:color w:val="auto"/>
                      <w:szCs w:val="21"/>
                      <w:highlight w:val="none"/>
                      <w:shd w:val="clear" w:color="auto" w:fill="FFFFFF"/>
                    </w:rPr>
                    <w:t>）涂装（喷涂、浸涂、淋涂、辊涂、刷涂、涂布等）。</w:t>
                  </w:r>
                </w:p>
              </w:tc>
              <w:tc>
                <w:tcPr>
                  <w:tcW w:w="1784" w:type="pct"/>
                  <w:noWrap w:val="0"/>
                  <w:vAlign w:val="center"/>
                </w:tcPr>
                <w:p w14:paraId="10FD863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lang w:val="en-US" w:eastAsia="zh-CN"/>
                    </w:rPr>
                  </w:pPr>
                  <w:r>
                    <w:rPr>
                      <w:rFonts w:hint="eastAsia" w:ascii="Times New Roman" w:hAnsi="宋体" w:eastAsia="宋体" w:cs="Times New Roman"/>
                      <w:color w:val="auto"/>
                      <w:szCs w:val="21"/>
                      <w:highlight w:val="none"/>
                    </w:rPr>
                    <w:t>本项目高反射膜材料</w:t>
                  </w:r>
                  <w:r>
                    <w:rPr>
                      <w:rFonts w:hint="eastAsia" w:ascii="Times New Roman" w:hAnsi="宋体" w:eastAsia="宋体" w:cs="Times New Roman"/>
                      <w:color w:val="auto"/>
                      <w:szCs w:val="21"/>
                      <w:highlight w:val="none"/>
                      <w:lang w:val="en-US" w:eastAsia="zh-CN"/>
                    </w:rPr>
                    <w:t>不</w:t>
                  </w:r>
                  <w:r>
                    <w:rPr>
                      <w:rFonts w:hint="eastAsia" w:ascii="Times New Roman" w:hAnsi="宋体" w:eastAsia="宋体" w:cs="Times New Roman"/>
                      <w:color w:val="auto"/>
                      <w:szCs w:val="21"/>
                      <w:highlight w:val="none"/>
                      <w:shd w:val="clear" w:color="auto" w:fill="FFFFFF"/>
                      <w:lang w:val="en-US" w:eastAsia="zh-CN"/>
                    </w:rPr>
                    <w:t>使用</w:t>
                  </w:r>
                  <w:r>
                    <w:rPr>
                      <w:rFonts w:hint="default" w:ascii="Times New Roman" w:hAnsi="Times New Roman"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质量占</w:t>
                  </w:r>
                  <w:r>
                    <w:rPr>
                      <w:rFonts w:hint="default" w:ascii="Times New Roman" w:hAnsi="Times New Roman" w:eastAsia="宋体" w:cs="Times New Roman"/>
                      <w:color w:val="auto"/>
                      <w:szCs w:val="21"/>
                      <w:highlight w:val="none"/>
                      <w:shd w:val="clear" w:color="auto" w:fill="FFFFFF"/>
                    </w:rPr>
                    <w:t>比</w:t>
                  </w:r>
                  <w:r>
                    <w:rPr>
                      <w:rFonts w:hint="eastAsia" w:ascii="Times New Roman" w:hAnsi="Times New Roman" w:eastAsia="宋体" w:cs="Times New Roman"/>
                      <w:color w:val="auto"/>
                      <w:szCs w:val="21"/>
                      <w:highlight w:val="none"/>
                      <w:shd w:val="clear" w:color="auto" w:fill="FFFFFF"/>
                    </w:rPr>
                    <w:t>大于</w:t>
                  </w:r>
                  <w:r>
                    <w:rPr>
                      <w:rFonts w:hint="default" w:ascii="Times New Roman" w:hAnsi="Times New Roman" w:eastAsia="宋体" w:cs="Times New Roman"/>
                      <w:color w:val="auto"/>
                      <w:szCs w:val="21"/>
                      <w:highlight w:val="none"/>
                      <w:shd w:val="clear" w:color="auto" w:fill="FFFFFF"/>
                    </w:rPr>
                    <w:t>10%的</w:t>
                  </w:r>
                  <w:r>
                    <w:rPr>
                      <w:rFonts w:hint="eastAsia" w:ascii="Times New Roman" w:hAnsi="Times New Roman" w:eastAsia="宋体" w:cs="Times New Roman"/>
                      <w:color w:val="auto"/>
                      <w:szCs w:val="21"/>
                      <w:highlight w:val="none"/>
                      <w:shd w:val="clear" w:color="auto" w:fill="FFFFFF"/>
                      <w:lang w:val="en-US" w:eastAsia="zh-CN"/>
                    </w:rPr>
                    <w:t>含</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lang w:val="en-US" w:eastAsia="zh-CN"/>
                    </w:rPr>
                    <w:t>产品；</w:t>
                  </w:r>
                  <w:r>
                    <w:rPr>
                      <w:rFonts w:hint="eastAsia" w:ascii="Times New Roman" w:hAnsi="Times New Roman" w:eastAsia="宋体" w:cs="Times New Roman"/>
                      <w:color w:val="auto"/>
                      <w:szCs w:val="21"/>
                      <w:highlight w:val="none"/>
                      <w:lang w:val="en-US" w:eastAsia="zh-CN"/>
                    </w:rPr>
                    <w:t>丝印、固化废气</w:t>
                  </w:r>
                  <w:r>
                    <w:rPr>
                      <w:rFonts w:hint="eastAsia" w:ascii="Times New Roman" w:hAnsi="Times New Roman" w:eastAsia="宋体" w:cs="Times New Roman"/>
                      <w:color w:val="auto"/>
                      <w:szCs w:val="21"/>
                      <w:highlight w:val="none"/>
                    </w:rPr>
                    <w:t>通过集气罩和密闭管道收集后经</w:t>
                  </w:r>
                  <w:r>
                    <w:rPr>
                      <w:rFonts w:hint="eastAsia" w:ascii="Times New Roman" w:hAnsi="Times New Roman" w:eastAsia="宋体"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两级活性炭</w:t>
                  </w:r>
                  <w:r>
                    <w:rPr>
                      <w:rFonts w:hint="eastAsia" w:ascii="Times New Roman" w:hAnsi="Times New Roman" w:eastAsia="宋体" w:cs="Times New Roman"/>
                      <w:color w:val="auto"/>
                      <w:szCs w:val="21"/>
                      <w:highlight w:val="none"/>
                      <w:lang w:val="en-US" w:eastAsia="zh-CN"/>
                    </w:rPr>
                    <w:t>吸附</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装置处理后排放</w:t>
                  </w:r>
                  <w:r>
                    <w:rPr>
                      <w:rFonts w:hint="eastAsia" w:ascii="Times New Roman" w:hAnsi="Times New Roman" w:eastAsia="宋体" w:cs="Times New Roman"/>
                      <w:color w:val="auto"/>
                      <w:szCs w:val="21"/>
                      <w:highlight w:val="none"/>
                      <w:lang w:val="en-US" w:eastAsia="zh-CN"/>
                    </w:rPr>
                    <w:t>经15m高的（DA001）排气筒排放</w:t>
                  </w:r>
                  <w:r>
                    <w:rPr>
                      <w:rFonts w:hint="eastAsia" w:ascii="Times New Roman" w:hAnsi="宋体" w:eastAsia="宋体" w:cs="Times New Roman"/>
                      <w:color w:val="auto"/>
                      <w:kern w:val="0"/>
                      <w:highlight w:val="none"/>
                      <w:lang w:eastAsia="zh-CN"/>
                    </w:rPr>
                    <w:t>。</w:t>
                  </w:r>
                </w:p>
              </w:tc>
              <w:tc>
                <w:tcPr>
                  <w:tcW w:w="591" w:type="pct"/>
                  <w:noWrap w:val="0"/>
                  <w:vAlign w:val="center"/>
                </w:tcPr>
                <w:p w14:paraId="4EC6BF9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符合</w:t>
                  </w:r>
                </w:p>
              </w:tc>
            </w:tr>
            <w:tr w14:paraId="3AD06A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1" w:type="pct"/>
                  <w:noWrap w:val="0"/>
                  <w:vAlign w:val="center"/>
                </w:tcPr>
                <w:p w14:paraId="4377A0E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3</w:t>
                  </w:r>
                </w:p>
              </w:tc>
              <w:tc>
                <w:tcPr>
                  <w:tcW w:w="2252" w:type="pct"/>
                  <w:noWrap w:val="0"/>
                  <w:vAlign w:val="center"/>
                </w:tcPr>
                <w:p w14:paraId="40071917">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shd w:val="clear" w:color="auto" w:fill="FFFFFF"/>
                    </w:rPr>
                    <w:t>企业应建立台账，记录含</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原辅材料和含</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产品的名称、使用量、回收量、废弃量、去向以及</w:t>
                  </w:r>
                  <w:r>
                    <w:rPr>
                      <w:rFonts w:hint="default" w:ascii="Times New Roman" w:hAnsi="宋体" w:eastAsia="宋体" w:cs="Times New Roman"/>
                      <w:color w:val="auto"/>
                      <w:szCs w:val="21"/>
                      <w:highlight w:val="none"/>
                      <w:shd w:val="clear" w:color="auto" w:fill="FFFFFF"/>
                    </w:rPr>
                    <w:t>VOCs</w:t>
                  </w:r>
                  <w:r>
                    <w:rPr>
                      <w:rFonts w:hint="eastAsia" w:ascii="Times New Roman" w:hAnsi="宋体" w:eastAsia="宋体" w:cs="Times New Roman"/>
                      <w:color w:val="auto"/>
                      <w:szCs w:val="21"/>
                      <w:highlight w:val="none"/>
                      <w:shd w:val="clear" w:color="auto" w:fill="FFFFFF"/>
                    </w:rPr>
                    <w:t>含量等信息。台账保存期限不少于</w:t>
                  </w:r>
                  <w:r>
                    <w:rPr>
                      <w:rFonts w:hint="default" w:ascii="Times New Roman" w:hAnsi="宋体" w:eastAsia="宋体" w:cs="Times New Roman"/>
                      <w:color w:val="auto"/>
                      <w:szCs w:val="21"/>
                      <w:highlight w:val="none"/>
                      <w:shd w:val="clear" w:color="auto" w:fill="FFFFFF"/>
                    </w:rPr>
                    <w:t>3</w:t>
                  </w:r>
                  <w:r>
                    <w:rPr>
                      <w:rFonts w:hint="eastAsia" w:ascii="Times New Roman" w:hAnsi="宋体" w:eastAsia="宋体" w:cs="Times New Roman"/>
                      <w:color w:val="auto"/>
                      <w:szCs w:val="21"/>
                      <w:highlight w:val="none"/>
                      <w:shd w:val="clear" w:color="auto" w:fill="FFFFFF"/>
                    </w:rPr>
                    <w:t>年。</w:t>
                  </w:r>
                </w:p>
              </w:tc>
              <w:tc>
                <w:tcPr>
                  <w:tcW w:w="1784" w:type="pct"/>
                  <w:noWrap w:val="0"/>
                  <w:vAlign w:val="center"/>
                </w:tcPr>
                <w:p w14:paraId="13B52BDE">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eastAsia="zh-CN"/>
                    </w:rPr>
                  </w:pPr>
                  <w:r>
                    <w:rPr>
                      <w:rFonts w:hint="eastAsia" w:ascii="Times New Roman" w:hAnsi="宋体" w:eastAsia="宋体" w:cs="Times New Roman"/>
                      <w:color w:val="auto"/>
                      <w:szCs w:val="21"/>
                      <w:highlight w:val="none"/>
                    </w:rPr>
                    <w:t>本评价要求企业原辅材料进出库均</w:t>
                  </w:r>
                  <w:r>
                    <w:rPr>
                      <w:rFonts w:hint="eastAsia" w:ascii="Times New Roman" w:hAnsi="宋体" w:eastAsia="宋体" w:cs="Times New Roman"/>
                      <w:color w:val="auto"/>
                      <w:szCs w:val="21"/>
                      <w:highlight w:val="none"/>
                      <w:lang w:val="en-US" w:eastAsia="zh-CN"/>
                    </w:rPr>
                    <w:t>设置</w:t>
                  </w:r>
                  <w:r>
                    <w:rPr>
                      <w:rFonts w:hint="eastAsia" w:ascii="Times New Roman" w:hAnsi="宋体" w:eastAsia="宋体" w:cs="Times New Roman"/>
                      <w:color w:val="auto"/>
                      <w:szCs w:val="21"/>
                      <w:highlight w:val="none"/>
                    </w:rPr>
                    <w:t>台账记录；</w:t>
                  </w:r>
                  <w:r>
                    <w:rPr>
                      <w:rFonts w:hint="eastAsia" w:ascii="宋体" w:hAnsi="宋体" w:eastAsia="宋体" w:cs="Times New Roman"/>
                      <w:color w:val="auto"/>
                      <w:kern w:val="0"/>
                      <w:highlight w:val="none"/>
                    </w:rPr>
                    <w:t>本</w:t>
                  </w:r>
                  <w:r>
                    <w:rPr>
                      <w:rFonts w:hint="eastAsia" w:ascii="宋体" w:hAnsi="宋体" w:eastAsia="宋体" w:cs="Times New Roman"/>
                      <w:color w:val="auto"/>
                      <w:kern w:val="0"/>
                      <w:highlight w:val="none"/>
                      <w:lang w:val="en-US" w:eastAsia="zh-CN"/>
                    </w:rPr>
                    <w:t>项目产生的废活性炭、废润滑油、废润滑油桶</w:t>
                  </w:r>
                  <w:r>
                    <w:rPr>
                      <w:rFonts w:hint="eastAsia" w:ascii="宋体" w:hAnsi="宋体" w:eastAsia="宋体" w:cs="Times New Roman"/>
                      <w:color w:val="auto"/>
                      <w:kern w:val="0"/>
                      <w:highlight w:val="none"/>
                    </w:rPr>
                    <w:t>等</w:t>
                  </w:r>
                  <w:r>
                    <w:rPr>
                      <w:rFonts w:hint="eastAsia" w:ascii="宋体" w:hAnsi="宋体" w:eastAsia="宋体" w:cs="Times New Roman"/>
                      <w:color w:val="auto"/>
                      <w:kern w:val="0"/>
                      <w:highlight w:val="none"/>
                      <w:lang w:val="en-US" w:eastAsia="zh-CN"/>
                    </w:rPr>
                    <w:t>危险废物均于</w:t>
                  </w:r>
                  <w:r>
                    <w:rPr>
                      <w:rFonts w:hint="eastAsia" w:ascii="宋体" w:hAnsi="宋体" w:eastAsia="宋体" w:cs="Times New Roman"/>
                      <w:color w:val="auto"/>
                      <w:kern w:val="0"/>
                      <w:highlight w:val="none"/>
                    </w:rPr>
                    <w:t>危废暂存间暂存，</w:t>
                  </w:r>
                  <w:r>
                    <w:rPr>
                      <w:rFonts w:hint="eastAsia" w:ascii="宋体" w:hAnsi="宋体" w:eastAsia="宋体" w:cs="Times New Roman"/>
                      <w:color w:val="auto"/>
                      <w:kern w:val="0"/>
                      <w:highlight w:val="none"/>
                      <w:lang w:val="en-US" w:eastAsia="zh-CN"/>
                    </w:rPr>
                    <w:t>并</w:t>
                  </w:r>
                  <w:r>
                    <w:rPr>
                      <w:rFonts w:hint="eastAsia" w:ascii="宋体" w:hAnsi="宋体" w:eastAsia="宋体" w:cs="Times New Roman"/>
                      <w:color w:val="auto"/>
                      <w:kern w:val="0"/>
                      <w:highlight w:val="none"/>
                    </w:rPr>
                    <w:t>定期交由有资质单位处理处置</w:t>
                  </w:r>
                  <w:r>
                    <w:rPr>
                      <w:rFonts w:hint="eastAsia" w:ascii="Times New Roman" w:hAnsi="Times New Roman" w:eastAsia="宋体" w:cs="Times New Roman"/>
                      <w:color w:val="auto"/>
                      <w:szCs w:val="21"/>
                      <w:highlight w:val="none"/>
                    </w:rPr>
                    <w:t>危险废物</w:t>
                  </w:r>
                  <w:r>
                    <w:rPr>
                      <w:rFonts w:hint="eastAsia" w:ascii="Times New Roman" w:hAnsi="Times New Roman" w:eastAsia="宋体" w:cs="Times New Roman"/>
                      <w:color w:val="auto"/>
                      <w:szCs w:val="21"/>
                      <w:highlight w:val="none"/>
                      <w:lang w:val="en-US" w:eastAsia="zh-CN"/>
                    </w:rPr>
                    <w:t>进出库已按要求登记</w:t>
                  </w:r>
                  <w:r>
                    <w:rPr>
                      <w:rFonts w:hint="eastAsia" w:ascii="Times New Roman" w:hAnsi="Times New Roman" w:eastAsia="宋体" w:cs="Times New Roman"/>
                      <w:color w:val="auto"/>
                      <w:szCs w:val="21"/>
                      <w:highlight w:val="none"/>
                    </w:rPr>
                    <w:t>台账</w:t>
                  </w:r>
                  <w:r>
                    <w:rPr>
                      <w:rFonts w:hint="eastAsia" w:ascii="Times New Roman" w:hAnsi="Times New Roman" w:eastAsia="宋体" w:cs="Times New Roman"/>
                      <w:color w:val="auto"/>
                      <w:szCs w:val="21"/>
                      <w:highlight w:val="none"/>
                      <w:lang w:val="en-US" w:eastAsia="zh-CN"/>
                    </w:rPr>
                    <w:t>信息</w:t>
                  </w:r>
                  <w:r>
                    <w:rPr>
                      <w:rFonts w:hint="eastAsia" w:ascii="Times New Roman" w:hAnsi="Times New Roman" w:eastAsia="宋体" w:cs="Times New Roman"/>
                      <w:color w:val="auto"/>
                      <w:szCs w:val="21"/>
                      <w:highlight w:val="none"/>
                    </w:rPr>
                    <w:t>，台账保存期限不少于</w:t>
                  </w:r>
                  <w:r>
                    <w:rPr>
                      <w:rFonts w:hint="default"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年。</w:t>
                  </w:r>
                </w:p>
              </w:tc>
              <w:tc>
                <w:tcPr>
                  <w:tcW w:w="591" w:type="pct"/>
                  <w:noWrap w:val="0"/>
                  <w:vAlign w:val="center"/>
                </w:tcPr>
                <w:p w14:paraId="6DDEA0A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符合</w:t>
                  </w:r>
                </w:p>
              </w:tc>
            </w:tr>
          </w:tbl>
          <w:p w14:paraId="67B0ED11">
            <w:pPr>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黑体"/>
                <w:b/>
                <w:color w:val="auto"/>
                <w:kern w:val="2"/>
                <w:sz w:val="24"/>
                <w:szCs w:val="22"/>
                <w:highlight w:val="none"/>
                <w:lang w:val="en-US" w:eastAsia="zh-CN" w:bidi="ar-SA"/>
              </w:rPr>
            </w:pPr>
            <w:r>
              <w:rPr>
                <w:rFonts w:hint="eastAsia" w:ascii="Times New Roman" w:hAnsi="Times New Roman" w:eastAsia="宋体" w:cs="黑体"/>
                <w:b/>
                <w:color w:val="auto"/>
                <w:kern w:val="2"/>
                <w:sz w:val="24"/>
                <w:szCs w:val="22"/>
                <w:highlight w:val="none"/>
                <w:lang w:val="en-US" w:eastAsia="zh-CN" w:bidi="ar-SA"/>
              </w:rPr>
              <w:t>8、与《安徽省挥发性有机物污染整治工作方案》相符性分析</w:t>
            </w:r>
          </w:p>
          <w:p w14:paraId="28F1FF9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sz w:val="24"/>
                <w:szCs w:val="21"/>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w:t>
            </w:r>
            <w:r>
              <w:rPr>
                <w:rFonts w:hint="eastAsia" w:ascii="Times New Roman" w:hAnsi="Times New Roman" w:eastAsia="黑体" w:cs="Times New Roman"/>
                <w:color w:val="auto"/>
                <w:kern w:val="2"/>
                <w:sz w:val="24"/>
                <w:szCs w:val="24"/>
                <w:highlight w:val="none"/>
                <w:lang w:val="en-US" w:eastAsia="zh-CN" w:bidi="ar-SA"/>
              </w:rPr>
              <w:t>1-11</w:t>
            </w:r>
            <w:r>
              <w:rPr>
                <w:rFonts w:hint="default" w:ascii="Times New Roman" w:hAnsi="Times New Roman" w:eastAsia="黑体" w:cs="Times New Roman"/>
                <w:color w:val="auto"/>
                <w:kern w:val="2"/>
                <w:sz w:val="24"/>
                <w:szCs w:val="24"/>
                <w:highlight w:val="none"/>
                <w:lang w:val="en-US" w:eastAsia="zh-CN" w:bidi="ar-SA"/>
              </w:rPr>
              <w:t xml:space="preserve"> 项目与</w:t>
            </w:r>
            <w:r>
              <w:rPr>
                <w:rFonts w:hint="eastAsia" w:ascii="Times New Roman" w:hAnsi="Times New Roman" w:eastAsia="黑体" w:cs="Times New Roman"/>
                <w:color w:val="auto"/>
                <w:kern w:val="2"/>
                <w:sz w:val="24"/>
                <w:szCs w:val="24"/>
                <w:highlight w:val="none"/>
                <w:lang w:val="en-US" w:eastAsia="zh-CN" w:bidi="ar-SA"/>
              </w:rPr>
              <w:t>《安徽省挥发性有机物污染整治工作方案》</w:t>
            </w:r>
            <w:r>
              <w:rPr>
                <w:rFonts w:hint="default" w:ascii="Times New Roman" w:hAnsi="Times New Roman" w:eastAsia="黑体" w:cs="Times New Roman"/>
                <w:color w:val="auto"/>
                <w:kern w:val="2"/>
                <w:sz w:val="24"/>
                <w:szCs w:val="24"/>
                <w:highlight w:val="none"/>
                <w:lang w:val="en-US" w:eastAsia="zh-CN" w:bidi="ar-SA"/>
              </w:rPr>
              <w:t>符合性分析</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806"/>
              <w:gridCol w:w="3369"/>
              <w:gridCol w:w="2558"/>
              <w:gridCol w:w="1051"/>
            </w:tblGrid>
            <w:tr w14:paraId="32243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tcBorders>
                    <w:tl2br w:val="nil"/>
                    <w:tr2bl w:val="nil"/>
                  </w:tcBorders>
                  <w:noWrap w:val="0"/>
                  <w:vAlign w:val="center"/>
                </w:tcPr>
                <w:p w14:paraId="3DA45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color w:val="auto"/>
                      <w:kern w:val="2"/>
                      <w:sz w:val="21"/>
                      <w:szCs w:val="21"/>
                      <w:highlight w:val="none"/>
                      <w:vertAlign w:val="baseline"/>
                      <w:lang w:val="en-US" w:eastAsia="zh-CN" w:bidi="ar-SA"/>
                    </w:rPr>
                  </w:pPr>
                  <w:r>
                    <w:rPr>
                      <w:rFonts w:hint="eastAsia" w:ascii="Times New Roman" w:hAnsi="Times New Roman" w:eastAsia="宋体" w:cs="黑体"/>
                      <w:b/>
                      <w:color w:val="auto"/>
                      <w:kern w:val="2"/>
                      <w:sz w:val="21"/>
                      <w:szCs w:val="21"/>
                      <w:highlight w:val="none"/>
                      <w:vertAlign w:val="baseline"/>
                      <w:lang w:val="en-US" w:eastAsia="zh-CN" w:bidi="ar-SA"/>
                    </w:rPr>
                    <w:t>序号</w:t>
                  </w:r>
                </w:p>
              </w:tc>
              <w:tc>
                <w:tcPr>
                  <w:tcW w:w="2487" w:type="pct"/>
                  <w:gridSpan w:val="2"/>
                  <w:tcBorders>
                    <w:tl2br w:val="nil"/>
                    <w:tr2bl w:val="nil"/>
                  </w:tcBorders>
                  <w:noWrap w:val="0"/>
                  <w:vAlign w:val="center"/>
                </w:tcPr>
                <w:p w14:paraId="689B0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color w:val="auto"/>
                      <w:kern w:val="2"/>
                      <w:sz w:val="21"/>
                      <w:szCs w:val="21"/>
                      <w:highlight w:val="none"/>
                      <w:vertAlign w:val="baseline"/>
                      <w:lang w:val="en-US" w:eastAsia="zh-CN" w:bidi="ar-SA"/>
                    </w:rPr>
                  </w:pPr>
                  <w:r>
                    <w:rPr>
                      <w:rFonts w:hint="eastAsia" w:ascii="Times New Roman" w:hAnsi="Times New Roman" w:eastAsia="宋体" w:cs="黑体"/>
                      <w:b/>
                      <w:color w:val="auto"/>
                      <w:kern w:val="2"/>
                      <w:sz w:val="21"/>
                      <w:szCs w:val="21"/>
                      <w:highlight w:val="none"/>
                      <w:vertAlign w:val="baseline"/>
                      <w:lang w:val="en-US" w:eastAsia="zh-CN" w:bidi="ar-SA"/>
                    </w:rPr>
                    <w:t>《安徽省挥发性有机物污染整治工作方案》</w:t>
                  </w:r>
                </w:p>
              </w:tc>
              <w:tc>
                <w:tcPr>
                  <w:tcW w:w="1524" w:type="pct"/>
                  <w:tcBorders>
                    <w:tl2br w:val="nil"/>
                    <w:tr2bl w:val="nil"/>
                  </w:tcBorders>
                  <w:noWrap w:val="0"/>
                  <w:vAlign w:val="center"/>
                </w:tcPr>
                <w:p w14:paraId="6EA41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eastAsia="宋体" w:cs="黑体"/>
                      <w:b/>
                      <w:color w:val="auto"/>
                      <w:kern w:val="2"/>
                      <w:sz w:val="21"/>
                      <w:szCs w:val="21"/>
                      <w:highlight w:val="none"/>
                      <w:vertAlign w:val="baseline"/>
                      <w:lang w:val="en-US" w:eastAsia="zh-CN" w:bidi="ar-SA"/>
                    </w:rPr>
                  </w:pPr>
                  <w:r>
                    <w:rPr>
                      <w:rFonts w:hint="eastAsia" w:ascii="Times New Roman" w:hAnsi="Times New Roman" w:eastAsia="宋体" w:cs="黑体"/>
                      <w:b/>
                      <w:color w:val="auto"/>
                      <w:kern w:val="2"/>
                      <w:sz w:val="21"/>
                      <w:szCs w:val="21"/>
                      <w:highlight w:val="none"/>
                      <w:vertAlign w:val="baseline"/>
                      <w:lang w:val="en-US" w:eastAsia="zh-CN" w:bidi="ar-SA"/>
                    </w:rPr>
                    <w:t>本项目情况</w:t>
                  </w:r>
                </w:p>
              </w:tc>
              <w:tc>
                <w:tcPr>
                  <w:tcW w:w="626" w:type="pct"/>
                  <w:tcBorders>
                    <w:tl2br w:val="nil"/>
                    <w:tr2bl w:val="nil"/>
                  </w:tcBorders>
                  <w:noWrap w:val="0"/>
                  <w:vAlign w:val="center"/>
                </w:tcPr>
                <w:p w14:paraId="788F9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color w:val="auto"/>
                      <w:kern w:val="2"/>
                      <w:sz w:val="21"/>
                      <w:szCs w:val="21"/>
                      <w:highlight w:val="none"/>
                      <w:vertAlign w:val="baseline"/>
                      <w:lang w:val="en-US" w:eastAsia="zh-CN" w:bidi="ar-SA"/>
                    </w:rPr>
                  </w:pPr>
                  <w:r>
                    <w:rPr>
                      <w:rFonts w:hint="eastAsia" w:ascii="Times New Roman" w:hAnsi="Times New Roman" w:eastAsia="宋体" w:cs="黑体"/>
                      <w:b/>
                      <w:color w:val="auto"/>
                      <w:kern w:val="2"/>
                      <w:sz w:val="21"/>
                      <w:szCs w:val="21"/>
                      <w:highlight w:val="none"/>
                      <w:vertAlign w:val="baseline"/>
                      <w:lang w:val="en-US" w:eastAsia="zh-CN" w:bidi="ar-SA"/>
                    </w:rPr>
                    <w:t>符合性</w:t>
                  </w:r>
                </w:p>
                <w:p w14:paraId="2EA34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eastAsia="宋体" w:cs="黑体"/>
                      <w:b/>
                      <w:color w:val="auto"/>
                      <w:kern w:val="2"/>
                      <w:sz w:val="21"/>
                      <w:szCs w:val="21"/>
                      <w:highlight w:val="none"/>
                      <w:vertAlign w:val="baseline"/>
                      <w:lang w:val="en-US" w:eastAsia="zh-CN" w:bidi="ar-SA"/>
                    </w:rPr>
                  </w:pPr>
                  <w:r>
                    <w:rPr>
                      <w:rFonts w:hint="eastAsia" w:ascii="Times New Roman" w:hAnsi="Times New Roman" w:eastAsia="宋体" w:cs="黑体"/>
                      <w:b/>
                      <w:color w:val="auto"/>
                      <w:kern w:val="2"/>
                      <w:sz w:val="21"/>
                      <w:szCs w:val="21"/>
                      <w:highlight w:val="none"/>
                      <w:vertAlign w:val="baseline"/>
                      <w:lang w:val="en-US" w:eastAsia="zh-CN" w:bidi="ar-SA"/>
                    </w:rPr>
                    <w:t>分析</w:t>
                  </w:r>
                </w:p>
              </w:tc>
            </w:tr>
            <w:tr w14:paraId="7F246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tcBorders>
                    <w:tl2br w:val="nil"/>
                    <w:tr2bl w:val="nil"/>
                  </w:tcBorders>
                  <w:noWrap w:val="0"/>
                  <w:vAlign w:val="center"/>
                </w:tcPr>
                <w:p w14:paraId="47557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1</w:t>
                  </w:r>
                </w:p>
              </w:tc>
              <w:tc>
                <w:tcPr>
                  <w:tcW w:w="480" w:type="pct"/>
                  <w:tcBorders>
                    <w:tl2br w:val="nil"/>
                    <w:tr2bl w:val="nil"/>
                  </w:tcBorders>
                  <w:noWrap w:val="0"/>
                  <w:vAlign w:val="center"/>
                </w:tcPr>
                <w:p w14:paraId="38DA1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严格建设项目准入</w:t>
                  </w:r>
                </w:p>
              </w:tc>
              <w:tc>
                <w:tcPr>
                  <w:tcW w:w="2006" w:type="pct"/>
                  <w:tcBorders>
                    <w:tl2br w:val="nil"/>
                    <w:tr2bl w:val="nil"/>
                  </w:tcBorders>
                  <w:noWrap w:val="0"/>
                  <w:vAlign w:val="center"/>
                </w:tcPr>
                <w:p w14:paraId="71D82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将控制挥发性有机物排放列入建设项目环境影响评价重要内容，严格环境准入，严控“两高”行业新增产能，新建、迁建VOCs排放量大的企业应入工业园区并符合规划要求，必须建设挥发性有机物污染治理设施，安装废气收集、回收或净化装置，原则上总净化效率不得低于90%。建立VOCs排放总量控制制度</w:t>
                  </w:r>
                </w:p>
              </w:tc>
              <w:tc>
                <w:tcPr>
                  <w:tcW w:w="1524" w:type="pct"/>
                  <w:vMerge w:val="restart"/>
                  <w:tcBorders>
                    <w:tl2br w:val="nil"/>
                    <w:tr2bl w:val="nil"/>
                  </w:tcBorders>
                  <w:noWrap w:val="0"/>
                  <w:vAlign w:val="center"/>
                </w:tcPr>
                <w:p w14:paraId="29687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本项目位于安徽省淮南市凤台经济开发区国晟（凤台）异质结双碳产业园内，项目用地为工业用地，选址合理。</w:t>
                  </w:r>
                  <w:r>
                    <w:rPr>
                      <w:rFonts w:hint="default" w:ascii="Times New Roman" w:hAnsi="Times New Roman" w:eastAsia="宋体" w:cs="黑体"/>
                      <w:color w:val="auto"/>
                      <w:kern w:val="2"/>
                      <w:sz w:val="21"/>
                      <w:szCs w:val="21"/>
                      <w:highlight w:val="none"/>
                      <w:shd w:val="clear" w:color="auto" w:fill="FFFFFF"/>
                      <w:lang w:val="en-US" w:eastAsia="zh-CN" w:bidi="ar-SA"/>
                    </w:rPr>
                    <w:t>本项目丝印、固化废气通过集气罩和密闭管道收集后经“</w:t>
                  </w:r>
                  <w:r>
                    <w:rPr>
                      <w:rFonts w:hint="eastAsia" w:ascii="Times New Roman" w:hAnsi="Times New Roman" w:cs="黑体"/>
                      <w:color w:val="auto"/>
                      <w:kern w:val="2"/>
                      <w:sz w:val="21"/>
                      <w:szCs w:val="21"/>
                      <w:highlight w:val="none"/>
                      <w:shd w:val="clear" w:color="auto" w:fill="FFFFFF"/>
                      <w:lang w:val="en-US" w:eastAsia="zh-CN" w:bidi="ar-SA"/>
                    </w:rPr>
                    <w:t>两级活性炭</w:t>
                  </w:r>
                  <w:r>
                    <w:rPr>
                      <w:rFonts w:hint="eastAsia" w:ascii="Times New Roman" w:hAnsi="Times New Roman" w:eastAsia="宋体" w:cs="黑体"/>
                      <w:color w:val="auto"/>
                      <w:kern w:val="2"/>
                      <w:sz w:val="21"/>
                      <w:szCs w:val="21"/>
                      <w:highlight w:val="none"/>
                      <w:shd w:val="clear" w:color="auto" w:fill="FFFFFF"/>
                      <w:lang w:val="en-US" w:eastAsia="zh-CN" w:bidi="ar-SA"/>
                    </w:rPr>
                    <w:t>吸附</w:t>
                  </w:r>
                  <w:r>
                    <w:rPr>
                      <w:rFonts w:hint="default" w:ascii="Times New Roman" w:hAnsi="Times New Roman" w:eastAsia="宋体" w:cs="黑体"/>
                      <w:color w:val="auto"/>
                      <w:kern w:val="2"/>
                      <w:sz w:val="21"/>
                      <w:szCs w:val="21"/>
                      <w:highlight w:val="none"/>
                      <w:shd w:val="clear" w:color="auto" w:fill="FFFFFF"/>
                      <w:lang w:val="en-US" w:eastAsia="zh-CN" w:bidi="ar-SA"/>
                    </w:rPr>
                    <w:t>”装置处理后排放经15m高的（DA001）排气筒排放。废气可做到处理后达标排放</w:t>
                  </w:r>
                  <w:r>
                    <w:rPr>
                      <w:rFonts w:hint="eastAsia" w:ascii="宋体" w:hAnsi="宋体" w:eastAsia="宋体" w:cs="黑体"/>
                      <w:color w:val="auto"/>
                      <w:kern w:val="0"/>
                      <w:sz w:val="21"/>
                      <w:szCs w:val="21"/>
                      <w:highlight w:val="none"/>
                      <w:lang w:val="en-US" w:eastAsia="zh-CN" w:bidi="ar-SA"/>
                    </w:rPr>
                    <w:t>，</w:t>
                  </w:r>
                  <w:r>
                    <w:rPr>
                      <w:rFonts w:hint="eastAsia" w:ascii="Times New Roman" w:hAnsi="Times New Roman" w:eastAsia="宋体" w:cs="黑体"/>
                      <w:b w:val="0"/>
                      <w:bCs/>
                      <w:color w:val="auto"/>
                      <w:kern w:val="2"/>
                      <w:sz w:val="21"/>
                      <w:szCs w:val="21"/>
                      <w:highlight w:val="none"/>
                      <w:vertAlign w:val="baseline"/>
                      <w:lang w:val="en-US" w:eastAsia="zh-CN" w:bidi="ar-SA"/>
                    </w:rPr>
                    <w:t>不属于新建VOCs排放量大的企业。</w:t>
                  </w:r>
                </w:p>
              </w:tc>
              <w:tc>
                <w:tcPr>
                  <w:tcW w:w="626" w:type="pct"/>
                  <w:tcBorders>
                    <w:tl2br w:val="nil"/>
                    <w:tr2bl w:val="nil"/>
                  </w:tcBorders>
                  <w:noWrap w:val="0"/>
                  <w:vAlign w:val="center"/>
                </w:tcPr>
                <w:p w14:paraId="39E11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符合</w:t>
                  </w:r>
                </w:p>
              </w:tc>
            </w:tr>
            <w:tr w14:paraId="0D00B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tcBorders>
                    <w:tl2br w:val="nil"/>
                    <w:tr2bl w:val="nil"/>
                  </w:tcBorders>
                  <w:noWrap w:val="0"/>
                  <w:vAlign w:val="center"/>
                </w:tcPr>
                <w:p w14:paraId="1B6F7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2</w:t>
                  </w:r>
                </w:p>
              </w:tc>
              <w:tc>
                <w:tcPr>
                  <w:tcW w:w="480" w:type="pct"/>
                  <w:tcBorders>
                    <w:tl2br w:val="nil"/>
                    <w:tr2bl w:val="nil"/>
                  </w:tcBorders>
                  <w:noWrap w:val="0"/>
                  <w:vAlign w:val="center"/>
                </w:tcPr>
                <w:p w14:paraId="11C68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default"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强化污染治理</w:t>
                  </w:r>
                </w:p>
              </w:tc>
              <w:tc>
                <w:tcPr>
                  <w:tcW w:w="2006" w:type="pct"/>
                  <w:tcBorders>
                    <w:tl2br w:val="nil"/>
                    <w:tr2bl w:val="nil"/>
                  </w:tcBorders>
                  <w:noWrap w:val="0"/>
                  <w:vAlign w:val="center"/>
                </w:tcPr>
                <w:p w14:paraId="3DF76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严格按照挥发性有机物（VOCs）污染防治技术政策要求，科学制定重点行业、重点企业污染防治技术方案。采用密闭式生产和环保型原辅材料、生产工艺和装备，着力从源头控制VOCs废气的产生和无组织排放。加大VOCs废气的回收利用，优先在生产系统内回用。对浓度和性状差异大的废气应根据废气的产生量、污染物的组分和性质、浓度、温度、压力等因素进行综合分析，合理选择废气回收或末端治理工艺路线，科学治理，达标排放。妥善处置次生污染物，防范二次污染</w:t>
                  </w:r>
                </w:p>
              </w:tc>
              <w:tc>
                <w:tcPr>
                  <w:tcW w:w="1524" w:type="pct"/>
                  <w:vMerge w:val="continue"/>
                  <w:tcBorders>
                    <w:tl2br w:val="nil"/>
                    <w:tr2bl w:val="nil"/>
                  </w:tcBorders>
                  <w:noWrap w:val="0"/>
                  <w:vAlign w:val="center"/>
                </w:tcPr>
                <w:p w14:paraId="111CF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val="0"/>
                      <w:bCs/>
                      <w:color w:val="auto"/>
                      <w:kern w:val="2"/>
                      <w:sz w:val="21"/>
                      <w:szCs w:val="21"/>
                      <w:highlight w:val="none"/>
                      <w:vertAlign w:val="baseline"/>
                      <w:lang w:val="en-US" w:eastAsia="zh-CN" w:bidi="ar-SA"/>
                    </w:rPr>
                  </w:pPr>
                </w:p>
              </w:tc>
              <w:tc>
                <w:tcPr>
                  <w:tcW w:w="626" w:type="pct"/>
                  <w:tcBorders>
                    <w:tl2br w:val="nil"/>
                    <w:tr2bl w:val="nil"/>
                  </w:tcBorders>
                  <w:noWrap w:val="0"/>
                  <w:vAlign w:val="center"/>
                </w:tcPr>
                <w:p w14:paraId="03B24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jc w:val="center"/>
                    <w:textAlignment w:val="auto"/>
                    <w:rPr>
                      <w:rFonts w:hint="eastAsia" w:ascii="Times New Roman" w:hAnsi="Times New Roman" w:eastAsia="宋体" w:cs="黑体"/>
                      <w:b w:val="0"/>
                      <w:bCs/>
                      <w:color w:val="auto"/>
                      <w:kern w:val="2"/>
                      <w:sz w:val="21"/>
                      <w:szCs w:val="21"/>
                      <w:highlight w:val="none"/>
                      <w:vertAlign w:val="baseline"/>
                      <w:lang w:val="en-US" w:eastAsia="zh-CN" w:bidi="ar-SA"/>
                    </w:rPr>
                  </w:pPr>
                  <w:r>
                    <w:rPr>
                      <w:rFonts w:hint="eastAsia" w:ascii="Times New Roman" w:hAnsi="Times New Roman" w:eastAsia="宋体" w:cs="黑体"/>
                      <w:b w:val="0"/>
                      <w:bCs/>
                      <w:color w:val="auto"/>
                      <w:kern w:val="2"/>
                      <w:sz w:val="21"/>
                      <w:szCs w:val="21"/>
                      <w:highlight w:val="none"/>
                      <w:vertAlign w:val="baseline"/>
                      <w:lang w:val="en-US" w:eastAsia="zh-CN" w:bidi="ar-SA"/>
                    </w:rPr>
                    <w:t>符合</w:t>
                  </w:r>
                </w:p>
              </w:tc>
            </w:tr>
          </w:tbl>
          <w:p w14:paraId="27375881">
            <w:pPr>
              <w:keepNext w:val="0"/>
              <w:keepLines w:val="0"/>
              <w:suppressLineNumbers w:val="0"/>
              <w:spacing w:before="0" w:beforeAutospacing="0" w:after="0" w:afterAutospacing="0" w:line="360" w:lineRule="auto"/>
              <w:ind w:left="0" w:right="0" w:firstLine="482" w:firstLineChars="200"/>
              <w:rPr>
                <w:rFonts w:hint="default" w:ascii="Times New Roman" w:hAnsi="黑体" w:eastAsia="黑体" w:cs="Times New Roman"/>
                <w:color w:val="auto"/>
                <w:sz w:val="24"/>
                <w:szCs w:val="24"/>
                <w:highlight w:val="none"/>
              </w:rPr>
            </w:pPr>
            <w:r>
              <w:rPr>
                <w:rFonts w:hint="eastAsia" w:ascii="Times New Roman" w:hAnsi="Times New Roman" w:eastAsia="宋体" w:cs="Times New Roman"/>
                <w:b/>
                <w:color w:val="auto"/>
                <w:sz w:val="24"/>
                <w:szCs w:val="24"/>
                <w:highlight w:val="none"/>
                <w:lang w:val="en-US" w:eastAsia="zh-CN"/>
              </w:rPr>
              <w:t>9、</w:t>
            </w:r>
            <w:r>
              <w:rPr>
                <w:rFonts w:hint="default" w:ascii="Times New Roman" w:hAnsi="宋体" w:eastAsia="宋体" w:cs="Times New Roman"/>
                <w:b/>
                <w:color w:val="auto"/>
                <w:sz w:val="24"/>
                <w:szCs w:val="24"/>
                <w:highlight w:val="none"/>
              </w:rPr>
              <w:t>与</w:t>
            </w:r>
            <w:r>
              <w:rPr>
                <w:rFonts w:hint="eastAsia" w:ascii="Times New Roman" w:hAnsi="宋体" w:eastAsia="宋体" w:cs="Times New Roman"/>
                <w:b/>
                <w:color w:val="auto"/>
                <w:sz w:val="24"/>
                <w:szCs w:val="24"/>
                <w:highlight w:val="none"/>
              </w:rPr>
              <w:t>《安徽省</w:t>
            </w:r>
            <w:r>
              <w:rPr>
                <w:rFonts w:hint="default" w:ascii="Times New Roman" w:hAnsi="宋体" w:eastAsia="宋体" w:cs="Times New Roman"/>
                <w:b/>
                <w:color w:val="auto"/>
                <w:sz w:val="24"/>
                <w:szCs w:val="24"/>
                <w:highlight w:val="none"/>
              </w:rPr>
              <w:t>淮河流域水污染防治条例</w:t>
            </w:r>
            <w:r>
              <w:rPr>
                <w:rFonts w:hint="eastAsia" w:ascii="Times New Roman" w:hAnsi="宋体" w:eastAsia="宋体" w:cs="Times New Roman"/>
                <w:b/>
                <w:color w:val="auto"/>
                <w:sz w:val="24"/>
                <w:szCs w:val="24"/>
                <w:highlight w:val="none"/>
              </w:rPr>
              <w:t>》（2019年1月1日起施行）符合性</w:t>
            </w:r>
            <w:r>
              <w:rPr>
                <w:rFonts w:hint="default" w:ascii="Times New Roman" w:hAnsi="宋体" w:eastAsia="宋体" w:cs="Times New Roman"/>
                <w:b/>
                <w:color w:val="auto"/>
                <w:sz w:val="24"/>
                <w:szCs w:val="24"/>
                <w:highlight w:val="none"/>
              </w:rPr>
              <w:t>分析</w:t>
            </w:r>
          </w:p>
          <w:p w14:paraId="2939F5F8">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黑体"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rPr>
              <w:t>1-</w:t>
            </w:r>
            <w:r>
              <w:rPr>
                <w:rFonts w:hint="eastAsia" w:ascii="Times New Roman" w:hAnsi="Times New Roman" w:eastAsia="黑体" w:cs="Times New Roman"/>
                <w:color w:val="auto"/>
                <w:sz w:val="24"/>
                <w:szCs w:val="24"/>
                <w:highlight w:val="none"/>
                <w:lang w:val="en-US" w:eastAsia="zh-CN"/>
              </w:rPr>
              <w:t>12</w:t>
            </w:r>
            <w:r>
              <w:rPr>
                <w:rFonts w:hint="eastAsia" w:ascii="Times New Roman" w:hAnsi="Times New Roman" w:eastAsia="黑体" w:cs="Times New Roman"/>
                <w:color w:val="auto"/>
                <w:sz w:val="24"/>
                <w:szCs w:val="24"/>
                <w:highlight w:val="none"/>
              </w:rPr>
              <w:t xml:space="preserve"> </w:t>
            </w:r>
            <w:r>
              <w:rPr>
                <w:rFonts w:hint="default" w:ascii="Times New Roman" w:hAnsi="黑体" w:eastAsia="黑体" w:cs="Times New Roman"/>
                <w:color w:val="auto"/>
                <w:sz w:val="24"/>
                <w:highlight w:val="none"/>
              </w:rPr>
              <w:t>与</w:t>
            </w:r>
            <w:r>
              <w:rPr>
                <w:rFonts w:hint="eastAsia" w:ascii="Times New Roman" w:hAnsi="黑体" w:eastAsia="黑体" w:cs="Times New Roman"/>
                <w:color w:val="auto"/>
                <w:sz w:val="24"/>
                <w:highlight w:val="none"/>
              </w:rPr>
              <w:t>《安徽省</w:t>
            </w:r>
            <w:r>
              <w:rPr>
                <w:rFonts w:hint="default" w:ascii="Times New Roman" w:hAnsi="黑体" w:eastAsia="黑体" w:cs="Times New Roman"/>
                <w:color w:val="auto"/>
                <w:sz w:val="24"/>
                <w:highlight w:val="none"/>
              </w:rPr>
              <w:t>淮河流域水污染防治条例</w:t>
            </w:r>
            <w:r>
              <w:rPr>
                <w:rFonts w:hint="eastAsia" w:ascii="Times New Roman" w:hAnsi="黑体" w:eastAsia="黑体" w:cs="Times New Roman"/>
                <w:color w:val="auto"/>
                <w:sz w:val="24"/>
                <w:highlight w:val="none"/>
              </w:rPr>
              <w:t>》符合性</w:t>
            </w:r>
            <w:r>
              <w:rPr>
                <w:rFonts w:hint="default" w:ascii="Times New Roman" w:hAnsi="黑体" w:eastAsia="黑体" w:cs="Times New Roman"/>
                <w:color w:val="auto"/>
                <w:sz w:val="24"/>
                <w:highlight w:val="none"/>
              </w:rPr>
              <w:t>分析</w:t>
            </w:r>
          </w:p>
          <w:tbl>
            <w:tblPr>
              <w:tblStyle w:val="20"/>
              <w:tblW w:w="5000" w:type="pct"/>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6"/>
              <w:gridCol w:w="3403"/>
              <w:gridCol w:w="3276"/>
              <w:gridCol w:w="1077"/>
            </w:tblGrid>
            <w:tr w14:paraId="3BCC9F2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tcBorders>
                    <w:top w:val="single" w:color="auto" w:sz="12" w:space="0"/>
                  </w:tcBorders>
                  <w:noWrap w:val="0"/>
                  <w:vAlign w:val="center"/>
                </w:tcPr>
                <w:p w14:paraId="4BBD4BD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027" w:type="pct"/>
                  <w:tcBorders>
                    <w:top w:val="single" w:color="auto" w:sz="12" w:space="0"/>
                  </w:tcBorders>
                  <w:noWrap w:val="0"/>
                  <w:vAlign w:val="center"/>
                </w:tcPr>
                <w:p w14:paraId="4DAE44F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相关规范情况</w:t>
                  </w:r>
                </w:p>
              </w:tc>
              <w:tc>
                <w:tcPr>
                  <w:tcW w:w="1951" w:type="pct"/>
                  <w:tcBorders>
                    <w:top w:val="single" w:color="auto" w:sz="12" w:space="0"/>
                  </w:tcBorders>
                  <w:noWrap w:val="0"/>
                  <w:vAlign w:val="center"/>
                </w:tcPr>
                <w:p w14:paraId="2CB8330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本项目情况</w:t>
                  </w:r>
                </w:p>
              </w:tc>
              <w:tc>
                <w:tcPr>
                  <w:tcW w:w="641" w:type="pct"/>
                  <w:tcBorders>
                    <w:top w:val="single" w:color="auto" w:sz="12" w:space="0"/>
                  </w:tcBorders>
                  <w:noWrap w:val="0"/>
                  <w:vAlign w:val="center"/>
                </w:tcPr>
                <w:p w14:paraId="551049C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符合性</w:t>
                  </w:r>
                </w:p>
              </w:tc>
            </w:tr>
            <w:tr w14:paraId="62A7F9D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45E103C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2027" w:type="pct"/>
                  <w:noWrap w:val="0"/>
                  <w:vAlign w:val="center"/>
                </w:tcPr>
                <w:p w14:paraId="2448EC0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宋体" w:eastAsia="宋体" w:cs="Times New Roman"/>
                      <w:bCs/>
                      <w:color w:val="auto"/>
                      <w:kern w:val="0"/>
                      <w:szCs w:val="21"/>
                      <w:highlight w:val="none"/>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951" w:type="pct"/>
                  <w:noWrap w:val="0"/>
                  <w:vAlign w:val="center"/>
                </w:tcPr>
                <w:p w14:paraId="2BE400D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宋体" w:eastAsia="宋体" w:cs="Times New Roman"/>
                      <w:bCs/>
                      <w:color w:val="auto"/>
                      <w:kern w:val="0"/>
                      <w:szCs w:val="21"/>
                      <w:highlight w:val="none"/>
                    </w:rPr>
                    <w:t>本项目属于</w:t>
                  </w:r>
                  <w:r>
                    <w:rPr>
                      <w:rFonts w:hint="eastAsia" w:ascii="Times New Roman" w:hAnsi="宋体" w:eastAsia="宋体" w:cs="Times New Roman"/>
                      <w:color w:val="auto"/>
                      <w:szCs w:val="21"/>
                      <w:highlight w:val="none"/>
                      <w:lang w:val="en-US" w:eastAsia="zh-CN"/>
                    </w:rPr>
                    <w:t>C3042 特种玻璃制造</w:t>
                  </w:r>
                  <w:r>
                    <w:rPr>
                      <w:rFonts w:hint="eastAsia" w:ascii="Times New Roman" w:hAnsi="宋体" w:eastAsia="宋体" w:cs="Times New Roman"/>
                      <w:bCs/>
                      <w:color w:val="auto"/>
                      <w:kern w:val="0"/>
                      <w:szCs w:val="21"/>
                      <w:highlight w:val="none"/>
                    </w:rPr>
                    <w:t>，不属于印染、制革、化工、电镀等类型项目，项目已取得凤台县发展和改革委员会备案文件，项目代码为</w:t>
                  </w:r>
                  <w:r>
                    <w:rPr>
                      <w:rFonts w:hint="eastAsia" w:ascii="Times New Roman" w:hAnsi="宋体" w:eastAsia="宋体" w:cs="Times New Roman"/>
                      <w:bCs/>
                      <w:color w:val="auto"/>
                      <w:kern w:val="0"/>
                      <w:szCs w:val="21"/>
                      <w:highlight w:val="none"/>
                      <w:lang w:val="en-US" w:eastAsia="zh-CN"/>
                    </w:rPr>
                    <w:t>2603-340421-04-03-407767。</w:t>
                  </w:r>
                </w:p>
              </w:tc>
              <w:tc>
                <w:tcPr>
                  <w:tcW w:w="641" w:type="pct"/>
                  <w:noWrap w:val="0"/>
                  <w:vAlign w:val="center"/>
                </w:tcPr>
                <w:p w14:paraId="7BF604D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宋体" w:eastAsia="宋体" w:cs="Times New Roman"/>
                      <w:bCs/>
                      <w:color w:val="auto"/>
                      <w:kern w:val="0"/>
                      <w:szCs w:val="21"/>
                      <w:highlight w:val="none"/>
                    </w:rPr>
                    <w:t>符合</w:t>
                  </w:r>
                </w:p>
              </w:tc>
            </w:tr>
            <w:tr w14:paraId="43B5D3D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tcBorders>
                    <w:bottom w:val="single" w:color="auto" w:sz="12" w:space="0"/>
                  </w:tcBorders>
                  <w:noWrap w:val="0"/>
                  <w:vAlign w:val="center"/>
                </w:tcPr>
                <w:p w14:paraId="6F8FE3B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p>
              </w:tc>
              <w:tc>
                <w:tcPr>
                  <w:tcW w:w="2027" w:type="pct"/>
                  <w:tcBorders>
                    <w:bottom w:val="single" w:color="auto" w:sz="12" w:space="0"/>
                  </w:tcBorders>
                  <w:noWrap w:val="0"/>
                  <w:vAlign w:val="center"/>
                </w:tcPr>
                <w:p w14:paraId="52F5943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宋体" w:eastAsia="宋体" w:cs="Times New Roman"/>
                      <w:bCs/>
                      <w:color w:val="auto"/>
                      <w:kern w:val="0"/>
                      <w:szCs w:val="21"/>
                      <w:highlight w:val="none"/>
                    </w:rPr>
                    <w:t>在淮河流域城市公共排水设施覆盖区域内，应当实行雨水、污水分流；排水户应当将雨水、污水分别排入公共雨水、污水管网及其附属设施</w:t>
                  </w:r>
                </w:p>
              </w:tc>
              <w:tc>
                <w:tcPr>
                  <w:tcW w:w="1951" w:type="pct"/>
                  <w:tcBorders>
                    <w:bottom w:val="single" w:color="auto" w:sz="12" w:space="0"/>
                  </w:tcBorders>
                  <w:noWrap w:val="0"/>
                  <w:vAlign w:val="center"/>
                </w:tcPr>
                <w:p w14:paraId="4EC53B4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宋体" w:eastAsia="宋体" w:cs="Times New Roman"/>
                      <w:bCs/>
                      <w:color w:val="auto"/>
                      <w:kern w:val="0"/>
                      <w:szCs w:val="21"/>
                      <w:highlight w:val="none"/>
                    </w:rPr>
                    <w:t>项目实行雨水、污水分流，</w:t>
                  </w:r>
                  <w:r>
                    <w:rPr>
                      <w:rFonts w:hint="eastAsia" w:ascii="Times New Roman" w:hAnsi="Times New Roman"/>
                      <w:color w:val="auto"/>
                      <w:szCs w:val="21"/>
                      <w:highlight w:val="none"/>
                    </w:rPr>
                    <w:t>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，生产废水经处理后回用</w:t>
                  </w:r>
                  <w:r>
                    <w:rPr>
                      <w:rFonts w:hint="eastAsia" w:ascii="Times New Roman" w:hAnsi="宋体" w:eastAsia="宋体" w:cs="Times New Roman"/>
                      <w:bCs/>
                      <w:color w:val="auto"/>
                      <w:kern w:val="0"/>
                      <w:szCs w:val="21"/>
                      <w:highlight w:val="none"/>
                      <w:lang w:val="en-US" w:eastAsia="zh-CN"/>
                    </w:rPr>
                    <w:t>，不会对周边地表水环境造成显著影响。</w:t>
                  </w:r>
                </w:p>
              </w:tc>
              <w:tc>
                <w:tcPr>
                  <w:tcW w:w="641" w:type="pct"/>
                  <w:tcBorders>
                    <w:bottom w:val="single" w:color="auto" w:sz="12" w:space="0"/>
                  </w:tcBorders>
                  <w:noWrap w:val="0"/>
                  <w:vAlign w:val="center"/>
                </w:tcPr>
                <w:p w14:paraId="4A307FD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宋体" w:eastAsia="宋体" w:cs="Times New Roman"/>
                      <w:bCs/>
                      <w:color w:val="auto"/>
                      <w:kern w:val="0"/>
                      <w:szCs w:val="21"/>
                      <w:highlight w:val="none"/>
                    </w:rPr>
                    <w:t>符合</w:t>
                  </w:r>
                </w:p>
              </w:tc>
            </w:tr>
          </w:tbl>
          <w:p w14:paraId="7A4BBCD0">
            <w:pPr>
              <w:keepNext w:val="0"/>
              <w:keepLines w:val="0"/>
              <w:suppressLineNumbers w:val="0"/>
              <w:spacing w:before="0" w:beforeAutospacing="0" w:after="0" w:afterAutospacing="0" w:line="360" w:lineRule="auto"/>
              <w:ind w:left="0" w:right="0" w:firstLine="482" w:firstLineChars="200"/>
              <w:rPr>
                <w:rFonts w:hint="default" w:ascii="Times New Roman" w:hAnsi="黑体" w:eastAsia="黑体" w:cs="Times New Roman"/>
                <w:color w:val="auto"/>
                <w:sz w:val="24"/>
                <w:szCs w:val="24"/>
                <w:highlight w:val="none"/>
              </w:rPr>
            </w:pPr>
            <w:r>
              <w:rPr>
                <w:rFonts w:hint="eastAsia" w:ascii="Times New Roman" w:hAnsi="Times New Roman" w:eastAsia="宋体" w:cs="Times New Roman"/>
                <w:b/>
                <w:color w:val="auto"/>
                <w:sz w:val="24"/>
                <w:szCs w:val="24"/>
                <w:highlight w:val="none"/>
                <w:lang w:val="en-US" w:eastAsia="zh-CN"/>
              </w:rPr>
              <w:t>10、</w:t>
            </w:r>
            <w:r>
              <w:rPr>
                <w:rFonts w:hint="default" w:ascii="Times New Roman" w:hAnsi="宋体" w:eastAsia="宋体" w:cs="Times New Roman"/>
                <w:b/>
                <w:color w:val="auto"/>
                <w:sz w:val="24"/>
                <w:szCs w:val="24"/>
                <w:highlight w:val="none"/>
              </w:rPr>
              <w:t>与安徽省人民政府关于印发《安徽省空气质量持续改善行动方案》的通知</w:t>
            </w:r>
            <w:r>
              <w:rPr>
                <w:rFonts w:hint="eastAsia" w:ascii="Times New Roman" w:hAnsi="宋体" w:eastAsia="宋体" w:cs="Times New Roman"/>
                <w:b/>
                <w:color w:val="auto"/>
                <w:sz w:val="24"/>
                <w:szCs w:val="24"/>
                <w:highlight w:val="none"/>
              </w:rPr>
              <w:t>（</w:t>
            </w:r>
            <w:r>
              <w:rPr>
                <w:rFonts w:hint="default" w:ascii="Times New Roman" w:hAnsi="宋体" w:eastAsia="宋体" w:cs="Times New Roman"/>
                <w:b/>
                <w:color w:val="auto"/>
                <w:sz w:val="24"/>
                <w:szCs w:val="24"/>
                <w:highlight w:val="none"/>
              </w:rPr>
              <w:t>皖政〔2024〕36号</w:t>
            </w:r>
            <w:r>
              <w:rPr>
                <w:rFonts w:hint="eastAsia" w:ascii="Times New Roman" w:hAnsi="宋体" w:eastAsia="宋体" w:cs="Times New Roman"/>
                <w:b/>
                <w:color w:val="auto"/>
                <w:sz w:val="24"/>
                <w:szCs w:val="24"/>
                <w:highlight w:val="none"/>
              </w:rPr>
              <w:t>）符合</w:t>
            </w:r>
            <w:r>
              <w:rPr>
                <w:rFonts w:hint="default" w:ascii="Times New Roman" w:hAnsi="宋体" w:eastAsia="宋体" w:cs="Times New Roman"/>
                <w:b/>
                <w:color w:val="auto"/>
                <w:sz w:val="24"/>
                <w:szCs w:val="24"/>
                <w:highlight w:val="none"/>
              </w:rPr>
              <w:t>性分析</w:t>
            </w:r>
          </w:p>
          <w:p w14:paraId="3C5B6A22">
            <w:pPr>
              <w:keepNext w:val="0"/>
              <w:keepLines w:val="0"/>
              <w:suppressLineNumbers w:val="0"/>
              <w:spacing w:before="0" w:beforeAutospacing="0" w:after="0" w:afterAutospacing="0" w:line="360" w:lineRule="auto"/>
              <w:ind w:left="0" w:right="0"/>
              <w:jc w:val="center"/>
              <w:rPr>
                <w:rFonts w:hint="default" w:ascii="Times New Roman" w:hAnsi="黑体" w:eastAsia="黑体" w:cs="Times New Roman"/>
                <w:color w:val="auto"/>
                <w:sz w:val="24"/>
                <w:highlight w:val="none"/>
              </w:rPr>
            </w:pPr>
            <w:r>
              <w:rPr>
                <w:rFonts w:hint="default" w:ascii="Times New Roman" w:hAnsi="黑体"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rPr>
              <w:t>1-</w:t>
            </w:r>
            <w:r>
              <w:rPr>
                <w:rFonts w:hint="eastAsia" w:ascii="Times New Roman" w:hAnsi="Times New Roman" w:eastAsia="黑体" w:cs="Times New Roman"/>
                <w:color w:val="auto"/>
                <w:sz w:val="24"/>
                <w:szCs w:val="24"/>
                <w:highlight w:val="none"/>
                <w:lang w:val="en-US" w:eastAsia="zh-CN"/>
              </w:rPr>
              <w:t>13</w:t>
            </w:r>
            <w:r>
              <w:rPr>
                <w:rFonts w:hint="eastAsia" w:ascii="Times New Roman" w:hAnsi="Times New Roman" w:eastAsia="黑体" w:cs="Times New Roman"/>
                <w:color w:val="auto"/>
                <w:sz w:val="24"/>
                <w:szCs w:val="24"/>
                <w:highlight w:val="none"/>
              </w:rPr>
              <w:t xml:space="preserve"> </w:t>
            </w:r>
            <w:r>
              <w:rPr>
                <w:rFonts w:hint="default" w:ascii="Times New Roman" w:hAnsi="黑体" w:eastAsia="黑体" w:cs="Times New Roman"/>
                <w:color w:val="auto"/>
                <w:sz w:val="24"/>
                <w:highlight w:val="none"/>
              </w:rPr>
              <w:t>与皖政〔2024〕36号</w:t>
            </w:r>
            <w:r>
              <w:rPr>
                <w:rFonts w:hint="eastAsia" w:ascii="Times New Roman" w:hAnsi="黑体" w:eastAsia="黑体" w:cs="Times New Roman"/>
                <w:color w:val="auto"/>
                <w:sz w:val="24"/>
                <w:highlight w:val="none"/>
                <w:lang w:val="en-US" w:eastAsia="zh-CN"/>
              </w:rPr>
              <w:t>文</w:t>
            </w:r>
            <w:r>
              <w:rPr>
                <w:rFonts w:hint="eastAsia" w:ascii="Times New Roman" w:hAnsi="黑体" w:eastAsia="黑体" w:cs="Times New Roman"/>
                <w:color w:val="auto"/>
                <w:sz w:val="24"/>
                <w:highlight w:val="none"/>
              </w:rPr>
              <w:t>符合</w:t>
            </w:r>
            <w:r>
              <w:rPr>
                <w:rFonts w:hint="default" w:ascii="Times New Roman" w:hAnsi="黑体" w:eastAsia="黑体" w:cs="Times New Roman"/>
                <w:color w:val="auto"/>
                <w:sz w:val="24"/>
                <w:highlight w:val="none"/>
              </w:rPr>
              <w:t>性分析</w:t>
            </w:r>
          </w:p>
          <w:tbl>
            <w:tblPr>
              <w:tblStyle w:val="20"/>
              <w:tblW w:w="4998" w:type="pct"/>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6"/>
              <w:gridCol w:w="4040"/>
              <w:gridCol w:w="2612"/>
              <w:gridCol w:w="1101"/>
            </w:tblGrid>
            <w:tr w14:paraId="722EC71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tcBorders>
                    <w:top w:val="single" w:color="auto" w:sz="12" w:space="0"/>
                  </w:tcBorders>
                  <w:noWrap w:val="0"/>
                  <w:vAlign w:val="center"/>
                </w:tcPr>
                <w:p w14:paraId="4647A95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407" w:type="pct"/>
                  <w:tcBorders>
                    <w:top w:val="single" w:color="auto" w:sz="12" w:space="0"/>
                  </w:tcBorders>
                  <w:noWrap w:val="0"/>
                  <w:vAlign w:val="center"/>
                </w:tcPr>
                <w:p w14:paraId="3182C95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相关规范情况</w:t>
                  </w:r>
                </w:p>
              </w:tc>
              <w:tc>
                <w:tcPr>
                  <w:tcW w:w="1556" w:type="pct"/>
                  <w:tcBorders>
                    <w:top w:val="single" w:color="auto" w:sz="12" w:space="0"/>
                  </w:tcBorders>
                  <w:noWrap w:val="0"/>
                  <w:vAlign w:val="center"/>
                </w:tcPr>
                <w:p w14:paraId="3BA845B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本项目情况</w:t>
                  </w:r>
                </w:p>
              </w:tc>
              <w:tc>
                <w:tcPr>
                  <w:tcW w:w="656" w:type="pct"/>
                  <w:tcBorders>
                    <w:top w:val="single" w:color="auto" w:sz="12" w:space="0"/>
                  </w:tcBorders>
                  <w:noWrap w:val="0"/>
                  <w:vAlign w:val="center"/>
                </w:tcPr>
                <w:p w14:paraId="77A40DB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符合</w:t>
                  </w:r>
                  <w:r>
                    <w:rPr>
                      <w:rFonts w:hint="default" w:ascii="Times New Roman" w:hAnsi="Times New Roman" w:eastAsia="宋体" w:cs="Times New Roman"/>
                      <w:b/>
                      <w:bCs/>
                      <w:color w:val="auto"/>
                      <w:szCs w:val="21"/>
                      <w:highlight w:val="none"/>
                    </w:rPr>
                    <w:t>性</w:t>
                  </w:r>
                </w:p>
              </w:tc>
            </w:tr>
            <w:tr w14:paraId="4634324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3359BE1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2407" w:type="pct"/>
                  <w:noWrap w:val="0"/>
                  <w:vAlign w:val="center"/>
                </w:tcPr>
                <w:p w14:paraId="049BA59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坚决遏制高耗能、高排放、低水平项目盲目上马。新改扩建项目严格落实国家产业规划、产业政策、生态环境分区管控方案、规划环评、项目环评、节能审查、产能置换、重点污染物总量控制、污染物排放区域削减、碳排放</w:t>
                  </w:r>
                  <w:r>
                    <w:rPr>
                      <w:rFonts w:hint="eastAsia" w:ascii="Times New Roman" w:hAnsi="Times New Roman" w:eastAsia="宋体" w:cs="Times New Roman"/>
                      <w:color w:val="auto"/>
                      <w:szCs w:val="21"/>
                      <w:highlight w:val="none"/>
                      <w:lang w:val="en-US" w:eastAsia="zh-CN"/>
                    </w:rPr>
                    <w:t>碳</w:t>
                  </w:r>
                  <w:r>
                    <w:rPr>
                      <w:rFonts w:hint="eastAsia" w:ascii="Times New Roman" w:hAnsi="Times New Roman" w:eastAsia="宋体" w:cs="Times New Roman"/>
                      <w:color w:val="auto"/>
                      <w:szCs w:val="21"/>
                      <w:highlight w:val="none"/>
                    </w:rPr>
                    <w:t>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556" w:type="pct"/>
                  <w:noWrap w:val="0"/>
                  <w:vAlign w:val="center"/>
                </w:tcPr>
                <w:p w14:paraId="60B6C9B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bCs/>
                      <w:color w:val="auto"/>
                      <w:szCs w:val="21"/>
                      <w:highlight w:val="none"/>
                    </w:rPr>
                    <w:t>本项目属于</w:t>
                  </w:r>
                  <w:r>
                    <w:rPr>
                      <w:rFonts w:hint="eastAsia" w:ascii="Times New Roman" w:hAnsi="宋体" w:eastAsia="宋体" w:cs="Times New Roman"/>
                      <w:color w:val="auto"/>
                      <w:szCs w:val="21"/>
                      <w:highlight w:val="none"/>
                      <w:lang w:val="en-US" w:eastAsia="zh-CN"/>
                    </w:rPr>
                    <w:t>C3042 特种玻璃制造</w:t>
                  </w:r>
                  <w:r>
                    <w:rPr>
                      <w:rFonts w:hint="eastAsia" w:ascii="Times New Roman" w:hAnsi="Times New Roman" w:eastAsia="宋体" w:cs="Times New Roman"/>
                      <w:color w:val="auto"/>
                      <w:szCs w:val="21"/>
                      <w:highlight w:val="none"/>
                    </w:rPr>
                    <w:t>，不属于高耗能、高排放、低水平项目。对照</w:t>
                  </w:r>
                  <w:r>
                    <w:rPr>
                      <w:rFonts w:hint="eastAsia" w:ascii="Times New Roman" w:hAnsi="Times New Roman" w:cs="Times New Roman"/>
                      <w:color w:val="auto"/>
                      <w:szCs w:val="21"/>
                      <w:highlight w:val="none"/>
                      <w:lang w:eastAsia="zh-CN"/>
                    </w:rPr>
                    <w:t>《产业结构调整指导目录（2024年本）》</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bCs/>
                      <w:color w:val="auto"/>
                      <w:szCs w:val="21"/>
                      <w:highlight w:val="none"/>
                    </w:rPr>
                    <w:t>本项目不属于其中的鼓励类、限制类或淘汰类，视为允许建设项目</w:t>
                  </w:r>
                  <w:r>
                    <w:rPr>
                      <w:rFonts w:hint="eastAsia" w:ascii="Times New Roman" w:hAnsi="Times New Roman" w:eastAsia="宋体" w:cs="Times New Roman"/>
                      <w:color w:val="auto"/>
                      <w:szCs w:val="21"/>
                      <w:highlight w:val="none"/>
                    </w:rPr>
                    <w:t>、符合生态环境分区管控要求</w:t>
                  </w:r>
                  <w:r>
                    <w:rPr>
                      <w:rFonts w:hint="eastAsia" w:ascii="Times New Roman" w:hAnsi="Times New Roman" w:eastAsia="宋体" w:cs="Times New Roman"/>
                      <w:color w:val="auto"/>
                      <w:szCs w:val="21"/>
                      <w:highlight w:val="none"/>
                      <w:lang w:eastAsia="zh-CN"/>
                    </w:rPr>
                    <w:t>。</w:t>
                  </w:r>
                </w:p>
              </w:tc>
              <w:tc>
                <w:tcPr>
                  <w:tcW w:w="656" w:type="pct"/>
                  <w:noWrap w:val="0"/>
                  <w:vAlign w:val="center"/>
                </w:tcPr>
                <w:p w14:paraId="05C9BE0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宋体" w:eastAsia="宋体" w:cs="Times New Roman"/>
                      <w:bCs/>
                      <w:color w:val="auto"/>
                      <w:kern w:val="0"/>
                      <w:szCs w:val="21"/>
                      <w:highlight w:val="none"/>
                    </w:rPr>
                    <w:t>符合</w:t>
                  </w:r>
                </w:p>
              </w:tc>
            </w:tr>
            <w:tr w14:paraId="7AAD59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2BB9040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p>
              </w:tc>
              <w:tc>
                <w:tcPr>
                  <w:tcW w:w="2407" w:type="pct"/>
                  <w:noWrap w:val="0"/>
                  <w:vAlign w:val="center"/>
                </w:tcPr>
                <w:p w14:paraId="4AA4F1D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556" w:type="pct"/>
                  <w:noWrap w:val="0"/>
                  <w:vAlign w:val="center"/>
                </w:tcPr>
                <w:p w14:paraId="78AACB6E">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bCs/>
                      <w:color w:val="auto"/>
                      <w:szCs w:val="21"/>
                      <w:highlight w:val="none"/>
                    </w:rPr>
                    <w:t>对照</w:t>
                  </w:r>
                  <w:r>
                    <w:rPr>
                      <w:rFonts w:hint="eastAsia" w:ascii="Times New Roman" w:hAnsi="Times New Roman" w:cs="Times New Roman"/>
                      <w:bCs/>
                      <w:color w:val="auto"/>
                      <w:szCs w:val="21"/>
                      <w:highlight w:val="none"/>
                      <w:lang w:eastAsia="zh-CN"/>
                    </w:rPr>
                    <w:t>《产业结构调整指导目录（2024年本）》</w:t>
                  </w:r>
                  <w:r>
                    <w:rPr>
                      <w:rFonts w:hint="eastAsia" w:ascii="Times New Roman" w:hAnsi="Times New Roman" w:eastAsia="宋体" w:cs="Times New Roman"/>
                      <w:bCs/>
                      <w:color w:val="auto"/>
                      <w:szCs w:val="21"/>
                      <w:highlight w:val="none"/>
                    </w:rPr>
                    <w:t>，本项目不属于其中的鼓励类、限制类或淘汰类，视为允许建设项目，不属于生产设施老旧、工艺水平落后、环境管理水平低下的独立焦化、烧结、球团、热轧企业和落后煤炭洗选企业，不使用步进式烧结机和球团竖炉以及半封闭式硅锰合金、镍铁、高碳铬铁、高碳锰铁电炉；本项目不新增钢铁、水泥（熟料）、焦化、电解铝、平板玻璃（不含光伏压延玻璃）产能</w:t>
                  </w:r>
                  <w:r>
                    <w:rPr>
                      <w:rFonts w:hint="eastAsia" w:ascii="Times New Roman" w:hAnsi="Times New Roman" w:eastAsia="宋体" w:cs="Times New Roman"/>
                      <w:bCs/>
                      <w:color w:val="auto"/>
                      <w:szCs w:val="21"/>
                      <w:highlight w:val="none"/>
                      <w:lang w:eastAsia="zh-CN"/>
                    </w:rPr>
                    <w:t>。</w:t>
                  </w:r>
                </w:p>
              </w:tc>
              <w:tc>
                <w:tcPr>
                  <w:tcW w:w="656" w:type="pct"/>
                  <w:noWrap w:val="0"/>
                  <w:vAlign w:val="center"/>
                </w:tcPr>
                <w:p w14:paraId="6250F32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bCs/>
                      <w:color w:val="auto"/>
                      <w:kern w:val="0"/>
                      <w:szCs w:val="21"/>
                      <w:highlight w:val="none"/>
                    </w:rPr>
                  </w:pPr>
                  <w:r>
                    <w:rPr>
                      <w:rFonts w:hint="eastAsia" w:ascii="Times New Roman" w:hAnsi="宋体" w:eastAsia="宋体" w:cs="Times New Roman"/>
                      <w:bCs/>
                      <w:color w:val="auto"/>
                      <w:kern w:val="0"/>
                      <w:szCs w:val="21"/>
                      <w:highlight w:val="none"/>
                    </w:rPr>
                    <w:t>符合</w:t>
                  </w:r>
                </w:p>
              </w:tc>
            </w:tr>
            <w:tr w14:paraId="2C79D53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4D105FE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p>
              </w:tc>
              <w:tc>
                <w:tcPr>
                  <w:tcW w:w="2407" w:type="pct"/>
                  <w:noWrap w:val="0"/>
                  <w:vAlign w:val="center"/>
                </w:tcPr>
                <w:p w14:paraId="1E06792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加强VOCs综合治理。鼓励储罐使用低泄漏的呼吸阀、紧急泄压阀。汽车罐车推广使用密封式快速接头。污水处理场所高浓度有机废气单独收集处理；含VOCs有机废水储罐、装置区集水井（池）有机废气密闭收集处理。石化、化工行业集中的城市和重点工业园区，2024年底前建立统一的泄漏检测与修复信息管理平台。企业开停工、检维修期间，及时收集处理退料、清洗、吹扫等作业产生的VOCs废气，不得将火炬燃烧装置作为日常大气污染处理设施。</w:t>
                  </w:r>
                </w:p>
              </w:tc>
              <w:tc>
                <w:tcPr>
                  <w:tcW w:w="1556" w:type="pct"/>
                  <w:noWrap w:val="0"/>
                  <w:vAlign w:val="center"/>
                </w:tcPr>
                <w:p w14:paraId="226ED573">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Cs/>
                      <w:color w:val="auto"/>
                      <w:szCs w:val="21"/>
                      <w:highlight w:val="none"/>
                    </w:rPr>
                    <w:t>本项目</w:t>
                  </w:r>
                  <w:r>
                    <w:rPr>
                      <w:rFonts w:hint="eastAsia" w:ascii="Times New Roman" w:hAnsi="Times New Roman" w:eastAsia="宋体" w:cs="Times New Roman"/>
                      <w:color w:val="auto"/>
                      <w:szCs w:val="21"/>
                      <w:highlight w:val="none"/>
                      <w:lang w:val="en-US" w:eastAsia="zh-CN"/>
                    </w:rPr>
                    <w:t>含VOCs的</w:t>
                  </w:r>
                  <w:r>
                    <w:rPr>
                      <w:rFonts w:hint="default" w:ascii="Times New Roman" w:hAnsi="Times New Roman" w:eastAsia="宋体" w:cs="黑体"/>
                      <w:color w:val="auto"/>
                      <w:kern w:val="2"/>
                      <w:sz w:val="21"/>
                      <w:szCs w:val="21"/>
                      <w:highlight w:val="none"/>
                      <w:shd w:val="clear" w:color="auto" w:fill="FFFFFF"/>
                      <w:lang w:val="en-US" w:eastAsia="zh-CN" w:bidi="ar-SA"/>
                    </w:rPr>
                    <w:t>丝印、固化废气通过集气罩和密闭管道收集后经“</w:t>
                  </w:r>
                  <w:r>
                    <w:rPr>
                      <w:rFonts w:hint="eastAsia" w:ascii="Times New Roman" w:hAnsi="Times New Roman" w:cs="黑体"/>
                      <w:color w:val="auto"/>
                      <w:kern w:val="2"/>
                      <w:sz w:val="21"/>
                      <w:szCs w:val="21"/>
                      <w:highlight w:val="none"/>
                      <w:shd w:val="clear" w:color="auto" w:fill="FFFFFF"/>
                      <w:lang w:val="en-US" w:eastAsia="zh-CN" w:bidi="ar-SA"/>
                    </w:rPr>
                    <w:t>两级活性炭</w:t>
                  </w:r>
                  <w:r>
                    <w:rPr>
                      <w:rFonts w:hint="eastAsia" w:ascii="Times New Roman" w:hAnsi="Times New Roman" w:eastAsia="宋体" w:cs="黑体"/>
                      <w:color w:val="auto"/>
                      <w:kern w:val="2"/>
                      <w:sz w:val="21"/>
                      <w:szCs w:val="21"/>
                      <w:highlight w:val="none"/>
                      <w:shd w:val="clear" w:color="auto" w:fill="FFFFFF"/>
                      <w:lang w:val="en-US" w:eastAsia="zh-CN" w:bidi="ar-SA"/>
                    </w:rPr>
                    <w:t>吸附</w:t>
                  </w:r>
                  <w:r>
                    <w:rPr>
                      <w:rFonts w:hint="default" w:ascii="Times New Roman" w:hAnsi="Times New Roman" w:eastAsia="宋体" w:cs="黑体"/>
                      <w:color w:val="auto"/>
                      <w:kern w:val="2"/>
                      <w:sz w:val="21"/>
                      <w:szCs w:val="21"/>
                      <w:highlight w:val="none"/>
                      <w:shd w:val="clear" w:color="auto" w:fill="FFFFFF"/>
                      <w:lang w:val="en-US" w:eastAsia="zh-CN" w:bidi="ar-SA"/>
                    </w:rPr>
                    <w:t>”装置处理后排放经15m高的（DA001）排气筒排放。</w:t>
                  </w:r>
                </w:p>
              </w:tc>
              <w:tc>
                <w:tcPr>
                  <w:tcW w:w="656" w:type="pct"/>
                  <w:noWrap w:val="0"/>
                  <w:vAlign w:val="center"/>
                </w:tcPr>
                <w:p w14:paraId="4A15CA3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宋体" w:eastAsia="宋体" w:cs="Times New Roman"/>
                      <w:bCs/>
                      <w:color w:val="auto"/>
                      <w:kern w:val="0"/>
                      <w:szCs w:val="21"/>
                      <w:highlight w:val="none"/>
                    </w:rPr>
                    <w:t>符合</w:t>
                  </w:r>
                </w:p>
              </w:tc>
            </w:tr>
          </w:tbl>
          <w:p w14:paraId="11E32900">
            <w:pPr>
              <w:pStyle w:val="19"/>
              <w:rPr>
                <w:color w:val="auto"/>
                <w:highlight w:val="none"/>
              </w:rPr>
            </w:pPr>
          </w:p>
          <w:p w14:paraId="77E02122">
            <w:pPr>
              <w:widowControl/>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11、</w:t>
            </w:r>
            <w:r>
              <w:rPr>
                <w:rFonts w:ascii="Times New Roman" w:hAnsi="Times New Roman" w:eastAsia="宋体" w:cs="Times New Roman"/>
                <w:b/>
                <w:bCs/>
                <w:color w:val="auto"/>
                <w:sz w:val="24"/>
                <w:szCs w:val="24"/>
                <w:highlight w:val="none"/>
              </w:rPr>
              <w:t>与《油墨中可挥发性有机化合物（VOCs ）含量的限值》 （GB 38507-2020）相符性分析</w:t>
            </w:r>
          </w:p>
          <w:p w14:paraId="4DD777A7">
            <w:pPr>
              <w:widowControl/>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文件要求：</w:t>
            </w:r>
            <w:r>
              <w:rPr>
                <w:rFonts w:hint="eastAsia" w:ascii="Times New Roman" w:hAnsi="Times New Roman" w:eastAsia="宋体" w:cs="Times New Roman"/>
                <w:color w:val="auto"/>
                <w:sz w:val="24"/>
                <w:szCs w:val="24"/>
                <w:highlight w:val="none"/>
                <w:lang w:val="en-US" w:eastAsia="zh-CN"/>
              </w:rPr>
              <w:t>溶剂</w:t>
            </w:r>
            <w:r>
              <w:rPr>
                <w:rFonts w:ascii="Times New Roman" w:hAnsi="Times New Roman" w:eastAsia="宋体" w:cs="Times New Roman"/>
                <w:color w:val="auto"/>
                <w:sz w:val="24"/>
                <w:szCs w:val="24"/>
                <w:highlight w:val="none"/>
              </w:rPr>
              <w:t>油墨中喷墨印刷油墨（网印油墨）挥发性有机化合物（VOCs）限值≤</w:t>
            </w:r>
            <w:r>
              <w:rPr>
                <w:rFonts w:hint="eastAsia" w:ascii="Times New Roman" w:hAnsi="Times New Roman" w:eastAsia="宋体" w:cs="Times New Roman"/>
                <w:color w:val="auto"/>
                <w:sz w:val="24"/>
                <w:szCs w:val="24"/>
                <w:highlight w:val="none"/>
                <w:lang w:val="en-US" w:eastAsia="zh-CN"/>
              </w:rPr>
              <w:t>9</w:t>
            </w:r>
            <w:r>
              <w:rPr>
                <w:rFonts w:ascii="Times New Roman" w:hAnsi="Times New Roman" w:eastAsia="宋体" w:cs="Times New Roman"/>
                <w:color w:val="auto"/>
                <w:sz w:val="24"/>
                <w:szCs w:val="24"/>
                <w:highlight w:val="none"/>
              </w:rPr>
              <w:t>0%。</w:t>
            </w:r>
          </w:p>
          <w:p w14:paraId="3AE2FEA7">
            <w:pPr>
              <w:widowControl/>
              <w:spacing w:line="360" w:lineRule="auto"/>
              <w:ind w:firstLine="480" w:firstLineChars="200"/>
              <w:rPr>
                <w:color w:val="auto"/>
                <w:sz w:val="24"/>
                <w:szCs w:val="24"/>
                <w:highlight w:val="none"/>
              </w:rPr>
            </w:pPr>
            <w:r>
              <w:rPr>
                <w:rFonts w:ascii="Times New Roman" w:hAnsi="Times New Roman" w:eastAsia="宋体" w:cs="Times New Roman"/>
                <w:color w:val="auto"/>
                <w:sz w:val="24"/>
                <w:szCs w:val="24"/>
                <w:highlight w:val="none"/>
              </w:rPr>
              <w:t>本项目丝印工序使用</w:t>
            </w:r>
            <w:r>
              <w:rPr>
                <w:rFonts w:hint="eastAsia"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color w:val="auto"/>
                <w:kern w:val="0"/>
                <w:sz w:val="24"/>
                <w:szCs w:val="24"/>
                <w:highlight w:val="none"/>
                <w:lang w:val="en-US" w:eastAsia="zh-CN" w:bidi="ar"/>
              </w:rPr>
              <w:t>高反射膜材料</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根据成分判断属于溶剂油墨，</w:t>
            </w:r>
            <w:r>
              <w:rPr>
                <w:rFonts w:ascii="Times New Roman" w:hAnsi="Times New Roman" w:eastAsia="宋体" w:cs="Times New Roman"/>
                <w:color w:val="auto"/>
                <w:sz w:val="24"/>
                <w:szCs w:val="24"/>
                <w:highlight w:val="none"/>
              </w:rPr>
              <w:t>油墨中挥发性有机化合物（VOCs）限值</w:t>
            </w:r>
            <w:r>
              <w:rPr>
                <w:rFonts w:hint="eastAsia" w:ascii="Times New Roman" w:hAnsi="Times New Roman" w:eastAsia="宋体" w:cs="Times New Roman"/>
                <w:color w:val="auto"/>
                <w:sz w:val="24"/>
                <w:szCs w:val="24"/>
                <w:highlight w:val="none"/>
                <w:lang w:val="en-US" w:eastAsia="zh-CN"/>
              </w:rPr>
              <w:t>为6%~10%，小于等于9</w:t>
            </w:r>
            <w:r>
              <w:rPr>
                <w:rFonts w:ascii="Times New Roman" w:hAnsi="Times New Roman" w:eastAsia="宋体" w:cs="Times New Roman"/>
                <w:color w:val="auto"/>
                <w:sz w:val="24"/>
                <w:szCs w:val="24"/>
                <w:highlight w:val="none"/>
              </w:rPr>
              <w:t xml:space="preserve">0% </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符合文件要求。</w:t>
            </w:r>
          </w:p>
          <w:p w14:paraId="1BE0779D">
            <w:pPr>
              <w:keepNext w:val="0"/>
              <w:keepLines w:val="0"/>
              <w:suppressLineNumbers w:val="0"/>
              <w:spacing w:before="0" w:beforeAutospacing="0" w:after="0" w:afterAutospacing="0" w:line="360" w:lineRule="auto"/>
              <w:ind w:left="0" w:right="0" w:firstLine="482" w:firstLineChars="200"/>
              <w:rPr>
                <w:rFonts w:hint="default" w:ascii="Times New Roman" w:hAnsi="黑体" w:eastAsia="黑体" w:cs="Times New Roman"/>
                <w:color w:val="auto"/>
                <w:sz w:val="24"/>
                <w:szCs w:val="24"/>
                <w:highlight w:val="none"/>
              </w:rPr>
            </w:pPr>
            <w:r>
              <w:rPr>
                <w:rFonts w:hint="eastAsia" w:ascii="Times New Roman" w:hAnsi="Times New Roman" w:eastAsia="宋体" w:cs="Times New Roman"/>
                <w:b/>
                <w:color w:val="auto"/>
                <w:sz w:val="24"/>
                <w:szCs w:val="24"/>
                <w:highlight w:val="none"/>
                <w:lang w:val="en-US" w:eastAsia="zh-CN"/>
              </w:rPr>
              <w:t>12、</w:t>
            </w:r>
            <w:r>
              <w:rPr>
                <w:rFonts w:hint="default" w:ascii="Times New Roman" w:hAnsi="宋体" w:eastAsia="宋体" w:cs="Times New Roman"/>
                <w:b/>
                <w:color w:val="auto"/>
                <w:sz w:val="24"/>
                <w:szCs w:val="24"/>
                <w:highlight w:val="none"/>
              </w:rPr>
              <w:t>与《工业炉窑大气污染综合治理方案》（环大气〔2019〕56号）</w:t>
            </w:r>
            <w:r>
              <w:rPr>
                <w:rFonts w:hint="eastAsia" w:ascii="Times New Roman" w:hAnsi="宋体" w:eastAsia="宋体" w:cs="Times New Roman"/>
                <w:b/>
                <w:color w:val="auto"/>
                <w:sz w:val="24"/>
                <w:szCs w:val="24"/>
                <w:highlight w:val="none"/>
              </w:rPr>
              <w:t>符合</w:t>
            </w:r>
            <w:r>
              <w:rPr>
                <w:rFonts w:hint="default" w:ascii="Times New Roman" w:hAnsi="宋体" w:eastAsia="宋体" w:cs="Times New Roman"/>
                <w:b/>
                <w:color w:val="auto"/>
                <w:sz w:val="24"/>
                <w:szCs w:val="24"/>
                <w:highlight w:val="none"/>
              </w:rPr>
              <w:t>性分析</w:t>
            </w:r>
          </w:p>
          <w:p w14:paraId="7FB7829A">
            <w:pPr>
              <w:keepNext w:val="0"/>
              <w:keepLines w:val="0"/>
              <w:suppressLineNumbers w:val="0"/>
              <w:spacing w:before="0" w:beforeAutospacing="0" w:after="0" w:afterAutospacing="0" w:line="360" w:lineRule="auto"/>
              <w:ind w:left="0" w:right="0"/>
              <w:jc w:val="center"/>
              <w:rPr>
                <w:rFonts w:hint="default" w:ascii="Times New Roman" w:hAnsi="黑体" w:eastAsia="黑体" w:cs="Times New Roman"/>
                <w:color w:val="auto"/>
                <w:sz w:val="24"/>
                <w:highlight w:val="none"/>
              </w:rPr>
            </w:pPr>
            <w:r>
              <w:rPr>
                <w:rFonts w:hint="default" w:ascii="Times New Roman" w:hAnsi="黑体"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rPr>
              <w:t>1-</w:t>
            </w:r>
            <w:r>
              <w:rPr>
                <w:rFonts w:hint="eastAsia" w:ascii="Times New Roman" w:hAnsi="Times New Roman" w:eastAsia="黑体" w:cs="Times New Roman"/>
                <w:color w:val="auto"/>
                <w:sz w:val="24"/>
                <w:szCs w:val="24"/>
                <w:highlight w:val="none"/>
                <w:lang w:val="en-US" w:eastAsia="zh-CN"/>
              </w:rPr>
              <w:t>14</w:t>
            </w:r>
            <w:r>
              <w:rPr>
                <w:rFonts w:hint="eastAsia" w:ascii="Times New Roman" w:hAnsi="Times New Roman" w:eastAsia="黑体" w:cs="Times New Roman"/>
                <w:color w:val="auto"/>
                <w:sz w:val="24"/>
                <w:szCs w:val="24"/>
                <w:highlight w:val="none"/>
              </w:rPr>
              <w:t xml:space="preserve"> </w:t>
            </w:r>
            <w:r>
              <w:rPr>
                <w:rFonts w:hint="default" w:ascii="Times New Roman" w:hAnsi="黑体" w:eastAsia="黑体" w:cs="Times New Roman"/>
                <w:color w:val="auto"/>
                <w:sz w:val="24"/>
                <w:highlight w:val="none"/>
              </w:rPr>
              <w:t>与《工业炉窑大气污染综合治理方案》（环大气〔2019〕56号）</w:t>
            </w:r>
            <w:r>
              <w:rPr>
                <w:rFonts w:hint="eastAsia" w:ascii="Times New Roman" w:hAnsi="黑体" w:eastAsia="黑体" w:cs="Times New Roman"/>
                <w:color w:val="auto"/>
                <w:sz w:val="24"/>
                <w:highlight w:val="none"/>
              </w:rPr>
              <w:t>符合</w:t>
            </w:r>
            <w:r>
              <w:rPr>
                <w:rFonts w:hint="default" w:ascii="Times New Roman" w:hAnsi="黑体" w:eastAsia="黑体" w:cs="Times New Roman"/>
                <w:color w:val="auto"/>
                <w:sz w:val="24"/>
                <w:highlight w:val="none"/>
              </w:rPr>
              <w:t>性分析</w:t>
            </w:r>
          </w:p>
          <w:tbl>
            <w:tblPr>
              <w:tblStyle w:val="20"/>
              <w:tblW w:w="4998" w:type="pct"/>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5"/>
              <w:gridCol w:w="3464"/>
              <w:gridCol w:w="3189"/>
              <w:gridCol w:w="1101"/>
            </w:tblGrid>
            <w:tr w14:paraId="63ED636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tcBorders>
                    <w:top w:val="single" w:color="auto" w:sz="12" w:space="0"/>
                  </w:tcBorders>
                  <w:noWrap w:val="0"/>
                  <w:vAlign w:val="center"/>
                </w:tcPr>
                <w:p w14:paraId="339988B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064" w:type="pct"/>
                  <w:tcBorders>
                    <w:top w:val="single" w:color="auto" w:sz="12" w:space="0"/>
                  </w:tcBorders>
                  <w:noWrap w:val="0"/>
                  <w:vAlign w:val="center"/>
                </w:tcPr>
                <w:p w14:paraId="7EBA41B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政策条款原文</w:t>
                  </w:r>
                </w:p>
              </w:tc>
              <w:tc>
                <w:tcPr>
                  <w:tcW w:w="1900" w:type="pct"/>
                  <w:tcBorders>
                    <w:top w:val="single" w:color="auto" w:sz="12" w:space="0"/>
                  </w:tcBorders>
                  <w:noWrap w:val="0"/>
                  <w:vAlign w:val="center"/>
                </w:tcPr>
                <w:p w14:paraId="169F514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本项目情况</w:t>
                  </w:r>
                </w:p>
              </w:tc>
              <w:tc>
                <w:tcPr>
                  <w:tcW w:w="656" w:type="pct"/>
                  <w:tcBorders>
                    <w:top w:val="single" w:color="auto" w:sz="12" w:space="0"/>
                  </w:tcBorders>
                  <w:noWrap w:val="0"/>
                  <w:vAlign w:val="center"/>
                </w:tcPr>
                <w:p w14:paraId="6232EE0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相符性</w:t>
                  </w:r>
                </w:p>
              </w:tc>
            </w:tr>
            <w:tr w14:paraId="4DEB4EC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283B896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2064" w:type="pct"/>
                  <w:noWrap w:val="0"/>
                  <w:vAlign w:val="center"/>
                </w:tcPr>
                <w:p w14:paraId="348661E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一、严格建设项目环境准入——“新建涉工业炉窑的建设项目，原则上要入园区，配套建设高效环保治理设施。”</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"https://www.mee.gov.cn/xxgk2018/xxgk/xxgk03/201907/t20190712_709309.html?from=singlemessage"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p>
              </w:tc>
              <w:tc>
                <w:tcPr>
                  <w:tcW w:w="1900" w:type="pct"/>
                  <w:noWrap w:val="0"/>
                  <w:vAlign w:val="center"/>
                </w:tcPr>
                <w:p w14:paraId="48611B1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本项目钢化炉属于电加热工业炉窑。</w:t>
                  </w:r>
                  <w:r>
                    <w:rPr>
                      <w:rFonts w:hint="eastAsia" w:ascii="Times New Roman" w:hAnsi="Times New Roman" w:eastAsia="宋体" w:cs="黑体"/>
                      <w:b w:val="0"/>
                      <w:bCs/>
                      <w:color w:val="auto"/>
                      <w:kern w:val="2"/>
                      <w:sz w:val="21"/>
                      <w:szCs w:val="21"/>
                      <w:highlight w:val="none"/>
                      <w:vertAlign w:val="baseline"/>
                      <w:lang w:val="en-US" w:eastAsia="zh-CN" w:bidi="ar-SA"/>
                    </w:rPr>
                    <w:t>本项目位于安徽省淮南市凤台经济开发区国晟（凤台）异质结双碳产业园内，项目用地为工业用地，选址合理。</w:t>
                  </w:r>
                </w:p>
              </w:tc>
              <w:tc>
                <w:tcPr>
                  <w:tcW w:w="656" w:type="pct"/>
                  <w:noWrap w:val="0"/>
                  <w:vAlign w:val="center"/>
                </w:tcPr>
                <w:p w14:paraId="1C54995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符合</w:t>
                  </w:r>
                </w:p>
              </w:tc>
            </w:tr>
            <w:tr w14:paraId="103A478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38572AFE">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2064" w:type="pct"/>
                  <w:noWrap w:val="0"/>
                  <w:vAlign w:val="center"/>
                </w:tcPr>
                <w:p w14:paraId="56DFE010">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二、加快燃料清洁低碳化替代——“对以煤、石油焦、渣油、重油等为燃料的工业炉窑，加快使用清洁低碳能源以及利用工厂余热、电厂热力等进行替代。”</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"https://www.mee.gov.cn/xxgk2018/xxgk/xxgk03/201907/t20190712_709309.html?from=singlemessage"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p>
              </w:tc>
              <w:tc>
                <w:tcPr>
                  <w:tcW w:w="1900" w:type="pct"/>
                  <w:noWrap w:val="0"/>
                  <w:vAlign w:val="center"/>
                </w:tcPr>
                <w:p w14:paraId="0E1E6D18">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本项目钢化炉采用电加热方式，不使用煤、石油焦、渣油、重油等燃料。</w:t>
                  </w:r>
                </w:p>
              </w:tc>
              <w:tc>
                <w:tcPr>
                  <w:tcW w:w="656" w:type="pct"/>
                  <w:noWrap w:val="0"/>
                  <w:vAlign w:val="center"/>
                </w:tcPr>
                <w:p w14:paraId="59DE5256">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符合</w:t>
                  </w:r>
                </w:p>
              </w:tc>
            </w:tr>
            <w:tr w14:paraId="63C086A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62D05A5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2064" w:type="pct"/>
                  <w:noWrap w:val="0"/>
                  <w:vAlign w:val="center"/>
                </w:tcPr>
                <w:p w14:paraId="7F78E5C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三、实施污染深度治理——“推进工业炉窑全面达标排放。已有行业排放标准的工业炉窑，严格执行行业排放标准相关规定。”</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"https://www.mee.gov.cn/xxgk2018/xxgk/xxgk03/201907/t20190712_709309.html?from=singlemessage"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p>
              </w:tc>
              <w:tc>
                <w:tcPr>
                  <w:tcW w:w="1900" w:type="pct"/>
                  <w:noWrap w:val="0"/>
                  <w:vAlign w:val="center"/>
                </w:tcPr>
                <w:p w14:paraId="221CB5A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本项目钢化炉采用电加热方式不涉及燃料燃烧过程，不产生SO₂、NOx等燃烧废气。</w:t>
                  </w:r>
                </w:p>
              </w:tc>
              <w:tc>
                <w:tcPr>
                  <w:tcW w:w="656" w:type="pct"/>
                  <w:noWrap w:val="0"/>
                  <w:vAlign w:val="center"/>
                </w:tcPr>
                <w:p w14:paraId="74E68734">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637EA1A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344EE74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2064" w:type="pct"/>
                  <w:noWrap w:val="0"/>
                  <w:vAlign w:val="center"/>
                </w:tcPr>
                <w:p w14:paraId="13B45642">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四、全面加强无组织排放管理——“采取密闭、封闭等有效措施，有效提高废气收集率，产尘点及车间不得有可见烟粉尘外逸。”</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"https://www.mee.gov.cn/xxgk2018/xxgk/xxgk03/201907/t20190712_709309.html?from=singlemessage"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p>
              </w:tc>
              <w:tc>
                <w:tcPr>
                  <w:tcW w:w="1900" w:type="pct"/>
                  <w:noWrap w:val="0"/>
                  <w:vAlign w:val="center"/>
                </w:tcPr>
                <w:p w14:paraId="1A9B948E">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项目钢化炉生产过程</w:t>
                  </w:r>
                  <w:r>
                    <w:rPr>
                      <w:rFonts w:hint="eastAsia" w:ascii="Times New Roman" w:hAnsi="Times New Roman" w:eastAsia="宋体" w:cs="Times New Roman"/>
                      <w:color w:val="auto"/>
                      <w:szCs w:val="21"/>
                      <w:highlight w:val="none"/>
                      <w:lang w:val="en-US" w:eastAsia="zh-CN"/>
                    </w:rPr>
                    <w:t>位</w:t>
                  </w:r>
                  <w:r>
                    <w:rPr>
                      <w:rFonts w:hint="default" w:ascii="Times New Roman" w:hAnsi="Times New Roman" w:eastAsia="宋体" w:cs="Times New Roman"/>
                      <w:color w:val="auto"/>
                      <w:szCs w:val="21"/>
                      <w:highlight w:val="none"/>
                      <w:lang w:val="en-US" w:eastAsia="zh-CN"/>
                    </w:rPr>
                    <w:t>于密闭车间内，</w:t>
                  </w:r>
                  <w:r>
                    <w:rPr>
                      <w:rFonts w:hint="default" w:ascii="Times New Roman" w:hAnsi="Times New Roman" w:eastAsia="宋体" w:cs="黑体"/>
                      <w:color w:val="auto"/>
                      <w:kern w:val="2"/>
                      <w:sz w:val="21"/>
                      <w:szCs w:val="21"/>
                      <w:highlight w:val="none"/>
                      <w:shd w:val="clear" w:color="auto" w:fill="FFFFFF"/>
                      <w:lang w:val="en-US" w:eastAsia="zh-CN" w:bidi="ar-SA"/>
                    </w:rPr>
                    <w:t>丝</w:t>
                  </w:r>
                  <w:r>
                    <w:rPr>
                      <w:rFonts w:hint="eastAsia" w:ascii="Times New Roman" w:hAnsi="Times New Roman" w:eastAsia="宋体" w:cs="黑体"/>
                      <w:color w:val="auto"/>
                      <w:kern w:val="2"/>
                      <w:sz w:val="21"/>
                      <w:szCs w:val="21"/>
                      <w:highlight w:val="none"/>
                      <w:shd w:val="clear" w:color="auto" w:fill="FFFFFF"/>
                      <w:lang w:val="en-US" w:eastAsia="zh-CN" w:bidi="ar-SA"/>
                    </w:rPr>
                    <w:t>且本项目丝</w:t>
                  </w:r>
                  <w:r>
                    <w:rPr>
                      <w:rFonts w:hint="default" w:ascii="Times New Roman" w:hAnsi="Times New Roman" w:eastAsia="宋体" w:cs="黑体"/>
                      <w:color w:val="auto"/>
                      <w:kern w:val="2"/>
                      <w:sz w:val="21"/>
                      <w:szCs w:val="21"/>
                      <w:highlight w:val="none"/>
                      <w:shd w:val="clear" w:color="auto" w:fill="FFFFFF"/>
                      <w:lang w:val="en-US" w:eastAsia="zh-CN" w:bidi="ar-SA"/>
                    </w:rPr>
                    <w:t>印、固化</w:t>
                  </w:r>
                  <w:r>
                    <w:rPr>
                      <w:rFonts w:hint="eastAsia" w:ascii="Times New Roman" w:hAnsi="Times New Roman" w:eastAsia="宋体" w:cs="黑体"/>
                      <w:color w:val="auto"/>
                      <w:kern w:val="2"/>
                      <w:sz w:val="21"/>
                      <w:szCs w:val="21"/>
                      <w:highlight w:val="none"/>
                      <w:shd w:val="clear" w:color="auto" w:fill="FFFFFF"/>
                      <w:lang w:val="en-US" w:eastAsia="zh-CN" w:bidi="ar-SA"/>
                    </w:rPr>
                    <w:t>产生的</w:t>
                  </w:r>
                  <w:r>
                    <w:rPr>
                      <w:rFonts w:hint="default" w:ascii="Times New Roman" w:hAnsi="Times New Roman" w:eastAsia="宋体" w:cs="黑体"/>
                      <w:color w:val="auto"/>
                      <w:kern w:val="2"/>
                      <w:sz w:val="21"/>
                      <w:szCs w:val="21"/>
                      <w:highlight w:val="none"/>
                      <w:shd w:val="clear" w:color="auto" w:fill="FFFFFF"/>
                      <w:lang w:val="en-US" w:eastAsia="zh-CN" w:bidi="ar-SA"/>
                    </w:rPr>
                    <w:t>废气通过集气罩和密闭管道收集后经“</w:t>
                  </w:r>
                  <w:r>
                    <w:rPr>
                      <w:rFonts w:hint="eastAsia" w:ascii="Times New Roman" w:hAnsi="Times New Roman" w:cs="黑体"/>
                      <w:color w:val="auto"/>
                      <w:kern w:val="2"/>
                      <w:sz w:val="21"/>
                      <w:szCs w:val="21"/>
                      <w:highlight w:val="none"/>
                      <w:shd w:val="clear" w:color="auto" w:fill="FFFFFF"/>
                      <w:lang w:val="en-US" w:eastAsia="zh-CN" w:bidi="ar-SA"/>
                    </w:rPr>
                    <w:t>两级活性炭</w:t>
                  </w:r>
                  <w:r>
                    <w:rPr>
                      <w:rFonts w:hint="eastAsia" w:ascii="Times New Roman" w:hAnsi="Times New Roman" w:eastAsia="宋体" w:cs="黑体"/>
                      <w:color w:val="auto"/>
                      <w:kern w:val="2"/>
                      <w:sz w:val="21"/>
                      <w:szCs w:val="21"/>
                      <w:highlight w:val="none"/>
                      <w:shd w:val="clear" w:color="auto" w:fill="FFFFFF"/>
                      <w:lang w:val="en-US" w:eastAsia="zh-CN" w:bidi="ar-SA"/>
                    </w:rPr>
                    <w:t>吸附</w:t>
                  </w:r>
                  <w:r>
                    <w:rPr>
                      <w:rFonts w:hint="default" w:ascii="Times New Roman" w:hAnsi="Times New Roman" w:eastAsia="宋体" w:cs="黑体"/>
                      <w:color w:val="auto"/>
                      <w:kern w:val="2"/>
                      <w:sz w:val="21"/>
                      <w:szCs w:val="21"/>
                      <w:highlight w:val="none"/>
                      <w:shd w:val="clear" w:color="auto" w:fill="FFFFFF"/>
                      <w:lang w:val="en-US" w:eastAsia="zh-CN" w:bidi="ar-SA"/>
                    </w:rPr>
                    <w:t>”装置处理后排放经15m高的（DA001）排气筒排放。</w:t>
                  </w:r>
                </w:p>
              </w:tc>
              <w:tc>
                <w:tcPr>
                  <w:tcW w:w="656" w:type="pct"/>
                  <w:noWrap w:val="0"/>
                  <w:vAlign w:val="center"/>
                </w:tcPr>
                <w:p w14:paraId="2B516DF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符合</w:t>
                  </w:r>
                </w:p>
              </w:tc>
            </w:tr>
            <w:tr w14:paraId="2ECE982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4079D413">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2064" w:type="pct"/>
                  <w:noWrap w:val="0"/>
                  <w:vAlign w:val="center"/>
                </w:tcPr>
                <w:p w14:paraId="4A4E176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五、重点区域特别排放限值——“重点区域钢铁、水泥、焦化、石化、化工、有色等行业，二氧化硫、氮氧化物、颗粒物、挥发性有机物（VOCs）排放全面执行大气污染物特别排放限值。”</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"https://www.mee.gov.cn/xxgk2018/xxgk/xxgk03/201907/t20190712_709309.html?from=singlemessage"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p>
              </w:tc>
              <w:tc>
                <w:tcPr>
                  <w:tcW w:w="1900" w:type="pct"/>
                  <w:noWrap w:val="0"/>
                  <w:vAlign w:val="center"/>
                </w:tcPr>
                <w:p w14:paraId="2D993C3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本项目所在地位于重点区域，VOCs排放执行特别排放限值</w:t>
                  </w:r>
                  <w:r>
                    <w:rPr>
                      <w:rFonts w:hint="eastAsia" w:ascii="Times New Roman" w:hAnsi="Times New Roman" w:eastAsia="宋体" w:cs="Times New Roman"/>
                      <w:color w:val="auto"/>
                      <w:szCs w:val="21"/>
                      <w:highlight w:val="none"/>
                      <w:lang w:val="en-US" w:eastAsia="zh-CN"/>
                    </w:rPr>
                    <w:t>，经废气污染源强核算</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本项目</w:t>
                  </w:r>
                  <w:r>
                    <w:rPr>
                      <w:rFonts w:hint="default" w:ascii="Times New Roman" w:hAnsi="Times New Roman" w:eastAsia="宋体" w:cs="Times New Roman"/>
                      <w:color w:val="auto"/>
                      <w:szCs w:val="21"/>
                      <w:highlight w:val="none"/>
                      <w:lang w:val="en-US" w:eastAsia="zh-CN"/>
                    </w:rPr>
                    <w:t>电加热</w:t>
                  </w:r>
                  <w:r>
                    <w:rPr>
                      <w:rFonts w:hint="eastAsia" w:ascii="Times New Roman" w:hAnsi="Times New Roman" w:eastAsia="宋体" w:cs="Times New Roman"/>
                      <w:color w:val="auto"/>
                      <w:szCs w:val="21"/>
                      <w:highlight w:val="none"/>
                      <w:lang w:val="en-US" w:eastAsia="zh-CN"/>
                    </w:rPr>
                    <w:t>钢化炉</w:t>
                  </w:r>
                  <w:r>
                    <w:rPr>
                      <w:rFonts w:hint="default" w:ascii="Times New Roman" w:hAnsi="Times New Roman" w:eastAsia="宋体" w:cs="Times New Roman"/>
                      <w:color w:val="auto"/>
                      <w:szCs w:val="21"/>
                      <w:highlight w:val="none"/>
                      <w:lang w:val="en-US" w:eastAsia="zh-CN"/>
                    </w:rPr>
                    <w:t>不产生SO₂和NOx。</w:t>
                  </w:r>
                </w:p>
              </w:tc>
              <w:tc>
                <w:tcPr>
                  <w:tcW w:w="656" w:type="pct"/>
                  <w:noWrap w:val="0"/>
                  <w:vAlign w:val="center"/>
                </w:tcPr>
                <w:p w14:paraId="5FA6C34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bl>
          <w:p w14:paraId="10A243E0">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13、与《安徽省低挥发性有机物含量原辅材料替代工作方案》（皖环发〔2024〕1号）相符性分析</w:t>
            </w:r>
          </w:p>
          <w:p w14:paraId="20BC39D0">
            <w:pPr>
              <w:keepNext w:val="0"/>
              <w:keepLines w:val="0"/>
              <w:suppressLineNumbers w:val="0"/>
              <w:spacing w:before="0" w:beforeAutospacing="0" w:after="0" w:afterAutospacing="0" w:line="360" w:lineRule="auto"/>
              <w:ind w:left="0" w:right="0"/>
              <w:jc w:val="center"/>
              <w:rPr>
                <w:rFonts w:hint="default" w:ascii="Times New Roman" w:hAnsi="黑体" w:eastAsia="黑体" w:cs="Times New Roman"/>
                <w:color w:val="auto"/>
                <w:sz w:val="24"/>
                <w:highlight w:val="none"/>
              </w:rPr>
            </w:pPr>
            <w:r>
              <w:rPr>
                <w:rFonts w:hint="default" w:ascii="Times New Roman" w:hAnsi="黑体"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rPr>
              <w:t>1-</w:t>
            </w:r>
            <w:r>
              <w:rPr>
                <w:rFonts w:hint="eastAsia" w:ascii="Times New Roman" w:hAnsi="Times New Roman" w:eastAsia="黑体" w:cs="Times New Roman"/>
                <w:color w:val="auto"/>
                <w:sz w:val="24"/>
                <w:szCs w:val="24"/>
                <w:highlight w:val="none"/>
                <w:lang w:val="en-US" w:eastAsia="zh-CN"/>
              </w:rPr>
              <w:t>15</w:t>
            </w:r>
            <w:r>
              <w:rPr>
                <w:rFonts w:hint="eastAsia" w:ascii="Times New Roman" w:hAnsi="Times New Roman" w:eastAsia="黑体" w:cs="Times New Roman"/>
                <w:color w:val="auto"/>
                <w:sz w:val="24"/>
                <w:szCs w:val="24"/>
                <w:highlight w:val="none"/>
              </w:rPr>
              <w:t xml:space="preserve"> </w:t>
            </w:r>
            <w:r>
              <w:rPr>
                <w:rFonts w:hint="default" w:ascii="Times New Roman" w:hAnsi="黑体" w:eastAsia="黑体" w:cs="Times New Roman"/>
                <w:color w:val="auto"/>
                <w:sz w:val="24"/>
                <w:highlight w:val="none"/>
              </w:rPr>
              <w:t>与</w:t>
            </w:r>
            <w:r>
              <w:rPr>
                <w:rFonts w:hint="default" w:ascii="Times New Roman" w:hAnsi="黑体" w:eastAsia="黑体" w:cs="Times New Roman"/>
                <w:color w:val="auto"/>
                <w:sz w:val="24"/>
                <w:highlight w:val="none"/>
                <w:lang w:val="en-US" w:eastAsia="zh-CN"/>
              </w:rPr>
              <w:t>《安徽省低挥发性有机物含量原辅材料替代工作方案》（皖环发〔2024〕1号）</w:t>
            </w:r>
            <w:r>
              <w:rPr>
                <w:rFonts w:hint="eastAsia" w:ascii="Times New Roman" w:hAnsi="黑体" w:eastAsia="黑体" w:cs="Times New Roman"/>
                <w:color w:val="auto"/>
                <w:sz w:val="24"/>
                <w:highlight w:val="none"/>
              </w:rPr>
              <w:t>符合</w:t>
            </w:r>
            <w:r>
              <w:rPr>
                <w:rFonts w:hint="default" w:ascii="Times New Roman" w:hAnsi="黑体" w:eastAsia="黑体" w:cs="Times New Roman"/>
                <w:color w:val="auto"/>
                <w:sz w:val="24"/>
                <w:highlight w:val="none"/>
              </w:rPr>
              <w:t>性分析</w:t>
            </w:r>
          </w:p>
          <w:tbl>
            <w:tblPr>
              <w:tblStyle w:val="20"/>
              <w:tblW w:w="4998" w:type="pct"/>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5"/>
              <w:gridCol w:w="3464"/>
              <w:gridCol w:w="3189"/>
              <w:gridCol w:w="1101"/>
            </w:tblGrid>
            <w:tr w14:paraId="0C59635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tcBorders>
                    <w:top w:val="single" w:color="auto" w:sz="12" w:space="0"/>
                  </w:tcBorders>
                  <w:noWrap w:val="0"/>
                  <w:vAlign w:val="center"/>
                </w:tcPr>
                <w:p w14:paraId="14A04D9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064" w:type="pct"/>
                  <w:tcBorders>
                    <w:top w:val="single" w:color="auto" w:sz="12" w:space="0"/>
                  </w:tcBorders>
                  <w:noWrap w:val="0"/>
                  <w:vAlign w:val="center"/>
                </w:tcPr>
                <w:p w14:paraId="72CF577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政策条款原文</w:t>
                  </w:r>
                </w:p>
              </w:tc>
              <w:tc>
                <w:tcPr>
                  <w:tcW w:w="1900" w:type="pct"/>
                  <w:tcBorders>
                    <w:top w:val="single" w:color="auto" w:sz="12" w:space="0"/>
                  </w:tcBorders>
                  <w:noWrap w:val="0"/>
                  <w:vAlign w:val="center"/>
                </w:tcPr>
                <w:p w14:paraId="2DB6E5B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本项目情况</w:t>
                  </w:r>
                </w:p>
              </w:tc>
              <w:tc>
                <w:tcPr>
                  <w:tcW w:w="656" w:type="pct"/>
                  <w:tcBorders>
                    <w:top w:val="single" w:color="auto" w:sz="12" w:space="0"/>
                  </w:tcBorders>
                  <w:noWrap w:val="0"/>
                  <w:vAlign w:val="center"/>
                </w:tcPr>
                <w:p w14:paraId="3A78563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相符性</w:t>
                  </w:r>
                </w:p>
              </w:tc>
            </w:tr>
            <w:tr w14:paraId="628E5C4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07308A7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3464" w:type="dxa"/>
                  <w:noWrap w:val="0"/>
                  <w:vAlign w:val="center"/>
                </w:tcPr>
                <w:p w14:paraId="63DB336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工业涂装、包装印刷、竹木加工、家具制造、汽车修理与维护、鞋和皮革制品制造等重点行业企业，要按照《低挥发性有机物含量原辅材料源头替代技术指引（试行）》要求，开展低VOCs原辅材料和生产方式替代，优化管控台账及档案管理</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"https://www.aqitech.cn/h-nd-287.html?fromColId=105" \l "_np=105_416"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"https://www.ahjd.gov.cn/PolicyContent/show/17201.html"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t>。</w:t>
                  </w:r>
                </w:p>
              </w:tc>
              <w:tc>
                <w:tcPr>
                  <w:tcW w:w="3189" w:type="dxa"/>
                  <w:noWrap w:val="0"/>
                  <w:vAlign w:val="center"/>
                </w:tcPr>
                <w:p w14:paraId="3A19425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本项目属于C3042特种玻璃制造，不属于方案所列重点行业。项目使用高反射膜材料（溶剂型油墨），</w:t>
                  </w:r>
                  <w:r>
                    <w:rPr>
                      <w:rFonts w:hint="eastAsia" w:ascii="Times New Roman" w:hAnsi="Times New Roman" w:eastAsia="宋体" w:cs="Times New Roman"/>
                      <w:color w:val="auto"/>
                      <w:szCs w:val="21"/>
                      <w:highlight w:val="none"/>
                      <w:lang w:val="en-US" w:eastAsia="zh-CN"/>
                    </w:rPr>
                    <w:t>挥发性有机物</w:t>
                  </w:r>
                  <w:r>
                    <w:rPr>
                      <w:rFonts w:hint="default" w:ascii="Times New Roman" w:hAnsi="Times New Roman" w:eastAsia="宋体" w:cs="Times New Roman"/>
                      <w:color w:val="auto"/>
                      <w:szCs w:val="21"/>
                      <w:highlight w:val="none"/>
                      <w:lang w:val="en-US" w:eastAsia="zh-CN"/>
                    </w:rPr>
                    <w:t>含量6%~10%。</w:t>
                  </w:r>
                  <w:r>
                    <w:rPr>
                      <w:rFonts w:hint="eastAsia" w:ascii="Times New Roman" w:hAnsi="Times New Roman" w:eastAsia="宋体" w:cs="Times New Roman"/>
                      <w:color w:val="auto"/>
                      <w:szCs w:val="21"/>
                      <w:highlight w:val="none"/>
                      <w:lang w:val="en-US" w:eastAsia="zh-CN"/>
                    </w:rPr>
                    <w:t>并要求</w:t>
                  </w:r>
                  <w:r>
                    <w:rPr>
                      <w:rFonts w:hint="default" w:ascii="Times New Roman" w:hAnsi="Times New Roman" w:eastAsia="宋体" w:cs="Times New Roman"/>
                      <w:color w:val="auto"/>
                      <w:szCs w:val="21"/>
                      <w:highlight w:val="none"/>
                      <w:lang w:val="en-US" w:eastAsia="zh-CN"/>
                    </w:rPr>
                    <w:t>企业建立原辅材料台账并记录VOCs含量信息。</w:t>
                  </w:r>
                </w:p>
              </w:tc>
              <w:tc>
                <w:tcPr>
                  <w:tcW w:w="1101" w:type="dxa"/>
                  <w:noWrap w:val="0"/>
                  <w:vAlign w:val="center"/>
                </w:tcPr>
                <w:p w14:paraId="4562BC5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05E76E6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3AFF73F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3464" w:type="dxa"/>
                  <w:noWrap w:val="0"/>
                  <w:vAlign w:val="center"/>
                </w:tcPr>
                <w:p w14:paraId="6A4823C9">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对涉VOCs重点行业和使用溶剂型涂料、油墨、胶粘剂、清洗剂的企业全面纳入源头替代企业排查台账；对无法替代的，要开展论证核实并逐一说明理由</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"https://www.tl.gov.cn/openness/Xzgfxwjk/show/2380.html"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"https://www.aqitech.cn/h-nd-287.html?fromColId=105" \l "_np=105_416"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t>。</w:t>
                  </w:r>
                </w:p>
              </w:tc>
              <w:tc>
                <w:tcPr>
                  <w:tcW w:w="3189" w:type="dxa"/>
                  <w:noWrap w:val="0"/>
                  <w:vAlign w:val="center"/>
                </w:tcPr>
                <w:p w14:paraId="7DD525C6">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w:t>
                  </w:r>
                  <w:r>
                    <w:rPr>
                      <w:rFonts w:hint="default" w:ascii="Times New Roman" w:hAnsi="Times New Roman" w:eastAsia="宋体" w:cs="Times New Roman"/>
                      <w:color w:val="auto"/>
                      <w:szCs w:val="21"/>
                      <w:highlight w:val="none"/>
                      <w:lang w:val="en-US" w:eastAsia="zh-CN"/>
                    </w:rPr>
                    <w:t>高反射膜材料VOCs含量为6%~10%，符合《油墨中可挥发性有机化合物</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VOCs</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含量的限值》（GB 38507-2020）中溶剂油墨喷墨印刷油墨≤90%的限值要求。</w:t>
                  </w:r>
                </w:p>
              </w:tc>
              <w:tc>
                <w:tcPr>
                  <w:tcW w:w="1101" w:type="dxa"/>
                  <w:noWrap w:val="0"/>
                  <w:vAlign w:val="center"/>
                </w:tcPr>
                <w:p w14:paraId="3B4310AE">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39750A7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35B91382">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3464" w:type="dxa"/>
                  <w:noWrap w:val="0"/>
                  <w:vAlign w:val="center"/>
                </w:tcPr>
                <w:p w14:paraId="5071064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工业涂装、包装印刷、竹木加工、家具制造、汽车修理与维护、鞋和皮革制品制造等重点行业企业，要按照《低挥发性有机物含量原辅材料源头替代技术指引（试行）》要求，开展低VOCs原辅材料和生产方式替代，优化管控台账及档案管理</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"https://www.aqitech.cn/h-nd-287.html?fromColId=105" \l "_np=105_416"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"https://www.ahjd.gov.cn/PolicyContent/show/17201.html"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t>。</w:t>
                  </w:r>
                </w:p>
              </w:tc>
              <w:tc>
                <w:tcPr>
                  <w:tcW w:w="3189" w:type="dxa"/>
                  <w:noWrap w:val="0"/>
                  <w:vAlign w:val="center"/>
                </w:tcPr>
                <w:p w14:paraId="2632A5AC">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属于C3042特种玻璃制造，不属于工业涂装、包装印刷、竹木加工、家具制造、汽车修理与维护、鞋和皮革制品制造等重点行业。项目使用高反射膜材料（溶剂型油墨），VOCs含量6%~10%。企业建立原辅材料台账并记录VOCs含量信息。</w:t>
                  </w:r>
                </w:p>
              </w:tc>
              <w:tc>
                <w:tcPr>
                  <w:tcW w:w="1101" w:type="dxa"/>
                  <w:noWrap w:val="0"/>
                  <w:vAlign w:val="center"/>
                </w:tcPr>
                <w:p w14:paraId="41C63B4F">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14E7661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7E7CDC47">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3464" w:type="dxa"/>
                  <w:noWrap w:val="0"/>
                  <w:vAlign w:val="center"/>
                </w:tcPr>
                <w:p w14:paraId="1DA10727">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禁</w:t>
                  </w:r>
                  <w:r>
                    <w:rPr>
                      <w:rFonts w:hint="default" w:ascii="Times New Roman" w:hAnsi="Times New Roman" w:eastAsia="宋体" w:cs="Times New Roman"/>
                      <w:color w:val="auto"/>
                      <w:szCs w:val="21"/>
                      <w:highlight w:val="none"/>
                      <w:lang w:val="en-US" w:eastAsia="zh-CN"/>
                    </w:rPr>
                    <w:t>止建设生产和使用高VOCs含量的溶剂型涂料、油墨、胶黏剂等项目，全省工业涂装、包装印刷等重点行业和涂料、油墨等生产企业的新（改、扩）建项目需满足低（无）VOCs含量限值要求</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"https://www.aqitech.cn/h-nd-287.html?fromColId=105" \l "_np=105_416"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"https://www.shucheng.gov.cn/group3/M00/6B/83/wKgSG2ZdcPCAe5tbADdK-bl5Je4363.pdf" \l "22#3"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t>。</w:t>
                  </w:r>
                </w:p>
              </w:tc>
              <w:tc>
                <w:tcPr>
                  <w:tcW w:w="3189" w:type="dxa"/>
                  <w:noWrap w:val="0"/>
                  <w:vAlign w:val="center"/>
                </w:tcPr>
                <w:p w14:paraId="1CD82EB3">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本项目使用的丝印油墨为高反射膜材料，</w:t>
                  </w:r>
                  <w:r>
                    <w:rPr>
                      <w:rFonts w:hint="eastAsia" w:ascii="Times New Roman" w:hAnsi="Times New Roman" w:eastAsia="宋体" w:cs="Times New Roman"/>
                      <w:color w:val="auto"/>
                      <w:szCs w:val="21"/>
                      <w:highlight w:val="none"/>
                      <w:lang w:val="en-US" w:eastAsia="zh-CN"/>
                    </w:rPr>
                    <w:t>挥发性有机物</w:t>
                  </w:r>
                  <w:r>
                    <w:rPr>
                      <w:rFonts w:hint="default" w:ascii="Times New Roman" w:hAnsi="Times New Roman" w:eastAsia="宋体" w:cs="Times New Roman"/>
                      <w:color w:val="auto"/>
                      <w:szCs w:val="21"/>
                      <w:highlight w:val="none"/>
                      <w:lang w:val="en-US" w:eastAsia="zh-CN"/>
                    </w:rPr>
                    <w:t>含量6%~10%</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不属于高挥发性有机物含量的油墨。</w:t>
                  </w:r>
                </w:p>
              </w:tc>
              <w:tc>
                <w:tcPr>
                  <w:tcW w:w="1101" w:type="dxa"/>
                  <w:noWrap w:val="0"/>
                  <w:vAlign w:val="center"/>
                </w:tcPr>
                <w:p w14:paraId="2DE109A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r w14:paraId="6F7709F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79" w:type="pct"/>
                  <w:noWrap w:val="0"/>
                  <w:vAlign w:val="center"/>
                </w:tcPr>
                <w:p w14:paraId="2D116BB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p>
              </w:tc>
              <w:tc>
                <w:tcPr>
                  <w:tcW w:w="3464" w:type="dxa"/>
                  <w:noWrap w:val="0"/>
                  <w:vAlign w:val="center"/>
                </w:tcPr>
                <w:p w14:paraId="4308C185">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已经完全实施低VOCs含量清洁原料替代，排放浓度稳定达标且排放速率、排放绩效等满足相关规定的企业，可纳入正面清单管理，相应生产工序可不要求建设末端治理设施</w:t>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"https://www.tl.gov.cn/openness/Xzgfxwjk/show/2380.html"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fldChar w:fldCharType="begin"/>
                  </w:r>
                  <w:r>
                    <w:rPr>
                      <w:rFonts w:hint="default" w:ascii="Times New Roman" w:hAnsi="Times New Roman" w:eastAsia="宋体" w:cs="Times New Roman"/>
                      <w:color w:val="auto"/>
                      <w:szCs w:val="21"/>
                      <w:highlight w:val="none"/>
                      <w:lang w:val="en-US" w:eastAsia="zh-CN"/>
                    </w:rPr>
                    <w:instrText xml:space="preserve"> HYPERLINK "https://www.aqitech.cn/h-nd-287.html?fromColId=105" \l "_np=105_416" \t "https://chat.deepseek.com/a/chat/s/_blank" </w:instrText>
                  </w:r>
                  <w:r>
                    <w:rPr>
                      <w:rFonts w:hint="default" w:ascii="Times New Roman" w:hAnsi="Times New Roman" w:eastAsia="宋体" w:cs="Times New Roman"/>
                      <w:color w:val="auto"/>
                      <w:szCs w:val="21"/>
                      <w:highlight w:val="none"/>
                      <w:lang w:val="en-US" w:eastAsia="zh-CN"/>
                    </w:rPr>
                    <w:fldChar w:fldCharType="separate"/>
                  </w:r>
                  <w:r>
                    <w:rPr>
                      <w:rFonts w:hint="default" w:ascii="Times New Roman" w:hAnsi="Times New Roman" w:eastAsia="宋体" w:cs="Times New Roman"/>
                      <w:color w:val="auto"/>
                      <w:szCs w:val="21"/>
                      <w:highlight w:val="none"/>
                      <w:lang w:val="en-US" w:eastAsia="zh-CN"/>
                    </w:rPr>
                    <w:fldChar w:fldCharType="end"/>
                  </w:r>
                  <w:r>
                    <w:rPr>
                      <w:rFonts w:hint="default" w:ascii="Times New Roman" w:hAnsi="Times New Roman" w:eastAsia="宋体" w:cs="Times New Roman"/>
                      <w:color w:val="auto"/>
                      <w:szCs w:val="21"/>
                      <w:highlight w:val="none"/>
                      <w:lang w:val="en-US" w:eastAsia="zh-CN"/>
                    </w:rPr>
                    <w:t>。</w:t>
                  </w:r>
                </w:p>
              </w:tc>
              <w:tc>
                <w:tcPr>
                  <w:tcW w:w="3189" w:type="dxa"/>
                  <w:noWrap w:val="0"/>
                  <w:vAlign w:val="center"/>
                </w:tcPr>
                <w:p w14:paraId="2DD6236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本项目丝印、固化废气采用“集气罩/密闭管道收集+</w:t>
                  </w:r>
                  <w:r>
                    <w:rPr>
                      <w:rFonts w:hint="eastAsia" w:ascii="Times New Roman" w:hAnsi="Times New Roman" w:cs="Times New Roman"/>
                      <w:color w:val="auto"/>
                      <w:szCs w:val="21"/>
                      <w:highlight w:val="none"/>
                      <w:lang w:val="en-US" w:eastAsia="zh-CN"/>
                    </w:rPr>
                    <w:t>两级活性炭</w:t>
                  </w:r>
                  <w:r>
                    <w:rPr>
                      <w:rFonts w:hint="default" w:ascii="Times New Roman" w:hAnsi="Times New Roman" w:eastAsia="宋体" w:cs="Times New Roman"/>
                      <w:color w:val="auto"/>
                      <w:szCs w:val="21"/>
                      <w:highlight w:val="none"/>
                      <w:lang w:val="en-US" w:eastAsia="zh-CN"/>
                    </w:rPr>
                    <w:t>”处理后经15m高DA001排气筒排放，处理效率90%。</w:t>
                  </w:r>
                </w:p>
              </w:tc>
              <w:tc>
                <w:tcPr>
                  <w:tcW w:w="1101" w:type="dxa"/>
                  <w:noWrap w:val="0"/>
                  <w:vAlign w:val="center"/>
                </w:tcPr>
                <w:p w14:paraId="11E47D9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符合</w:t>
                  </w:r>
                </w:p>
              </w:tc>
            </w:tr>
          </w:tbl>
          <w:p w14:paraId="69B246F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lang w:val="en-US" w:eastAsia="zh-CN"/>
              </w:rPr>
            </w:pPr>
          </w:p>
          <w:p w14:paraId="7DAF42A8">
            <w:pPr>
              <w:pStyle w:val="19"/>
              <w:rPr>
                <w:rFonts w:ascii="Times New Roman" w:hAnsi="Times New Roman"/>
                <w:color w:val="auto"/>
                <w:sz w:val="24"/>
                <w:szCs w:val="28"/>
                <w:highlight w:val="none"/>
              </w:rPr>
            </w:pPr>
          </w:p>
          <w:p w14:paraId="2068BBDB">
            <w:pPr>
              <w:rPr>
                <w:rFonts w:ascii="Times New Roman" w:hAnsi="Times New Roman"/>
                <w:color w:val="auto"/>
                <w:sz w:val="24"/>
                <w:szCs w:val="28"/>
                <w:highlight w:val="none"/>
              </w:rPr>
            </w:pPr>
          </w:p>
          <w:p w14:paraId="62B92991">
            <w:pPr>
              <w:pStyle w:val="19"/>
              <w:rPr>
                <w:rFonts w:ascii="Times New Roman" w:hAnsi="Times New Roman"/>
                <w:color w:val="auto"/>
                <w:sz w:val="24"/>
                <w:szCs w:val="28"/>
                <w:highlight w:val="none"/>
              </w:rPr>
            </w:pPr>
          </w:p>
          <w:p w14:paraId="49855CBE">
            <w:pPr>
              <w:rPr>
                <w:rFonts w:ascii="Times New Roman" w:hAnsi="Times New Roman"/>
                <w:color w:val="auto"/>
                <w:sz w:val="24"/>
                <w:szCs w:val="28"/>
                <w:highlight w:val="none"/>
              </w:rPr>
            </w:pPr>
          </w:p>
          <w:p w14:paraId="47730DB8">
            <w:pPr>
              <w:pStyle w:val="19"/>
              <w:rPr>
                <w:color w:val="auto"/>
                <w:highlight w:val="none"/>
              </w:rPr>
            </w:pPr>
          </w:p>
        </w:tc>
      </w:tr>
    </w:tbl>
    <w:p w14:paraId="4859DA1C">
      <w:pPr>
        <w:ind w:firstLine="480"/>
        <w:rPr>
          <w:color w:val="auto"/>
          <w:highlight w:val="none"/>
        </w:rPr>
        <w:sectPr>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2924"/>
      </w:tblGrid>
      <w:tr w14:paraId="1293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noWrap w:val="0"/>
            <w:vAlign w:val="top"/>
          </w:tcPr>
          <w:p w14:paraId="0111752A">
            <w:pPr>
              <w:pStyle w:val="19"/>
              <w:rPr>
                <w:color w:val="auto"/>
                <w:highlight w:val="none"/>
                <w:vertAlign w:val="baseline"/>
              </w:rPr>
            </w:pPr>
          </w:p>
        </w:tc>
        <w:tc>
          <w:tcPr>
            <w:tcW w:w="12924" w:type="dxa"/>
            <w:noWrap w:val="0"/>
            <w:vAlign w:val="top"/>
          </w:tcPr>
          <w:p w14:paraId="4705D58D">
            <w:pPr>
              <w:keepNext w:val="0"/>
              <w:keepLines w:val="0"/>
              <w:suppressLineNumbers w:val="0"/>
              <w:spacing w:before="0" w:beforeAutospacing="0" w:after="0" w:afterAutospacing="0" w:line="360" w:lineRule="auto"/>
              <w:ind w:left="0" w:right="0" w:firstLine="482" w:firstLineChars="200"/>
              <w:rPr>
                <w:rFonts w:hint="default" w:ascii="Times New Roman" w:hAnsi="宋体" w:eastAsia="宋体" w:cs="Times New Roman"/>
                <w:color w:val="auto"/>
                <w:sz w:val="24"/>
                <w:highlight w:val="none"/>
              </w:rPr>
            </w:pPr>
            <w:r>
              <w:rPr>
                <w:rFonts w:hint="eastAsia" w:ascii="Times New Roman" w:hAnsi="宋体" w:eastAsia="宋体" w:cs="Times New Roman"/>
                <w:b/>
                <w:bCs/>
                <w:color w:val="auto"/>
                <w:sz w:val="24"/>
                <w:highlight w:val="none"/>
                <w:lang w:val="en-US" w:eastAsia="zh-CN"/>
              </w:rPr>
              <w:t>13、</w:t>
            </w:r>
            <w:r>
              <w:rPr>
                <w:rFonts w:hint="eastAsia" w:ascii="Times New Roman" w:hAnsi="宋体" w:eastAsia="宋体" w:cs="Times New Roman"/>
                <w:b/>
                <w:bCs/>
                <w:color w:val="auto"/>
                <w:sz w:val="24"/>
                <w:highlight w:val="none"/>
              </w:rPr>
              <w:t>与《淮南市涉气建设项目环评审批负面清单》的相符性分析</w:t>
            </w:r>
          </w:p>
          <w:p w14:paraId="36F3C603">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color w:val="auto"/>
                <w:sz w:val="24"/>
                <w:highlight w:val="none"/>
              </w:rPr>
            </w:pPr>
            <w:r>
              <w:rPr>
                <w:rFonts w:hint="default" w:ascii="Times New Roman" w:hAnsi="黑体"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1-15</w:t>
            </w:r>
            <w:r>
              <w:rPr>
                <w:rFonts w:hint="default" w:ascii="Times New Roman" w:hAnsi="Times New Roman" w:eastAsia="黑体" w:cs="Times New Roman"/>
                <w:color w:val="auto"/>
                <w:sz w:val="24"/>
                <w:szCs w:val="24"/>
                <w:highlight w:val="none"/>
              </w:rPr>
              <w:t xml:space="preserve"> </w:t>
            </w:r>
            <w:r>
              <w:rPr>
                <w:rFonts w:hint="default" w:ascii="Times New Roman" w:hAnsi="黑体" w:eastAsia="黑体" w:cs="Times New Roman"/>
                <w:color w:val="auto"/>
                <w:sz w:val="24"/>
                <w:szCs w:val="24"/>
                <w:highlight w:val="none"/>
              </w:rPr>
              <w:t>项目与《</w:t>
            </w:r>
            <w:r>
              <w:rPr>
                <w:rFonts w:hint="default" w:ascii="Times New Roman" w:hAnsi="黑体" w:eastAsia="黑体" w:cs="Times New Roman"/>
                <w:color w:val="auto"/>
                <w:sz w:val="24"/>
                <w:highlight w:val="none"/>
              </w:rPr>
              <w:t>淮南市涉气建设项目环评审批负面清单</w:t>
            </w:r>
            <w:r>
              <w:rPr>
                <w:rFonts w:hint="default" w:ascii="Times New Roman" w:hAnsi="黑体" w:eastAsia="黑体" w:cs="Times New Roman"/>
                <w:color w:val="auto"/>
                <w:sz w:val="24"/>
                <w:szCs w:val="24"/>
                <w:highlight w:val="none"/>
              </w:rPr>
              <w:t>》符合性分析</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03"/>
              <w:gridCol w:w="1535"/>
              <w:gridCol w:w="3098"/>
              <w:gridCol w:w="3314"/>
              <w:gridCol w:w="2638"/>
              <w:gridCol w:w="1320"/>
            </w:tblGrid>
            <w:tr w14:paraId="4435D8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2A304C1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604" w:type="pct"/>
                  <w:noWrap w:val="0"/>
                  <w:vAlign w:val="center"/>
                </w:tcPr>
                <w:p w14:paraId="7B490A1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重点工作任务</w:t>
                  </w:r>
                </w:p>
              </w:tc>
              <w:tc>
                <w:tcPr>
                  <w:tcW w:w="1219" w:type="pct"/>
                  <w:noWrap w:val="0"/>
                  <w:vAlign w:val="center"/>
                </w:tcPr>
                <w:p w14:paraId="01415E0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推进举措</w:t>
                  </w:r>
                </w:p>
              </w:tc>
              <w:tc>
                <w:tcPr>
                  <w:tcW w:w="1304" w:type="pct"/>
                  <w:noWrap w:val="0"/>
                  <w:vAlign w:val="center"/>
                </w:tcPr>
                <w:p w14:paraId="587B17A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环评审批的负面清单</w:t>
                  </w:r>
                </w:p>
              </w:tc>
              <w:tc>
                <w:tcPr>
                  <w:tcW w:w="1038" w:type="pct"/>
                  <w:noWrap w:val="0"/>
                  <w:vAlign w:val="center"/>
                </w:tcPr>
                <w:p w14:paraId="4B95387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本项目情况</w:t>
                  </w:r>
                </w:p>
              </w:tc>
              <w:tc>
                <w:tcPr>
                  <w:tcW w:w="515" w:type="pct"/>
                  <w:noWrap w:val="0"/>
                  <w:vAlign w:val="center"/>
                </w:tcPr>
                <w:p w14:paraId="7B4C749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是否属于负面清单情形</w:t>
                  </w:r>
                </w:p>
              </w:tc>
            </w:tr>
            <w:tr w14:paraId="7CC11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3FAA75C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（一）坚决遏制高耗能、高排放、低水平项目盲目上马</w:t>
                  </w:r>
                </w:p>
              </w:tc>
            </w:tr>
            <w:tr w14:paraId="0F63D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67277DB8">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604" w:type="pct"/>
                  <w:noWrap w:val="0"/>
                  <w:vAlign w:val="center"/>
                </w:tcPr>
                <w:p w14:paraId="6D5B8193">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新改扩建项目严格落实国家产业政策</w:t>
                  </w:r>
                  <w:r>
                    <w:rPr>
                      <w:rFonts w:hint="default" w:ascii="宋体" w:hAnsi="宋体" w:eastAsia="宋体" w:cs="Times New Roman"/>
                      <w:color w:val="auto"/>
                      <w:szCs w:val="21"/>
                      <w:highlight w:val="none"/>
                    </w:rPr>
                    <w:t>要求，严把“两高”项</w:t>
                  </w:r>
                  <w:r>
                    <w:rPr>
                      <w:rFonts w:hint="default" w:ascii="Times New Roman" w:hAnsi="Times New Roman" w:eastAsia="宋体" w:cs="Times New Roman"/>
                      <w:color w:val="auto"/>
                      <w:szCs w:val="21"/>
                      <w:highlight w:val="none"/>
                    </w:rPr>
                    <w:t>目审批</w:t>
                  </w:r>
                </w:p>
              </w:tc>
              <w:tc>
                <w:tcPr>
                  <w:tcW w:w="1219" w:type="pct"/>
                  <w:noWrap w:val="0"/>
                  <w:vAlign w:val="center"/>
                </w:tcPr>
                <w:p w14:paraId="5ACA759C">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改扩建项目严格落实国家产业规划、产业政策、生态环境分区管控方案、规划环评、项目环评、节能审查、产能置换、重点污染物总量控制、污染物排放区域削减、碳排放达峰目标等相关要求，原则上采用清洁运输方式。实</w:t>
                  </w:r>
                  <w:r>
                    <w:rPr>
                      <w:rFonts w:hint="default" w:ascii="宋体" w:hAnsi="宋体" w:eastAsia="宋体" w:cs="Times New Roman"/>
                      <w:color w:val="auto"/>
                      <w:szCs w:val="21"/>
                      <w:highlight w:val="none"/>
                    </w:rPr>
                    <w:t>施“高污染、高耗能”项</w:t>
                  </w:r>
                  <w:r>
                    <w:rPr>
                      <w:rFonts w:hint="default" w:ascii="Times New Roman" w:hAnsi="Times New Roman" w:eastAsia="宋体" w:cs="Times New Roman"/>
                      <w:color w:val="auto"/>
                      <w:szCs w:val="21"/>
                      <w:highlight w:val="none"/>
                    </w:rPr>
                    <w:t>目部门联审，严格论证项目建设必要性、可行性，推动行业集约发展和绿色转型</w:t>
                  </w:r>
                </w:p>
              </w:tc>
              <w:tc>
                <w:tcPr>
                  <w:tcW w:w="1304" w:type="pct"/>
                  <w:noWrap w:val="0"/>
                  <w:vAlign w:val="center"/>
                </w:tcPr>
                <w:p w14:paraId="0FB1AB1B">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1、新改扩建项目严格落实国家产业规划、产业政策、生态环境分区管控方案、规划环评、项目环评、节能审查、产能置换、重点污染物总量控制、污染物排放区域削减、碳排放达峰目标等相关要求；</w:t>
                  </w:r>
                </w:p>
                <w:p w14:paraId="1E9B49A4">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hint="eastAsia" w:ascii="Times New Roman" w:hAnsi="Times New Roman" w:cs="Times New Roman"/>
                      <w:color w:val="auto"/>
                      <w:szCs w:val="21"/>
                      <w:highlight w:val="none"/>
                      <w:lang w:eastAsia="zh-CN"/>
                    </w:rPr>
                    <w:t>“两高”项目</w:t>
                  </w:r>
                  <w:r>
                    <w:rPr>
                      <w:rFonts w:hint="default" w:ascii="Times New Roman" w:hAnsi="Times New Roman" w:eastAsia="宋体" w:cs="Times New Roman"/>
                      <w:color w:val="auto"/>
                      <w:szCs w:val="21"/>
                      <w:highlight w:val="none"/>
                    </w:rPr>
                    <w:t>应实施部门联审</w:t>
                  </w:r>
                </w:p>
              </w:tc>
              <w:tc>
                <w:tcPr>
                  <w:tcW w:w="1038" w:type="pct"/>
                  <w:noWrap w:val="0"/>
                  <w:vAlign w:val="center"/>
                </w:tcPr>
                <w:p w14:paraId="08DB6980">
                  <w:pPr>
                    <w:keepNext w:val="0"/>
                    <w:keepLines w:val="0"/>
                    <w:suppressLineNumbers w:val="0"/>
                    <w:autoSpaceDE w:val="0"/>
                    <w:autoSpaceDN w:val="0"/>
                    <w:spacing w:before="0" w:beforeAutospacing="0" w:after="0" w:afterAutospacing="0" w:line="276" w:lineRule="auto"/>
                    <w:ind w:left="0" w:right="0"/>
                    <w:jc w:val="center"/>
                    <w:rPr>
                      <w:rFonts w:hint="eastAsia" w:ascii="Times New Roman" w:hAnsi="Times New Roman" w:eastAsia="宋体" w:cs="Times New Roman"/>
                      <w:color w:val="auto"/>
                      <w:szCs w:val="21"/>
                      <w:highlight w:val="none"/>
                      <w:lang w:eastAsia="zh-CN"/>
                    </w:rPr>
                  </w:pPr>
                  <w:r>
                    <w:rPr>
                      <w:rFonts w:hint="eastAsia" w:ascii="Times New Roman" w:hAnsi="宋体" w:eastAsia="宋体" w:cs="Times New Roman"/>
                      <w:color w:val="auto"/>
                      <w:szCs w:val="21"/>
                      <w:highlight w:val="none"/>
                      <w:lang w:val="en-US" w:eastAsia="zh-CN"/>
                    </w:rPr>
                    <w:t>本项目主要从事特种玻璃制造</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对照《产业结构调整指导目录</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20</w:t>
                  </w:r>
                  <w:r>
                    <w:rPr>
                      <w:rFonts w:hint="eastAsia" w:ascii="Times New Roman" w:hAnsi="Times New Roman" w:eastAsia="宋体" w:cs="Times New Roman"/>
                      <w:color w:val="auto"/>
                      <w:szCs w:val="21"/>
                      <w:highlight w:val="none"/>
                    </w:rPr>
                    <w:t>24</w:t>
                  </w:r>
                  <w:r>
                    <w:rPr>
                      <w:rFonts w:hint="default" w:ascii="Times New Roman" w:hAnsi="Times New Roman" w:eastAsia="宋体" w:cs="Times New Roman"/>
                      <w:color w:val="auto"/>
                      <w:szCs w:val="21"/>
                      <w:highlight w:val="none"/>
                    </w:rPr>
                    <w:t>年本</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》，本项目不属于限制类或淘汰类项目</w:t>
                  </w:r>
                  <w:r>
                    <w:rPr>
                      <w:rFonts w:hint="eastAsia" w:ascii="Times New Roman" w:hAnsi="Times New Roman" w:eastAsia="宋体" w:cs="Times New Roman"/>
                      <w:color w:val="auto"/>
                      <w:szCs w:val="21"/>
                      <w:highlight w:val="none"/>
                    </w:rPr>
                    <w:t>，视为允许建设项目，本项目建设符合国家产业政策要求；对照</w:t>
                  </w:r>
                  <w:r>
                    <w:rPr>
                      <w:rFonts w:hint="default" w:ascii="Times New Roman" w:hAnsi="Times New Roman" w:eastAsia="宋体" w:cs="Times New Roman"/>
                      <w:color w:val="auto"/>
                      <w:szCs w:val="21"/>
                      <w:highlight w:val="none"/>
                    </w:rPr>
                    <w:t>《安徽</w:t>
                  </w:r>
                  <w:r>
                    <w:rPr>
                      <w:rFonts w:hint="eastAsia" w:ascii="宋体" w:hAnsi="宋体" w:eastAsia="宋体" w:cs="宋体"/>
                      <w:color w:val="auto"/>
                      <w:szCs w:val="21"/>
                      <w:highlight w:val="none"/>
                    </w:rPr>
                    <w:t>省“两高”项目重点管理范围</w:t>
                  </w:r>
                  <w:r>
                    <w:rPr>
                      <w:rFonts w:hint="eastAsia" w:ascii="宋体" w:hAnsi="宋体" w:cs="宋体"/>
                      <w:color w:val="auto"/>
                      <w:szCs w:val="21"/>
                      <w:highlight w:val="none"/>
                      <w:lang w:eastAsia="zh-CN"/>
                    </w:rPr>
                    <w:t>（</w:t>
                  </w:r>
                  <w:r>
                    <w:rPr>
                      <w:rFonts w:hint="default" w:ascii="Times New Roman" w:hAnsi="Times New Roman" w:eastAsia="宋体" w:cs="Times New Roman"/>
                      <w:color w:val="auto"/>
                      <w:szCs w:val="21"/>
                      <w:highlight w:val="none"/>
                    </w:rPr>
                    <w:t>2025</w:t>
                  </w:r>
                  <w:r>
                    <w:rPr>
                      <w:rFonts w:hint="eastAsia" w:ascii="宋体" w:hAnsi="宋体" w:eastAsia="宋体" w:cs="宋体"/>
                      <w:color w:val="auto"/>
                      <w:szCs w:val="21"/>
                      <w:highlight w:val="none"/>
                    </w:rPr>
                    <w:t>年版</w:t>
                  </w:r>
                  <w:r>
                    <w:rPr>
                      <w:rFonts w:hint="eastAsia" w:ascii="宋体" w:hAnsi="宋体" w:cs="宋体"/>
                      <w:color w:val="auto"/>
                      <w:szCs w:val="21"/>
                      <w:highlight w:val="none"/>
                      <w:lang w:eastAsia="zh-CN"/>
                    </w:rPr>
                    <w:t>）</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本项目不属于</w:t>
                  </w:r>
                  <w:r>
                    <w:rPr>
                      <w:rFonts w:hint="eastAsia" w:ascii="Times New Roman" w:hAnsi="Times New Roman" w:eastAsia="宋体" w:cs="Times New Roman"/>
                      <w:color w:val="auto"/>
                      <w:szCs w:val="21"/>
                      <w:highlight w:val="none"/>
                    </w:rPr>
                    <w:t>高</w:t>
                  </w:r>
                  <w:r>
                    <w:rPr>
                      <w:rFonts w:hint="default" w:ascii="Times New Roman" w:hAnsi="Times New Roman" w:eastAsia="宋体" w:cs="Times New Roman"/>
                      <w:color w:val="auto"/>
                      <w:szCs w:val="21"/>
                      <w:highlight w:val="none"/>
                    </w:rPr>
                    <w:t>耗能</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高排放项目</w:t>
                  </w:r>
                  <w:r>
                    <w:rPr>
                      <w:rFonts w:hint="eastAsia" w:ascii="Times New Roman" w:hAnsi="Times New Roman" w:eastAsia="宋体" w:cs="Times New Roman"/>
                      <w:color w:val="auto"/>
                      <w:szCs w:val="21"/>
                      <w:highlight w:val="none"/>
                      <w:lang w:eastAsia="zh-CN"/>
                    </w:rPr>
                    <w:t>。</w:t>
                  </w:r>
                </w:p>
              </w:tc>
              <w:tc>
                <w:tcPr>
                  <w:tcW w:w="515" w:type="pct"/>
                  <w:noWrap w:val="0"/>
                  <w:vAlign w:val="center"/>
                </w:tcPr>
                <w:p w14:paraId="2BA30B14">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不属于</w:t>
                  </w:r>
                </w:p>
              </w:tc>
            </w:tr>
            <w:tr w14:paraId="485FC2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vMerge w:val="restart"/>
                  <w:noWrap w:val="0"/>
                  <w:vAlign w:val="center"/>
                </w:tcPr>
                <w:p w14:paraId="527A7882">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604" w:type="pct"/>
                  <w:vMerge w:val="restart"/>
                  <w:noWrap w:val="0"/>
                  <w:vAlign w:val="center"/>
                </w:tcPr>
                <w:p w14:paraId="40912E2B">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严格落实产能置换要求</w:t>
                  </w:r>
                </w:p>
              </w:tc>
              <w:tc>
                <w:tcPr>
                  <w:tcW w:w="1219" w:type="pct"/>
                  <w:noWrap w:val="0"/>
                  <w:vAlign w:val="center"/>
                </w:tcPr>
                <w:p w14:paraId="1BC8A6D7">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推动产能过剩行业减量发展、优化布局。不以任何名义、任何方式核准、备案产能严重过剩行业新增产能项目</w:t>
                  </w:r>
                </w:p>
              </w:tc>
              <w:tc>
                <w:tcPr>
                  <w:tcW w:w="1304" w:type="pct"/>
                  <w:noWrap w:val="0"/>
                  <w:vAlign w:val="center"/>
                </w:tcPr>
                <w:p w14:paraId="051D18E6">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严重过剩行业新增产能项目环评不予审批</w:t>
                  </w:r>
                </w:p>
              </w:tc>
              <w:tc>
                <w:tcPr>
                  <w:tcW w:w="1038" w:type="pct"/>
                  <w:noWrap w:val="0"/>
                  <w:vAlign w:val="center"/>
                </w:tcPr>
                <w:p w14:paraId="622DEA9C">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本项目</w:t>
                  </w:r>
                  <w:r>
                    <w:rPr>
                      <w:rFonts w:hint="eastAsia" w:ascii="Times New Roman" w:hAnsi="宋体" w:eastAsia="宋体" w:cs="Times New Roman"/>
                      <w:color w:val="auto"/>
                      <w:szCs w:val="21"/>
                      <w:highlight w:val="none"/>
                    </w:rPr>
                    <w:t>不属于产能过剩行业</w:t>
                  </w:r>
                </w:p>
              </w:tc>
              <w:tc>
                <w:tcPr>
                  <w:tcW w:w="515" w:type="pct"/>
                  <w:noWrap w:val="0"/>
                  <w:vAlign w:val="center"/>
                </w:tcPr>
                <w:p w14:paraId="799250E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62D7A1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316" w:type="pct"/>
                  <w:vMerge w:val="continue"/>
                  <w:noWrap w:val="0"/>
                  <w:vAlign w:val="center"/>
                </w:tcPr>
                <w:p w14:paraId="70D1E3F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p>
              </w:tc>
              <w:tc>
                <w:tcPr>
                  <w:tcW w:w="604" w:type="pct"/>
                  <w:vMerge w:val="continue"/>
                  <w:noWrap w:val="0"/>
                  <w:vAlign w:val="center"/>
                </w:tcPr>
                <w:p w14:paraId="65CA285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p>
              </w:tc>
              <w:tc>
                <w:tcPr>
                  <w:tcW w:w="1219" w:type="pct"/>
                  <w:noWrap w:val="0"/>
                  <w:vAlign w:val="center"/>
                </w:tcPr>
                <w:p w14:paraId="56AC4B0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被置换产能及其配套设施关停后，新建项目方可投产</w:t>
                  </w:r>
                </w:p>
              </w:tc>
              <w:tc>
                <w:tcPr>
                  <w:tcW w:w="1304" w:type="pct"/>
                  <w:noWrap w:val="0"/>
                  <w:vAlign w:val="center"/>
                </w:tcPr>
                <w:p w14:paraId="771E83B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涉及产能置换项目环评阶段应取得置换产能</w:t>
                  </w:r>
                </w:p>
              </w:tc>
              <w:tc>
                <w:tcPr>
                  <w:tcW w:w="1038" w:type="pct"/>
                  <w:noWrap w:val="0"/>
                  <w:vAlign w:val="center"/>
                </w:tcPr>
                <w:p w14:paraId="7C917AEF">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不涉及</w:t>
                  </w:r>
                </w:p>
              </w:tc>
              <w:tc>
                <w:tcPr>
                  <w:tcW w:w="515" w:type="pct"/>
                  <w:noWrap w:val="0"/>
                  <w:vAlign w:val="center"/>
                </w:tcPr>
                <w:p w14:paraId="4A007E2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219CB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611BF57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（二）有序推动落后产能淘汰</w:t>
                  </w:r>
                </w:p>
              </w:tc>
            </w:tr>
            <w:tr w14:paraId="7D9F9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vMerge w:val="restart"/>
                  <w:noWrap w:val="0"/>
                  <w:vAlign w:val="center"/>
                </w:tcPr>
                <w:p w14:paraId="32201325">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604" w:type="pct"/>
                  <w:vMerge w:val="restart"/>
                  <w:noWrap w:val="0"/>
                  <w:vAlign w:val="center"/>
                </w:tcPr>
                <w:p w14:paraId="5FEFAD81">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有序推动生产设施老旧、工艺水平落后、环境管理水平低下等企业退出市场</w:t>
                  </w:r>
                </w:p>
              </w:tc>
              <w:tc>
                <w:tcPr>
                  <w:tcW w:w="1219" w:type="pct"/>
                  <w:noWrap w:val="0"/>
                  <w:vAlign w:val="center"/>
                </w:tcPr>
                <w:p w14:paraId="73D980E6">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逐步淘汰步进式烧结机和球团竖炉以及半封闭式硅锰合金、镍铁、高碳铬铁、高碳锰铁电炉。</w:t>
                  </w:r>
                </w:p>
                <w:p w14:paraId="4589B45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有序推动落后煤炭洗选企业退出市场。</w:t>
                  </w:r>
                </w:p>
                <w:p w14:paraId="71F06510">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禁止铝加工（深井铸造）企业新改扩建项目采用固定式保温炉组、钢丝绳铸造机</w:t>
                  </w:r>
                </w:p>
              </w:tc>
              <w:tc>
                <w:tcPr>
                  <w:tcW w:w="1304" w:type="pct"/>
                  <w:noWrap w:val="0"/>
                  <w:vAlign w:val="center"/>
                </w:tcPr>
                <w:p w14:paraId="48B031B3">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采用步进式烧结机和球团竖炉以及半封闭式硅锰合金、镍铁、高碳铬铁、高碳锰铁电炉新建项目环评不予审批</w:t>
                  </w:r>
                </w:p>
              </w:tc>
              <w:tc>
                <w:tcPr>
                  <w:tcW w:w="1038" w:type="pct"/>
                  <w:noWrap w:val="0"/>
                  <w:vAlign w:val="center"/>
                </w:tcPr>
                <w:p w14:paraId="1359F55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不涉及</w:t>
                  </w:r>
                </w:p>
              </w:tc>
              <w:tc>
                <w:tcPr>
                  <w:tcW w:w="515" w:type="pct"/>
                  <w:noWrap w:val="0"/>
                  <w:vAlign w:val="center"/>
                </w:tcPr>
                <w:p w14:paraId="66FEB219">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不属于</w:t>
                  </w:r>
                </w:p>
              </w:tc>
            </w:tr>
            <w:tr w14:paraId="3439D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vMerge w:val="continue"/>
                  <w:noWrap w:val="0"/>
                  <w:vAlign w:val="center"/>
                </w:tcPr>
                <w:p w14:paraId="64712ED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p>
              </w:tc>
              <w:tc>
                <w:tcPr>
                  <w:tcW w:w="604" w:type="pct"/>
                  <w:vMerge w:val="continue"/>
                  <w:noWrap w:val="0"/>
                  <w:vAlign w:val="center"/>
                </w:tcPr>
                <w:p w14:paraId="36776C7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p>
              </w:tc>
              <w:tc>
                <w:tcPr>
                  <w:tcW w:w="1219" w:type="pct"/>
                  <w:noWrap w:val="0"/>
                  <w:vAlign w:val="center"/>
                </w:tcPr>
                <w:p w14:paraId="7EDBC968">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落后煤炭洗选项目不予审批</w:t>
                  </w:r>
                </w:p>
              </w:tc>
              <w:tc>
                <w:tcPr>
                  <w:tcW w:w="1304" w:type="pct"/>
                  <w:noWrap w:val="0"/>
                  <w:vAlign w:val="center"/>
                </w:tcPr>
                <w:p w14:paraId="404062B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落后煤炭洗选项目不予审批</w:t>
                  </w:r>
                </w:p>
              </w:tc>
              <w:tc>
                <w:tcPr>
                  <w:tcW w:w="1038" w:type="pct"/>
                  <w:noWrap w:val="0"/>
                  <w:vAlign w:val="center"/>
                </w:tcPr>
                <w:p w14:paraId="451472E4">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eastAsia="zh-CN"/>
                    </w:rPr>
                  </w:pPr>
                  <w:r>
                    <w:rPr>
                      <w:rFonts w:hint="eastAsia" w:ascii="Times New Roman" w:hAnsi="宋体" w:eastAsia="宋体" w:cs="Times New Roman"/>
                      <w:color w:val="auto"/>
                      <w:szCs w:val="21"/>
                      <w:highlight w:val="none"/>
                      <w:lang w:val="en-US" w:eastAsia="zh-CN"/>
                    </w:rPr>
                    <w:t>不涉及</w:t>
                  </w:r>
                </w:p>
              </w:tc>
              <w:tc>
                <w:tcPr>
                  <w:tcW w:w="515" w:type="pct"/>
                  <w:noWrap w:val="0"/>
                  <w:vAlign w:val="center"/>
                </w:tcPr>
                <w:p w14:paraId="2A392049">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3CAFD2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vMerge w:val="continue"/>
                  <w:noWrap w:val="0"/>
                  <w:vAlign w:val="center"/>
                </w:tcPr>
                <w:p w14:paraId="6737B73B">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p>
              </w:tc>
              <w:tc>
                <w:tcPr>
                  <w:tcW w:w="604" w:type="pct"/>
                  <w:vMerge w:val="continue"/>
                  <w:noWrap w:val="0"/>
                  <w:vAlign w:val="center"/>
                </w:tcPr>
                <w:p w14:paraId="2CF7535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p>
              </w:tc>
              <w:tc>
                <w:tcPr>
                  <w:tcW w:w="1219" w:type="pct"/>
                  <w:noWrap w:val="0"/>
                  <w:vAlign w:val="center"/>
                </w:tcPr>
                <w:p w14:paraId="4691E82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采用固定式保温炉组、钢丝绳铸造机的新改扩建铝加工（深井铸造）项目环评不予审批</w:t>
                  </w:r>
                </w:p>
              </w:tc>
              <w:tc>
                <w:tcPr>
                  <w:tcW w:w="1304" w:type="pct"/>
                  <w:noWrap w:val="0"/>
                  <w:vAlign w:val="center"/>
                </w:tcPr>
                <w:p w14:paraId="0EC1ECA4">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采用固定式保温炉组、钢丝绳铸造机的新改扩建铝加工（深井铸造）项目环评不予审批</w:t>
                  </w:r>
                </w:p>
              </w:tc>
              <w:tc>
                <w:tcPr>
                  <w:tcW w:w="1038" w:type="pct"/>
                  <w:noWrap w:val="0"/>
                  <w:vAlign w:val="center"/>
                </w:tcPr>
                <w:p w14:paraId="63EBDF7E">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不涉及</w:t>
                  </w:r>
                </w:p>
              </w:tc>
              <w:tc>
                <w:tcPr>
                  <w:tcW w:w="515" w:type="pct"/>
                  <w:noWrap w:val="0"/>
                  <w:vAlign w:val="center"/>
                </w:tcPr>
                <w:p w14:paraId="60A4E4BD">
                  <w:pPr>
                    <w:keepNext w:val="0"/>
                    <w:keepLines w:val="0"/>
                    <w:suppressLineNumbers w:val="0"/>
                    <w:autoSpaceDE w:val="0"/>
                    <w:autoSpaceDN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不属于</w:t>
                  </w:r>
                </w:p>
              </w:tc>
            </w:tr>
            <w:tr w14:paraId="43837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7072EBE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604" w:type="pct"/>
                  <w:noWrap w:val="0"/>
                  <w:vAlign w:val="center"/>
                </w:tcPr>
                <w:p w14:paraId="6476F00B">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严禁违规新增产能</w:t>
                  </w:r>
                </w:p>
              </w:tc>
              <w:tc>
                <w:tcPr>
                  <w:tcW w:w="1219" w:type="pct"/>
                  <w:noWrap w:val="0"/>
                  <w:vAlign w:val="center"/>
                </w:tcPr>
                <w:p w14:paraId="7BDF35E3">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严禁违规新增钢铁、水泥（熟料）、焦化、电解铝、平板玻璃（不含光伏压延玻璃）产能</w:t>
                  </w:r>
                </w:p>
              </w:tc>
              <w:tc>
                <w:tcPr>
                  <w:tcW w:w="1304" w:type="pct"/>
                  <w:noWrap w:val="0"/>
                  <w:vAlign w:val="center"/>
                </w:tcPr>
                <w:p w14:paraId="621A1F65">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违规新增钢铁、水泥（熟料）、焦化、电解铝、平板玻璃（不含光伏压延玻璃）产能项目环评不予审批</w:t>
                  </w:r>
                </w:p>
              </w:tc>
              <w:tc>
                <w:tcPr>
                  <w:tcW w:w="1038" w:type="pct"/>
                  <w:noWrap w:val="0"/>
                  <w:vAlign w:val="center"/>
                </w:tcPr>
                <w:p w14:paraId="665CC550">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lang w:val="en-US"/>
                    </w:rPr>
                  </w:pPr>
                  <w:r>
                    <w:rPr>
                      <w:rFonts w:hint="default" w:ascii="Times New Roman" w:hAnsi="宋体" w:eastAsia="宋体" w:cs="Times New Roman"/>
                      <w:color w:val="auto"/>
                      <w:szCs w:val="21"/>
                      <w:highlight w:val="none"/>
                    </w:rPr>
                    <w:t>本项目不属于钢铁、水泥（熟料）、焦化、电解铝、平板玻璃（不含光伏压延玻璃）行业</w:t>
                  </w:r>
                  <w:r>
                    <w:rPr>
                      <w:rFonts w:hint="eastAsia"/>
                      <w:color w:val="auto"/>
                      <w:highlight w:val="none"/>
                      <w:lang w:eastAsia="zh-CN"/>
                    </w:rPr>
                    <w:t>，</w:t>
                  </w:r>
                  <w:r>
                    <w:rPr>
                      <w:rFonts w:hint="eastAsia"/>
                      <w:color w:val="auto"/>
                      <w:highlight w:val="none"/>
                      <w:lang w:val="en-US" w:eastAsia="zh-CN"/>
                    </w:rPr>
                    <w:t>本项目采用玻璃原片进行光伏玻璃生产。</w:t>
                  </w:r>
                </w:p>
              </w:tc>
              <w:tc>
                <w:tcPr>
                  <w:tcW w:w="515" w:type="pct"/>
                  <w:noWrap w:val="0"/>
                  <w:vAlign w:val="center"/>
                </w:tcPr>
                <w:p w14:paraId="4FCEA5E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1980D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7234681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（六）推动煤炭消费减量替代</w:t>
                  </w:r>
                </w:p>
              </w:tc>
            </w:tr>
            <w:tr w14:paraId="1E8D1B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23" w:hRule="atLeast"/>
                <w:jc w:val="center"/>
              </w:trPr>
              <w:tc>
                <w:tcPr>
                  <w:tcW w:w="316" w:type="pct"/>
                  <w:noWrap w:val="0"/>
                  <w:vAlign w:val="center"/>
                </w:tcPr>
                <w:p w14:paraId="05FF9991">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p>
              </w:tc>
              <w:tc>
                <w:tcPr>
                  <w:tcW w:w="604" w:type="pct"/>
                  <w:noWrap w:val="0"/>
                  <w:vAlign w:val="center"/>
                </w:tcPr>
                <w:p w14:paraId="5CCAD850">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推动煤炭等量或减量替代</w:t>
                  </w:r>
                </w:p>
              </w:tc>
              <w:tc>
                <w:tcPr>
                  <w:tcW w:w="1219" w:type="pct"/>
                  <w:noWrap w:val="0"/>
                  <w:vAlign w:val="center"/>
                </w:tcPr>
                <w:p w14:paraId="3C56335D">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重点区域新改扩建用煤项目，依法实行煤炭等量或减量替代，替代方案不完善的能评、环评等不予审批；不得使用石油焦、焦炭、兰炭等高污染燃料作为煤炭减量替代措施</w:t>
                  </w:r>
                </w:p>
              </w:tc>
              <w:tc>
                <w:tcPr>
                  <w:tcW w:w="1304" w:type="pct"/>
                  <w:noWrap w:val="0"/>
                  <w:vAlign w:val="center"/>
                </w:tcPr>
                <w:p w14:paraId="2A80AF7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重点区域新改扩建用煤项目，依法实行煤炭等量或减量替代，替代方案不完善的环评不予审批；不得使用石油焦、焦炭、兰炭等高污染燃料作为煤炭减量替代措施</w:t>
                  </w:r>
                </w:p>
              </w:tc>
              <w:tc>
                <w:tcPr>
                  <w:tcW w:w="1038" w:type="pct"/>
                  <w:noWrap w:val="0"/>
                  <w:vAlign w:val="center"/>
                </w:tcPr>
                <w:p w14:paraId="68A405A8">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eastAsia="zh-CN"/>
                    </w:rPr>
                  </w:pPr>
                  <w:r>
                    <w:rPr>
                      <w:rFonts w:hint="default" w:ascii="Times New Roman" w:hAnsi="宋体" w:eastAsia="宋体" w:cs="Times New Roman"/>
                      <w:color w:val="auto"/>
                      <w:szCs w:val="21"/>
                      <w:highlight w:val="none"/>
                    </w:rPr>
                    <w:t>本项目不使用煤</w:t>
                  </w:r>
                  <w:r>
                    <w:rPr>
                      <w:rFonts w:hint="eastAsia" w:ascii="Times New Roman" w:hAnsi="宋体" w:eastAsia="宋体" w:cs="Times New Roman"/>
                      <w:color w:val="auto"/>
                      <w:szCs w:val="21"/>
                      <w:highlight w:val="none"/>
                    </w:rPr>
                    <w:t>，</w:t>
                  </w:r>
                  <w:r>
                    <w:rPr>
                      <w:rFonts w:hint="default" w:ascii="Times New Roman" w:hAnsi="宋体" w:eastAsia="宋体" w:cs="Times New Roman"/>
                      <w:color w:val="auto"/>
                      <w:szCs w:val="21"/>
                      <w:highlight w:val="none"/>
                    </w:rPr>
                    <w:t>不使用石油焦、焦炭、兰炭等高污染燃料</w:t>
                  </w:r>
                  <w:r>
                    <w:rPr>
                      <w:rFonts w:hint="eastAsia" w:ascii="Times New Roman" w:hAnsi="宋体" w:cs="Times New Roman"/>
                      <w:color w:val="auto"/>
                      <w:szCs w:val="21"/>
                      <w:highlight w:val="none"/>
                      <w:lang w:eastAsia="zh-CN"/>
                    </w:rPr>
                    <w:t>。</w:t>
                  </w:r>
                </w:p>
              </w:tc>
              <w:tc>
                <w:tcPr>
                  <w:tcW w:w="515" w:type="pct"/>
                  <w:noWrap w:val="0"/>
                  <w:vAlign w:val="center"/>
                </w:tcPr>
                <w:p w14:paraId="4FFDF756">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7C6775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016C2C8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（七）加快推动燃煤锅炉机组升级改造</w:t>
                  </w:r>
                </w:p>
              </w:tc>
            </w:tr>
            <w:tr w14:paraId="5C3ECE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2FA7EFA4">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w:t>
                  </w:r>
                </w:p>
              </w:tc>
              <w:tc>
                <w:tcPr>
                  <w:tcW w:w="604" w:type="pct"/>
                  <w:noWrap w:val="0"/>
                  <w:vAlign w:val="center"/>
                </w:tcPr>
                <w:p w14:paraId="4375CCF5">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严控热源性燃煤设施建设</w:t>
                  </w:r>
                </w:p>
              </w:tc>
              <w:tc>
                <w:tcPr>
                  <w:tcW w:w="1219" w:type="pct"/>
                  <w:noWrap w:val="0"/>
                  <w:vAlign w:val="center"/>
                </w:tcPr>
                <w:p w14:paraId="40F3005B">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重点区域原则上不再新建除集中供暖外的燃煤锅炉</w:t>
                  </w:r>
                </w:p>
              </w:tc>
              <w:tc>
                <w:tcPr>
                  <w:tcW w:w="1304" w:type="pct"/>
                  <w:noWrap w:val="0"/>
                  <w:vAlign w:val="center"/>
                </w:tcPr>
                <w:p w14:paraId="4DEA36BC">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原则上不得审批除集中供暖外的燃煤锅炉</w:t>
                  </w:r>
                </w:p>
              </w:tc>
              <w:tc>
                <w:tcPr>
                  <w:tcW w:w="1038" w:type="pct"/>
                  <w:noWrap w:val="0"/>
                  <w:vAlign w:val="center"/>
                </w:tcPr>
                <w:p w14:paraId="2E4311D9">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不涉及</w:t>
                  </w:r>
                </w:p>
              </w:tc>
              <w:tc>
                <w:tcPr>
                  <w:tcW w:w="515" w:type="pct"/>
                  <w:noWrap w:val="0"/>
                  <w:vAlign w:val="center"/>
                </w:tcPr>
                <w:p w14:paraId="37BF488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626DEA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3C319018">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c>
                <w:tcPr>
                  <w:tcW w:w="604" w:type="pct"/>
                  <w:noWrap w:val="0"/>
                  <w:vAlign w:val="center"/>
                </w:tcPr>
                <w:p w14:paraId="0955F947">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推动现有燃煤机组升级改造</w:t>
                  </w:r>
                </w:p>
              </w:tc>
              <w:tc>
                <w:tcPr>
                  <w:tcW w:w="1219" w:type="pct"/>
                  <w:noWrap w:val="0"/>
                  <w:vAlign w:val="center"/>
                </w:tcPr>
                <w:p w14:paraId="101B827F">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禁止新建自备燃煤机组，鼓励自备燃煤机组积极开展清洁能源替代。大力推动现有煤电机组开展节能降碳改造、灵活性改造、供热改造</w:t>
                  </w:r>
                  <w:r>
                    <w:rPr>
                      <w:rFonts w:hint="default" w:ascii="Times New Roman" w:hAnsi="Times New Roman" w:eastAsia="宋体" w:cs="Times New Roman"/>
                      <w:color w:val="auto"/>
                      <w:szCs w:val="21"/>
                      <w:highlight w:val="none"/>
                    </w:rPr>
                    <w:t>“</w:t>
                  </w:r>
                  <w:r>
                    <w:rPr>
                      <w:rFonts w:hint="default" w:ascii="Times New Roman" w:hAnsi="宋体" w:eastAsia="宋体" w:cs="Times New Roman"/>
                      <w:color w:val="auto"/>
                      <w:szCs w:val="21"/>
                      <w:highlight w:val="none"/>
                    </w:rPr>
                    <w:t>三改联动</w:t>
                  </w:r>
                  <w:r>
                    <w:rPr>
                      <w:rFonts w:hint="default" w:ascii="Times New Roman" w:hAnsi="Times New Roman" w:eastAsia="宋体" w:cs="Times New Roman"/>
                      <w:color w:val="auto"/>
                      <w:szCs w:val="21"/>
                      <w:highlight w:val="none"/>
                    </w:rPr>
                    <w:t>”</w:t>
                  </w:r>
                </w:p>
              </w:tc>
              <w:tc>
                <w:tcPr>
                  <w:tcW w:w="1304" w:type="pct"/>
                  <w:noWrap w:val="0"/>
                  <w:vAlign w:val="center"/>
                </w:tcPr>
                <w:p w14:paraId="4BD526E0">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新建自备燃煤机组环评项目不予审批</w:t>
                  </w:r>
                </w:p>
              </w:tc>
              <w:tc>
                <w:tcPr>
                  <w:tcW w:w="1038" w:type="pct"/>
                  <w:noWrap w:val="0"/>
                  <w:vAlign w:val="center"/>
                </w:tcPr>
                <w:p w14:paraId="4B87FD83">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w:t>
                  </w:r>
                  <w:r>
                    <w:rPr>
                      <w:rFonts w:hint="default" w:ascii="Times New Roman" w:hAnsi="宋体" w:eastAsia="宋体" w:cs="Times New Roman"/>
                      <w:color w:val="auto"/>
                      <w:szCs w:val="21"/>
                      <w:highlight w:val="none"/>
                    </w:rPr>
                    <w:t>新建自备燃煤机组</w:t>
                  </w:r>
                </w:p>
              </w:tc>
              <w:tc>
                <w:tcPr>
                  <w:tcW w:w="515" w:type="pct"/>
                  <w:noWrap w:val="0"/>
                  <w:vAlign w:val="center"/>
                </w:tcPr>
                <w:p w14:paraId="2DA802B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68075E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38FF06B5">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（八）推动工业炉窑清洁能源替代</w:t>
                  </w:r>
                </w:p>
              </w:tc>
            </w:tr>
            <w:tr w14:paraId="23714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38436D66">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23</w:t>
                  </w:r>
                </w:p>
              </w:tc>
              <w:tc>
                <w:tcPr>
                  <w:tcW w:w="604" w:type="pct"/>
                  <w:noWrap w:val="0"/>
                  <w:vAlign w:val="center"/>
                </w:tcPr>
                <w:p w14:paraId="4B1C69A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推动煤气发生炉清洁能源替代</w:t>
                  </w:r>
                </w:p>
              </w:tc>
              <w:tc>
                <w:tcPr>
                  <w:tcW w:w="1219" w:type="pct"/>
                  <w:noWrap w:val="0"/>
                  <w:vAlign w:val="center"/>
                </w:tcPr>
                <w:p w14:paraId="2AF1E47D">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重点区域不再新增燃料类煤气发生炉</w:t>
                  </w:r>
                </w:p>
              </w:tc>
              <w:tc>
                <w:tcPr>
                  <w:tcW w:w="1304" w:type="pct"/>
                  <w:noWrap w:val="0"/>
                  <w:vAlign w:val="center"/>
                </w:tcPr>
                <w:p w14:paraId="56205870">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新增燃煤类煤气发生炉项目不予审批</w:t>
                  </w:r>
                </w:p>
              </w:tc>
              <w:tc>
                <w:tcPr>
                  <w:tcW w:w="1038" w:type="pct"/>
                  <w:noWrap w:val="0"/>
                  <w:vAlign w:val="center"/>
                </w:tcPr>
                <w:p w14:paraId="6E6633E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本项目不新增燃煤类煤气发生炉</w:t>
                  </w:r>
                </w:p>
              </w:tc>
              <w:tc>
                <w:tcPr>
                  <w:tcW w:w="515" w:type="pct"/>
                  <w:noWrap w:val="0"/>
                  <w:vAlign w:val="center"/>
                </w:tcPr>
                <w:p w14:paraId="43ADE68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749564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3EF1056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default" w:ascii="Times New Roman" w:hAnsi="宋体" w:eastAsia="宋体" w:cs="Times New Roman"/>
                      <w:color w:val="auto"/>
                      <w:szCs w:val="21"/>
                      <w:highlight w:val="none"/>
                    </w:rPr>
                    <w:t>（九）推动货物运输清洁化</w:t>
                  </w:r>
                </w:p>
              </w:tc>
            </w:tr>
            <w:tr w14:paraId="53EB4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4B689A8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27</w:t>
                  </w:r>
                </w:p>
              </w:tc>
              <w:tc>
                <w:tcPr>
                  <w:tcW w:w="604" w:type="pct"/>
                  <w:noWrap w:val="0"/>
                  <w:vAlign w:val="center"/>
                </w:tcPr>
                <w:p w14:paraId="21F76BF1">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提高重点行业清洁运输比例</w:t>
                  </w:r>
                </w:p>
              </w:tc>
              <w:tc>
                <w:tcPr>
                  <w:tcW w:w="1219" w:type="pct"/>
                  <w:noWrap w:val="0"/>
                  <w:vAlign w:val="center"/>
                </w:tcPr>
                <w:p w14:paraId="419C5094">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default" w:ascii="Times New Roman" w:hAnsi="宋体" w:eastAsia="宋体" w:cs="Times New Roman"/>
                      <w:color w:val="auto"/>
                      <w:szCs w:val="21"/>
                      <w:highlight w:val="none"/>
                    </w:rPr>
                    <w:t>将清洁运输作为煤矿、钢铁、火电、水泥、有色、焦化、煤化工等行业新改扩建项目审核和监管重点</w:t>
                  </w:r>
                </w:p>
              </w:tc>
              <w:tc>
                <w:tcPr>
                  <w:tcW w:w="1304" w:type="pct"/>
                  <w:noWrap w:val="0"/>
                  <w:vAlign w:val="center"/>
                </w:tcPr>
                <w:p w14:paraId="642A558C">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煤矿、钢铁、火电、水泥、有色、焦化、煤化工等行业新改扩建项目环评审核中重点关注清洁运输</w:t>
                  </w:r>
                </w:p>
              </w:tc>
              <w:tc>
                <w:tcPr>
                  <w:tcW w:w="1038" w:type="pct"/>
                  <w:noWrap w:val="0"/>
                  <w:vAlign w:val="center"/>
                </w:tcPr>
                <w:p w14:paraId="721BE2B4">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lang w:val="en-US" w:eastAsia="zh-CN"/>
                    </w:rPr>
                  </w:pPr>
                  <w:r>
                    <w:rPr>
                      <w:rFonts w:hint="default" w:ascii="Times New Roman" w:hAnsi="宋体" w:eastAsia="宋体" w:cs="Times New Roman"/>
                      <w:color w:val="auto"/>
                      <w:szCs w:val="21"/>
                      <w:highlight w:val="none"/>
                    </w:rPr>
                    <w:t>本项目</w:t>
                  </w:r>
                  <w:r>
                    <w:rPr>
                      <w:rFonts w:hint="eastAsia" w:ascii="Times New Roman" w:hAnsi="宋体" w:eastAsia="宋体" w:cs="Times New Roman"/>
                      <w:color w:val="auto"/>
                      <w:szCs w:val="21"/>
                      <w:highlight w:val="none"/>
                      <w:lang w:val="en-US" w:eastAsia="zh-CN"/>
                    </w:rPr>
                    <w:t>将加强运输管理，保证厂内外清洁运输</w:t>
                  </w:r>
                </w:p>
              </w:tc>
              <w:tc>
                <w:tcPr>
                  <w:tcW w:w="515" w:type="pct"/>
                  <w:noWrap w:val="0"/>
                  <w:vAlign w:val="center"/>
                </w:tcPr>
                <w:p w14:paraId="23DF8FFE">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color w:val="auto"/>
                      <w:szCs w:val="21"/>
                      <w:highlight w:val="none"/>
                    </w:rPr>
                    <w:t>不属于</w:t>
                  </w:r>
                </w:p>
              </w:tc>
            </w:tr>
            <w:tr w14:paraId="2964A6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noWrap w:val="0"/>
                  <w:vAlign w:val="center"/>
                </w:tcPr>
                <w:p w14:paraId="11BA7017">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（十七）加快低（无）VOCs原辅材料替代</w:t>
                  </w:r>
                </w:p>
              </w:tc>
            </w:tr>
            <w:tr w14:paraId="7C807C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406C11C2">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52</w:t>
                  </w:r>
                </w:p>
              </w:tc>
              <w:tc>
                <w:tcPr>
                  <w:tcW w:w="604" w:type="pct"/>
                  <w:noWrap w:val="0"/>
                  <w:vAlign w:val="center"/>
                </w:tcPr>
                <w:p w14:paraId="4CC46E4C">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严格控制生产和使用高</w:t>
                  </w:r>
                  <w:r>
                    <w:rPr>
                      <w:rFonts w:hint="eastAsia" w:ascii="Times New Roman" w:hAnsi="宋体" w:eastAsia="宋体" w:cs="Times New Roman"/>
                      <w:color w:val="auto"/>
                      <w:szCs w:val="21"/>
                      <w:highlight w:val="none"/>
                    </w:rPr>
                    <w:t>VOCs含量建设项目</w:t>
                  </w:r>
                </w:p>
              </w:tc>
              <w:tc>
                <w:tcPr>
                  <w:tcW w:w="1219" w:type="pct"/>
                  <w:noWrap w:val="0"/>
                  <w:vAlign w:val="center"/>
                </w:tcPr>
                <w:p w14:paraId="0F825D4C">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实施安徽省低挥发性有机物原辅材料源头替代工作方案，严格控制生产和使用高VOCs含量涂料、油墨、胶粘剂、清洗剂等建设项目</w:t>
                  </w:r>
                </w:p>
              </w:tc>
              <w:tc>
                <w:tcPr>
                  <w:tcW w:w="1304" w:type="pct"/>
                  <w:noWrap w:val="0"/>
                  <w:vAlign w:val="center"/>
                </w:tcPr>
                <w:p w14:paraId="386E5A26">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严格控制审批生产和使用高VOCs含量涂料、油墨、胶粘剂、清洗剂等建设项目环评</w:t>
                  </w:r>
                </w:p>
              </w:tc>
              <w:tc>
                <w:tcPr>
                  <w:tcW w:w="1038" w:type="pct"/>
                  <w:noWrap w:val="0"/>
                  <w:vAlign w:val="center"/>
                </w:tcPr>
                <w:p w14:paraId="793E1548">
                  <w:pPr>
                    <w:keepNext w:val="0"/>
                    <w:keepLines w:val="0"/>
                    <w:suppressLineNumbers w:val="0"/>
                    <w:spacing w:before="0" w:beforeAutospacing="0" w:after="0" w:afterAutospacing="0" w:line="276" w:lineRule="auto"/>
                    <w:ind w:left="0" w:right="0"/>
                    <w:jc w:val="center"/>
                    <w:rPr>
                      <w:rFonts w:hint="eastAsia" w:ascii="Times New Roman" w:hAnsi="宋体" w:eastAsia="宋体" w:cs="Times New Roman"/>
                      <w:color w:val="auto"/>
                      <w:szCs w:val="21"/>
                      <w:highlight w:val="none"/>
                      <w:lang w:val="en-US" w:eastAsia="zh-CN"/>
                    </w:rPr>
                  </w:pPr>
                  <w:r>
                    <w:rPr>
                      <w:rFonts w:hint="default" w:ascii="Times New Roman" w:hAnsi="Times New Roman" w:cs="Times New Roman"/>
                      <w:color w:val="auto"/>
                      <w:highlight w:val="none"/>
                      <w:lang w:val="en-US" w:eastAsia="zh-CN"/>
                    </w:rPr>
                    <w:t>本项目高反射膜材料VOCs含量为6%~10%，</w:t>
                  </w:r>
                  <w:r>
                    <w:rPr>
                      <w:rFonts w:hint="eastAsia" w:ascii="Times New Roman" w:hAnsi="Times New Roman" w:cs="Times New Roman"/>
                      <w:color w:val="auto"/>
                      <w:highlight w:val="none"/>
                      <w:lang w:val="en-US" w:eastAsia="zh-CN"/>
                    </w:rPr>
                    <w:t>不属于高</w:t>
                  </w:r>
                  <w:r>
                    <w:rPr>
                      <w:rFonts w:hint="eastAsia" w:ascii="Times New Roman" w:hAnsi="宋体" w:eastAsia="宋体" w:cs="Times New Roman"/>
                      <w:color w:val="auto"/>
                      <w:szCs w:val="21"/>
                      <w:highlight w:val="none"/>
                    </w:rPr>
                    <w:t>VOCs含量</w:t>
                  </w:r>
                  <w:r>
                    <w:rPr>
                      <w:rFonts w:hint="eastAsia" w:ascii="Times New Roman" w:hAnsi="宋体" w:cs="Times New Roman"/>
                      <w:color w:val="auto"/>
                      <w:szCs w:val="21"/>
                      <w:highlight w:val="none"/>
                      <w:lang w:val="en-US" w:eastAsia="zh-CN"/>
                    </w:rPr>
                    <w:t>油墨。</w:t>
                  </w:r>
                </w:p>
              </w:tc>
              <w:tc>
                <w:tcPr>
                  <w:tcW w:w="515" w:type="pct"/>
                  <w:noWrap w:val="0"/>
                  <w:vAlign w:val="center"/>
                </w:tcPr>
                <w:p w14:paraId="41501BF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不属于</w:t>
                  </w:r>
                </w:p>
              </w:tc>
            </w:tr>
            <w:tr w14:paraId="0C0E6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16" w:type="pct"/>
                  <w:noWrap w:val="0"/>
                  <w:vAlign w:val="center"/>
                </w:tcPr>
                <w:p w14:paraId="26EF9193">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53</w:t>
                  </w:r>
                </w:p>
              </w:tc>
              <w:tc>
                <w:tcPr>
                  <w:tcW w:w="604" w:type="pct"/>
                  <w:noWrap w:val="0"/>
                  <w:vAlign w:val="center"/>
                </w:tcPr>
                <w:p w14:paraId="7BBD9D9B">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default" w:ascii="Times New Roman" w:hAnsi="宋体" w:eastAsia="宋体" w:cs="Times New Roman"/>
                      <w:color w:val="auto"/>
                      <w:szCs w:val="21"/>
                      <w:highlight w:val="none"/>
                    </w:rPr>
                    <w:t>推动低</w:t>
                  </w:r>
                  <w:r>
                    <w:rPr>
                      <w:rFonts w:hint="eastAsia" w:ascii="Times New Roman" w:hAnsi="宋体" w:eastAsia="宋体" w:cs="Times New Roman"/>
                      <w:color w:val="auto"/>
                      <w:szCs w:val="21"/>
                      <w:highlight w:val="none"/>
                    </w:rPr>
                    <w:t>（无）VOCs原辅材料源头替代</w:t>
                  </w:r>
                </w:p>
              </w:tc>
              <w:tc>
                <w:tcPr>
                  <w:tcW w:w="1219" w:type="pct"/>
                  <w:noWrap w:val="0"/>
                  <w:vAlign w:val="center"/>
                </w:tcPr>
                <w:p w14:paraId="526D274B">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加大汽车整车制造、汽车修理、木质家具制造、汽车零部件、工程机械、钢结构、船舶制造等工业涂装行业、包装印刷行业及电子行业低（无）VOCs含量原辅材料的替代力度</w:t>
                  </w:r>
                </w:p>
              </w:tc>
              <w:tc>
                <w:tcPr>
                  <w:tcW w:w="1304" w:type="pct"/>
                  <w:noWrap w:val="0"/>
                  <w:vAlign w:val="center"/>
                </w:tcPr>
                <w:p w14:paraId="363DB4E5">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汽车整车制造、汽车修理、木质家具制造、汽车零部件、工程机械、钢结构、船舶制造等工业涂装行业、包装印刷行业及电子行业环评审批中要求加大低（无）VOCs含量原辅材料的替代力度</w:t>
                  </w:r>
                </w:p>
              </w:tc>
              <w:tc>
                <w:tcPr>
                  <w:tcW w:w="1038" w:type="pct"/>
                  <w:noWrap w:val="0"/>
                  <w:vAlign w:val="center"/>
                </w:tcPr>
                <w:p w14:paraId="59356C15">
                  <w:pPr>
                    <w:keepNext w:val="0"/>
                    <w:keepLines w:val="0"/>
                    <w:suppressLineNumbers w:val="0"/>
                    <w:spacing w:before="0" w:beforeAutospacing="0" w:after="0" w:afterAutospacing="0" w:line="276" w:lineRule="auto"/>
                    <w:ind w:left="0" w:right="0"/>
                    <w:jc w:val="center"/>
                    <w:rPr>
                      <w:rFonts w:hint="default" w:ascii="Times New Roman" w:hAnsi="宋体" w:eastAsia="宋体" w:cs="Times New Roman"/>
                      <w:color w:val="auto"/>
                      <w:szCs w:val="21"/>
                      <w:highlight w:val="none"/>
                      <w:lang w:val="en-US" w:eastAsia="zh-CN"/>
                    </w:rPr>
                  </w:pPr>
                  <w:r>
                    <w:rPr>
                      <w:rFonts w:hint="eastAsia"/>
                      <w:color w:val="auto"/>
                      <w:highlight w:val="none"/>
                      <w:lang w:val="en-US" w:eastAsia="zh-CN"/>
                    </w:rPr>
                    <w:t>本项目属于C3042 特种玻璃制造，不属于</w:t>
                  </w:r>
                  <w:r>
                    <w:rPr>
                      <w:rFonts w:hint="eastAsia" w:ascii="Times New Roman" w:hAnsi="宋体" w:eastAsia="宋体" w:cs="Times New Roman"/>
                      <w:color w:val="auto"/>
                      <w:szCs w:val="21"/>
                      <w:highlight w:val="none"/>
                    </w:rPr>
                    <w:t>汽车整车制造、汽车修理、木质家具制造、汽车零部件、工程机械、钢结构、船舶制造等工业涂装行业、包装印刷行业及电子行业</w:t>
                  </w:r>
                </w:p>
              </w:tc>
              <w:tc>
                <w:tcPr>
                  <w:tcW w:w="515" w:type="pct"/>
                  <w:noWrap w:val="0"/>
                  <w:vAlign w:val="center"/>
                </w:tcPr>
                <w:p w14:paraId="35B11592">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不属于</w:t>
                  </w:r>
                </w:p>
              </w:tc>
            </w:tr>
          </w:tbl>
          <w:p w14:paraId="2513065F">
            <w:pPr>
              <w:pStyle w:val="19"/>
              <w:ind w:left="0" w:leftChars="0" w:firstLine="0" w:firstLineChars="0"/>
              <w:rPr>
                <w:color w:val="auto"/>
                <w:highlight w:val="none"/>
                <w:vertAlign w:val="baseline"/>
              </w:rPr>
            </w:pPr>
          </w:p>
        </w:tc>
      </w:tr>
    </w:tbl>
    <w:p w14:paraId="1F306132">
      <w:pPr>
        <w:pStyle w:val="19"/>
        <w:rPr>
          <w:color w:val="auto"/>
          <w:highlight w:val="none"/>
        </w:rPr>
        <w:sectPr>
          <w:pgSz w:w="16838" w:h="11906" w:orient="landscape"/>
          <w:pgMar w:top="1531" w:right="1701" w:bottom="1531" w:left="1701" w:header="851" w:footer="992" w:gutter="0"/>
          <w:pgBorders>
            <w:top w:val="none" w:sz="0" w:space="0"/>
            <w:left w:val="none" w:sz="0" w:space="0"/>
            <w:bottom w:val="none" w:sz="0" w:space="0"/>
            <w:right w:val="none" w:sz="0" w:space="0"/>
          </w:pgBorders>
          <w:cols w:space="720" w:num="1"/>
          <w:docGrid w:type="lines" w:linePitch="312" w:charSpace="0"/>
        </w:sectPr>
      </w:pPr>
    </w:p>
    <w:p w14:paraId="0D9D66E7">
      <w:pPr>
        <w:widowControl/>
        <w:ind w:firstLine="640"/>
        <w:jc w:val="center"/>
        <w:outlineLvl w:val="0"/>
        <w:rPr>
          <w:rFonts w:ascii="黑体" w:hAnsi="黑体" w:eastAsia="黑体"/>
          <w:snapToGrid w:val="0"/>
          <w:color w:val="auto"/>
          <w:kern w:val="0"/>
          <w:sz w:val="32"/>
          <w:szCs w:val="32"/>
          <w:highlight w:val="none"/>
        </w:rPr>
      </w:pPr>
      <w:r>
        <w:rPr>
          <w:rFonts w:hint="eastAsia" w:ascii="黑体" w:hAnsi="黑体" w:eastAsia="黑体"/>
          <w:snapToGrid w:val="0"/>
          <w:color w:val="auto"/>
          <w:kern w:val="0"/>
          <w:sz w:val="32"/>
          <w:szCs w:val="32"/>
          <w:highlight w:val="none"/>
        </w:rPr>
        <w:t>二、建设项目工程分析</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5"/>
        <w:gridCol w:w="8545"/>
      </w:tblGrid>
      <w:tr w14:paraId="14CAD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9" w:hRule="atLeast"/>
          <w:jc w:val="center"/>
        </w:trPr>
        <w:tc>
          <w:tcPr>
            <w:tcW w:w="284" w:type="pct"/>
            <w:noWrap w:val="0"/>
            <w:vAlign w:val="center"/>
          </w:tcPr>
          <w:p w14:paraId="26CF9099">
            <w:pPr>
              <w:widowControl/>
              <w:adjustRightInd w:val="0"/>
              <w:snapToGrid w:val="0"/>
              <w:jc w:val="center"/>
              <w:rPr>
                <w:rFonts w:ascii="宋体" w:hAnsi="宋体" w:cs="宋体"/>
                <w:color w:val="auto"/>
                <w:kern w:val="0"/>
                <w:sz w:val="24"/>
                <w:szCs w:val="24"/>
                <w:highlight w:val="none"/>
              </w:rPr>
            </w:pPr>
            <w:r>
              <w:rPr>
                <w:rFonts w:ascii="宋体" w:hAnsi="宋体" w:cs="宋体"/>
                <w:color w:val="auto"/>
                <w:kern w:val="0"/>
                <w:sz w:val="24"/>
                <w:szCs w:val="24"/>
                <w:highlight w:val="none"/>
              </w:rPr>
              <w:t>建设内容</w:t>
            </w:r>
          </w:p>
        </w:tc>
        <w:tc>
          <w:tcPr>
            <w:tcW w:w="4715" w:type="pct"/>
            <w:noWrap w:val="0"/>
            <w:vAlign w:val="top"/>
          </w:tcPr>
          <w:p w14:paraId="23038EDE">
            <w:pPr>
              <w:spacing w:line="360" w:lineRule="auto"/>
              <w:ind w:firstLine="482" w:firstLineChars="200"/>
              <w:rPr>
                <w:rFonts w:ascii="Times New Roman" w:hAnsi="Times New Roman"/>
                <w:b/>
                <w:color w:val="auto"/>
                <w:sz w:val="24"/>
                <w:szCs w:val="24"/>
                <w:highlight w:val="none"/>
              </w:rPr>
            </w:pPr>
            <w:r>
              <w:rPr>
                <w:rFonts w:ascii="Times New Roman" w:hAnsi="Times New Roman"/>
                <w:b/>
                <w:color w:val="auto"/>
                <w:sz w:val="24"/>
                <w:szCs w:val="24"/>
                <w:highlight w:val="none"/>
              </w:rPr>
              <w:t>1</w:t>
            </w:r>
            <w:r>
              <w:rPr>
                <w:rFonts w:ascii="Times New Roman"/>
                <w:b/>
                <w:color w:val="auto"/>
                <w:sz w:val="24"/>
                <w:szCs w:val="24"/>
                <w:highlight w:val="none"/>
              </w:rPr>
              <w:t>、项目背景</w:t>
            </w:r>
          </w:p>
          <w:p w14:paraId="70E18443">
            <w:pPr>
              <w:widowControl w:val="0"/>
              <w:autoSpaceDE w:val="0"/>
              <w:autoSpaceDN w:val="0"/>
              <w:adjustRightInd/>
              <w:spacing w:line="360" w:lineRule="auto"/>
              <w:ind w:firstLine="480" w:firstLineChars="200"/>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为了适应经济发展及市场需求，</w:t>
            </w:r>
            <w:r>
              <w:rPr>
                <w:rFonts w:hint="eastAsia" w:ascii="Times New Roman" w:hAnsi="Times New Roman"/>
                <w:color w:val="auto"/>
                <w:sz w:val="24"/>
                <w:szCs w:val="24"/>
                <w:highlight w:val="none"/>
                <w:lang w:eastAsia="zh-CN"/>
              </w:rPr>
              <w:t>淮南无双新能源科技有限公司</w:t>
            </w:r>
            <w:r>
              <w:rPr>
                <w:rFonts w:hint="eastAsia" w:ascii="Times New Roman" w:hAnsi="Times New Roman" w:eastAsia="宋体" w:cs="Times New Roman"/>
                <w:color w:val="auto"/>
                <w:sz w:val="24"/>
                <w:szCs w:val="24"/>
                <w:highlight w:val="none"/>
                <w:lang w:val="en-US" w:eastAsia="zh-CN" w:bidi="ar-SA"/>
              </w:rPr>
              <w:t>拟选址</w:t>
            </w:r>
            <w:r>
              <w:rPr>
                <w:rFonts w:hint="eastAsia" w:ascii="Times New Roman" w:hAnsi="宋体"/>
                <w:color w:val="auto"/>
                <w:sz w:val="24"/>
                <w:highlight w:val="none"/>
              </w:rPr>
              <w:t>安徽省淮南市凤台经济开发区国晟</w:t>
            </w:r>
            <w:r>
              <w:rPr>
                <w:rFonts w:hint="eastAsia" w:ascii="Times New Roman" w:hAnsi="宋体"/>
                <w:color w:val="auto"/>
                <w:sz w:val="24"/>
                <w:highlight w:val="none"/>
                <w:lang w:eastAsia="zh-CN"/>
              </w:rPr>
              <w:t>（</w:t>
            </w:r>
            <w:r>
              <w:rPr>
                <w:rFonts w:hint="eastAsia" w:ascii="Times New Roman" w:hAnsi="宋体"/>
                <w:color w:val="auto"/>
                <w:sz w:val="24"/>
                <w:highlight w:val="none"/>
              </w:rPr>
              <w:t>凤台</w:t>
            </w:r>
            <w:r>
              <w:rPr>
                <w:rFonts w:hint="eastAsia" w:ascii="Times New Roman" w:hAnsi="宋体"/>
                <w:color w:val="auto"/>
                <w:sz w:val="24"/>
                <w:highlight w:val="none"/>
                <w:lang w:eastAsia="zh-CN"/>
              </w:rPr>
              <w:t>）</w:t>
            </w:r>
            <w:r>
              <w:rPr>
                <w:rFonts w:hint="eastAsia" w:ascii="Times New Roman" w:hAnsi="宋体"/>
                <w:color w:val="auto"/>
                <w:sz w:val="24"/>
                <w:highlight w:val="none"/>
              </w:rPr>
              <w:t>异质结双碳产业园内</w:t>
            </w:r>
            <w:r>
              <w:rPr>
                <w:rFonts w:hint="eastAsia" w:ascii="Times New Roman" w:hAnsi="Times New Roman" w:eastAsia="宋体" w:cs="Times New Roman"/>
                <w:color w:val="auto"/>
                <w:sz w:val="24"/>
                <w:szCs w:val="24"/>
                <w:highlight w:val="none"/>
                <w:lang w:val="en-US" w:eastAsia="zh-CN" w:bidi="ar-SA"/>
              </w:rPr>
              <w:t>，建设</w:t>
            </w:r>
            <w:r>
              <w:rPr>
                <w:rFonts w:hint="eastAsia" w:ascii="Times New Roman" w:hAnsi="Times New Roman"/>
                <w:color w:val="auto"/>
                <w:sz w:val="24"/>
                <w:szCs w:val="24"/>
                <w:highlight w:val="none"/>
                <w:lang w:eastAsia="zh-CN"/>
              </w:rPr>
              <w:t>淮南无双新能源科技有限公司双玻组件用光伏玻璃深加工项目</w:t>
            </w:r>
            <w:r>
              <w:rPr>
                <w:rFonts w:hint="eastAsia" w:ascii="Times New Roman" w:hAnsi="Times New Roman" w:eastAsia="宋体" w:cs="Times New Roman"/>
                <w:color w:val="auto"/>
                <w:sz w:val="24"/>
                <w:szCs w:val="24"/>
                <w:highlight w:val="none"/>
                <w:lang w:val="en-US" w:eastAsia="zh-CN" w:bidi="ar-SA"/>
              </w:rPr>
              <w:t>。项目租赁标准厂房8588.85平方米，购置一条</w:t>
            </w:r>
            <w:r>
              <w:rPr>
                <w:rFonts w:hint="eastAsia" w:ascii="Times New Roman" w:hAnsi="Times New Roman"/>
                <w:color w:val="auto"/>
                <w:sz w:val="24"/>
                <w:szCs w:val="24"/>
                <w:highlight w:val="none"/>
                <w:lang w:eastAsia="zh-CN"/>
              </w:rPr>
              <w:t>光伏玻璃深加工</w:t>
            </w:r>
            <w:r>
              <w:rPr>
                <w:rFonts w:hint="eastAsia" w:ascii="Times New Roman" w:hAnsi="Times New Roman" w:eastAsia="宋体" w:cs="Times New Roman"/>
                <w:color w:val="auto"/>
                <w:sz w:val="24"/>
                <w:szCs w:val="24"/>
                <w:highlight w:val="none"/>
                <w:lang w:val="en-US" w:eastAsia="zh-CN" w:bidi="ar-SA"/>
              </w:rPr>
              <w:t>流水线，包括磨边机、清洗机、激光打孔机、镀膜机、丝印机、钢化炉等设备，建成后可以形成年产3600万平方米光伏钢化玻璃的生产规模。本项目已取得</w:t>
            </w:r>
            <w:r>
              <w:rPr>
                <w:rFonts w:hint="eastAsia" w:ascii="Times New Roman" w:hAnsi="Times New Roman" w:eastAsia="宋体" w:cs="宋体"/>
                <w:color w:val="auto"/>
                <w:sz w:val="24"/>
                <w:szCs w:val="24"/>
                <w:highlight w:val="none"/>
                <w:lang w:val="en-US" w:eastAsia="zh-CN" w:bidi="ar-SA"/>
              </w:rPr>
              <w:t>淮南市凤台县</w:t>
            </w:r>
            <w:r>
              <w:rPr>
                <w:rFonts w:ascii="Times New Roman" w:hAnsi="Times New Roman" w:eastAsia="宋体" w:cs="宋体"/>
                <w:color w:val="auto"/>
                <w:sz w:val="24"/>
                <w:szCs w:val="24"/>
                <w:highlight w:val="none"/>
                <w:lang w:val="en-US" w:eastAsia="zh-CN" w:bidi="ar-SA"/>
              </w:rPr>
              <w:t>发展和改革委员会</w:t>
            </w:r>
            <w:r>
              <w:rPr>
                <w:rFonts w:hint="eastAsia" w:ascii="Times New Roman" w:hAnsi="Times New Roman" w:eastAsia="宋体" w:cs="Times New Roman"/>
                <w:color w:val="auto"/>
                <w:sz w:val="24"/>
                <w:szCs w:val="24"/>
                <w:highlight w:val="none"/>
                <w:lang w:val="en-US" w:eastAsia="zh-CN" w:bidi="ar-SA"/>
              </w:rPr>
              <w:t>备案，项目代码为：</w:t>
            </w:r>
            <w:r>
              <w:rPr>
                <w:rFonts w:hint="eastAsia" w:ascii="Times New Roman" w:hAnsi="Times New Roman"/>
                <w:color w:val="auto"/>
                <w:sz w:val="24"/>
                <w:szCs w:val="24"/>
                <w:highlight w:val="none"/>
                <w:lang w:val="en-US" w:eastAsia="zh-CN"/>
              </w:rPr>
              <w:t>2603-340421-04-03-407767</w:t>
            </w:r>
            <w:r>
              <w:rPr>
                <w:rFonts w:hint="eastAsia" w:ascii="Times New Roman" w:hAnsi="Times New Roman" w:eastAsia="宋体" w:cs="Times New Roman"/>
                <w:color w:val="auto"/>
                <w:sz w:val="24"/>
                <w:szCs w:val="24"/>
                <w:highlight w:val="none"/>
                <w:lang w:val="en-US" w:eastAsia="zh-CN" w:bidi="ar-SA"/>
              </w:rPr>
              <w:t>。</w:t>
            </w:r>
          </w:p>
          <w:p w14:paraId="56ED4759">
            <w:pPr>
              <w:widowControl w:val="0"/>
              <w:autoSpaceDE w:val="0"/>
              <w:autoSpaceDN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bidi="ar-SA"/>
              </w:rPr>
            </w:pPr>
            <w:r>
              <w:rPr>
                <w:rFonts w:ascii="Times New Roman" w:hAnsi="宋体"/>
                <w:color w:val="auto"/>
                <w:sz w:val="24"/>
                <w:highlight w:val="none"/>
              </w:rPr>
              <w:t>根据《中华人民共和国环境保护法》（主席令</w:t>
            </w:r>
            <w:r>
              <w:rPr>
                <w:rFonts w:ascii="Times New Roman" w:hAnsi="Times New Roman"/>
                <w:color w:val="auto"/>
                <w:sz w:val="24"/>
                <w:highlight w:val="none"/>
              </w:rPr>
              <w:t>2014</w:t>
            </w:r>
            <w:r>
              <w:rPr>
                <w:rFonts w:ascii="Times New Roman" w:hAnsi="宋体"/>
                <w:color w:val="auto"/>
                <w:sz w:val="24"/>
                <w:highlight w:val="none"/>
              </w:rPr>
              <w:t>年第</w:t>
            </w:r>
            <w:r>
              <w:rPr>
                <w:rFonts w:ascii="Times New Roman" w:hAnsi="Times New Roman"/>
                <w:color w:val="auto"/>
                <w:sz w:val="24"/>
                <w:highlight w:val="none"/>
              </w:rPr>
              <w:t>9</w:t>
            </w:r>
            <w:r>
              <w:rPr>
                <w:rFonts w:ascii="Times New Roman" w:hAnsi="宋体"/>
                <w:color w:val="auto"/>
                <w:sz w:val="24"/>
                <w:highlight w:val="none"/>
              </w:rPr>
              <w:t>号）、《中华人民共和国环境影响评价法》（</w:t>
            </w:r>
            <w:r>
              <w:rPr>
                <w:rFonts w:ascii="Times New Roman" w:hAnsi="Times New Roman"/>
                <w:color w:val="auto"/>
                <w:sz w:val="24"/>
                <w:highlight w:val="none"/>
              </w:rPr>
              <w:t>2018</w:t>
            </w:r>
            <w:r>
              <w:rPr>
                <w:rFonts w:ascii="Times New Roman" w:hAnsi="宋体"/>
                <w:color w:val="auto"/>
                <w:sz w:val="24"/>
                <w:highlight w:val="none"/>
              </w:rPr>
              <w:t>年</w:t>
            </w:r>
            <w:r>
              <w:rPr>
                <w:rFonts w:ascii="Times New Roman" w:hAnsi="Times New Roman"/>
                <w:color w:val="auto"/>
                <w:sz w:val="24"/>
                <w:highlight w:val="none"/>
              </w:rPr>
              <w:t>12</w:t>
            </w:r>
            <w:r>
              <w:rPr>
                <w:rFonts w:ascii="Times New Roman" w:hAnsi="宋体"/>
                <w:color w:val="auto"/>
                <w:sz w:val="24"/>
                <w:highlight w:val="none"/>
              </w:rPr>
              <w:t>月</w:t>
            </w:r>
            <w:r>
              <w:rPr>
                <w:rFonts w:ascii="Times New Roman" w:hAnsi="Times New Roman"/>
                <w:color w:val="auto"/>
                <w:sz w:val="24"/>
                <w:highlight w:val="none"/>
              </w:rPr>
              <w:t>29</w:t>
            </w:r>
            <w:r>
              <w:rPr>
                <w:rFonts w:ascii="Times New Roman" w:hAnsi="宋体"/>
                <w:color w:val="auto"/>
                <w:sz w:val="24"/>
                <w:highlight w:val="none"/>
              </w:rPr>
              <w:t>日修订）、《建设项目环境保护管理条例》（</w:t>
            </w:r>
            <w:r>
              <w:rPr>
                <w:rFonts w:ascii="Times New Roman" w:hAnsi="Times New Roman"/>
                <w:color w:val="auto"/>
                <w:sz w:val="24"/>
                <w:highlight w:val="none"/>
              </w:rPr>
              <w:t>2017</w:t>
            </w:r>
            <w:r>
              <w:rPr>
                <w:rFonts w:ascii="Times New Roman" w:hAnsi="宋体"/>
                <w:color w:val="auto"/>
                <w:sz w:val="24"/>
                <w:highlight w:val="none"/>
              </w:rPr>
              <w:t>年）及《建设项目环境影响评价分类管理名录》（</w:t>
            </w:r>
            <w:r>
              <w:rPr>
                <w:rFonts w:ascii="Times New Roman" w:hAnsi="Times New Roman"/>
                <w:color w:val="auto"/>
                <w:sz w:val="24"/>
                <w:highlight w:val="none"/>
              </w:rPr>
              <w:t>2021</w:t>
            </w:r>
            <w:r>
              <w:rPr>
                <w:rFonts w:ascii="Times New Roman" w:hAnsi="宋体"/>
                <w:color w:val="auto"/>
                <w:sz w:val="24"/>
                <w:highlight w:val="none"/>
              </w:rPr>
              <w:t>年版）中要求，本项目属于</w:t>
            </w:r>
            <w:r>
              <w:rPr>
                <w:rFonts w:ascii="宋体" w:hAnsi="宋体" w:eastAsia="宋体" w:cs="Times New Roman"/>
                <w:color w:val="auto"/>
                <w:sz w:val="24"/>
                <w:szCs w:val="24"/>
                <w:highlight w:val="none"/>
                <w:lang w:val="en-US" w:eastAsia="zh-CN" w:bidi="ar-SA"/>
              </w:rPr>
              <w:t>“二十七、非金属矿物制品业”的“</w:t>
            </w:r>
            <w:r>
              <w:rPr>
                <w:rFonts w:ascii="Times New Roman" w:hAnsi="Times New Roman" w:eastAsia="宋体" w:cs="Times New Roman"/>
                <w:color w:val="auto"/>
                <w:sz w:val="24"/>
                <w:szCs w:val="24"/>
                <w:highlight w:val="none"/>
                <w:lang w:val="en-US" w:eastAsia="zh-CN" w:bidi="ar-SA"/>
              </w:rPr>
              <w:t>57</w:t>
            </w:r>
            <w:r>
              <w:rPr>
                <w:rFonts w:ascii="宋体" w:hAnsi="宋体" w:eastAsia="宋体" w:cs="Times New Roman"/>
                <w:color w:val="auto"/>
                <w:sz w:val="24"/>
                <w:szCs w:val="24"/>
                <w:highlight w:val="none"/>
                <w:lang w:val="en-US" w:eastAsia="zh-CN" w:bidi="ar-SA"/>
              </w:rPr>
              <w:t>、玻璃制造、玻璃制品制造”类别中的“特种玻璃制造”，</w:t>
            </w:r>
            <w:r>
              <w:rPr>
                <w:rFonts w:ascii="Times New Roman" w:hAnsi="Times New Roman" w:eastAsia="宋体" w:cs="Times New Roman"/>
                <w:color w:val="auto"/>
                <w:sz w:val="24"/>
                <w:szCs w:val="24"/>
                <w:highlight w:val="none"/>
                <w:lang w:val="en-US" w:eastAsia="zh-CN" w:bidi="ar-SA"/>
              </w:rPr>
              <w:t>因此建设项目应编制环境影响报告表</w:t>
            </w:r>
            <w:r>
              <w:rPr>
                <w:rFonts w:hint="eastAsia" w:ascii="Times New Roman" w:hAnsi="Times New Roman" w:eastAsia="宋体" w:cs="Times New Roman"/>
                <w:color w:val="auto"/>
                <w:sz w:val="24"/>
                <w:szCs w:val="24"/>
                <w:highlight w:val="none"/>
                <w:lang w:val="en-US" w:eastAsia="zh-CN" w:bidi="ar-SA"/>
              </w:rPr>
              <w:t>，详见下表。</w:t>
            </w:r>
          </w:p>
          <w:p w14:paraId="0312C68A">
            <w:pPr>
              <w:autoSpaceDE w:val="0"/>
              <w:autoSpaceDN w:val="0"/>
              <w:spacing w:line="360" w:lineRule="auto"/>
              <w:jc w:val="center"/>
              <w:rPr>
                <w:rFonts w:ascii="Times New Roman" w:hAnsi="黑体" w:eastAsia="黑体" w:cs="Times New Roman"/>
                <w:color w:val="auto"/>
                <w:sz w:val="24"/>
                <w:highlight w:val="none"/>
              </w:rPr>
            </w:pPr>
            <w:r>
              <w:rPr>
                <w:rFonts w:ascii="Times New Roman" w:hAnsi="黑体" w:eastAsia="黑体" w:cs="Times New Roman"/>
                <w:color w:val="auto"/>
                <w:sz w:val="24"/>
                <w:highlight w:val="none"/>
              </w:rPr>
              <w:t>表</w:t>
            </w:r>
            <w:r>
              <w:rPr>
                <w:rFonts w:hint="eastAsia" w:ascii="Times New Roman" w:hAnsi="黑体" w:eastAsia="黑体" w:cs="Times New Roman"/>
                <w:color w:val="auto"/>
                <w:sz w:val="24"/>
                <w:highlight w:val="none"/>
                <w:lang w:val="en-US" w:eastAsia="zh-CN"/>
              </w:rPr>
              <w:t xml:space="preserve">2-1 </w:t>
            </w:r>
            <w:r>
              <w:rPr>
                <w:rFonts w:ascii="Times New Roman" w:hAnsi="黑体" w:eastAsia="黑体" w:cs="Times New Roman"/>
                <w:color w:val="auto"/>
                <w:sz w:val="24"/>
                <w:highlight w:val="none"/>
              </w:rPr>
              <w:t>建设项目环境影响评价分类管理名录</w:t>
            </w:r>
          </w:p>
          <w:tbl>
            <w:tblPr>
              <w:tblStyle w:val="20"/>
              <w:tblW w:w="5000"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92"/>
              <w:gridCol w:w="1303"/>
              <w:gridCol w:w="3912"/>
              <w:gridCol w:w="819"/>
            </w:tblGrid>
            <w:tr w14:paraId="7D5D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74" w:type="pct"/>
                  <w:gridSpan w:val="2"/>
                  <w:tcBorders>
                    <w:top w:val="single" w:color="auto" w:sz="8" w:space="0"/>
                    <w:left w:val="single" w:color="auto" w:sz="0" w:space="0"/>
                  </w:tcBorders>
                  <w:noWrap w:val="0"/>
                  <w:vAlign w:val="center"/>
                </w:tcPr>
                <w:p w14:paraId="141A6D26">
                  <w:pPr>
                    <w:autoSpaceDE w:val="0"/>
                    <w:autoSpaceDN w:val="0"/>
                    <w:spacing w:line="276" w:lineRule="auto"/>
                    <w:jc w:val="righ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环评类别</w:t>
                  </w:r>
                </w:p>
                <w:p w14:paraId="0976E5F8">
                  <w:pPr>
                    <w:spacing w:line="276" w:lineRule="auto"/>
                    <w:jc w:val="left"/>
                    <w:rPr>
                      <w:rFonts w:ascii="Times New Roman" w:hAnsi="Times New Roman" w:eastAsia="宋体" w:cs="Times New Roman"/>
                      <w:color w:val="auto"/>
                      <w:highlight w:val="none"/>
                    </w:rPr>
                  </w:pPr>
                  <w:r>
                    <w:rPr>
                      <w:rFonts w:ascii="Times New Roman" w:hAnsi="Times New Roman" w:eastAsia="宋体" w:cs="Times New Roman"/>
                      <w:b/>
                      <w:color w:val="auto"/>
                      <w:szCs w:val="21"/>
                      <w:highlight w:val="none"/>
                    </w:rPr>
                    <w:t>项目类别</w:t>
                  </w:r>
                </w:p>
              </w:tc>
              <w:tc>
                <w:tcPr>
                  <w:tcW w:w="783" w:type="pct"/>
                  <w:tcBorders>
                    <w:top w:val="single" w:color="auto" w:sz="8" w:space="0"/>
                  </w:tcBorders>
                  <w:noWrap w:val="0"/>
                  <w:vAlign w:val="center"/>
                </w:tcPr>
                <w:p w14:paraId="03D207A3">
                  <w:pPr>
                    <w:autoSpaceDE w:val="0"/>
                    <w:autoSpaceDN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报告书</w:t>
                  </w:r>
                </w:p>
              </w:tc>
              <w:tc>
                <w:tcPr>
                  <w:tcW w:w="2351" w:type="pct"/>
                  <w:tcBorders>
                    <w:top w:val="single" w:color="auto" w:sz="8" w:space="0"/>
                  </w:tcBorders>
                  <w:noWrap w:val="0"/>
                  <w:vAlign w:val="center"/>
                </w:tcPr>
                <w:p w14:paraId="5033CAED">
                  <w:pPr>
                    <w:autoSpaceDE w:val="0"/>
                    <w:autoSpaceDN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报告表</w:t>
                  </w:r>
                </w:p>
              </w:tc>
              <w:tc>
                <w:tcPr>
                  <w:tcW w:w="492" w:type="pct"/>
                  <w:tcBorders>
                    <w:top w:val="single" w:color="auto" w:sz="8" w:space="0"/>
                    <w:right w:val="nil"/>
                  </w:tcBorders>
                  <w:noWrap w:val="0"/>
                  <w:vAlign w:val="center"/>
                </w:tcPr>
                <w:p w14:paraId="31E2AFFC">
                  <w:pPr>
                    <w:autoSpaceDE w:val="0"/>
                    <w:autoSpaceDN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登记表</w:t>
                  </w:r>
                </w:p>
              </w:tc>
            </w:tr>
            <w:tr w14:paraId="0164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5000" w:type="pct"/>
                  <w:gridSpan w:val="5"/>
                  <w:tcBorders>
                    <w:left w:val="nil"/>
                    <w:bottom w:val="single" w:color="auto" w:sz="4" w:space="0"/>
                    <w:right w:val="nil"/>
                  </w:tcBorders>
                  <w:noWrap w:val="0"/>
                  <w:vAlign w:val="center"/>
                </w:tcPr>
                <w:p w14:paraId="48B882DF">
                  <w:pPr>
                    <w:spacing w:line="276"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二十七、非金属矿物制品业</w:t>
                  </w:r>
                </w:p>
              </w:tc>
            </w:tr>
            <w:tr w14:paraId="6DDC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17" w:type="pct"/>
                  <w:tcBorders>
                    <w:left w:val="nil"/>
                    <w:bottom w:val="single" w:color="auto" w:sz="8" w:space="0"/>
                  </w:tcBorders>
                  <w:shd w:val="clear" w:color="auto" w:fill="auto"/>
                  <w:noWrap w:val="0"/>
                  <w:vAlign w:val="center"/>
                </w:tcPr>
                <w:p w14:paraId="507CC08B">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57</w:t>
                  </w:r>
                </w:p>
              </w:tc>
              <w:tc>
                <w:tcPr>
                  <w:tcW w:w="957" w:type="pct"/>
                  <w:tcBorders>
                    <w:bottom w:val="single" w:color="auto" w:sz="8" w:space="0"/>
                  </w:tcBorders>
                  <w:shd w:val="clear" w:color="auto" w:fill="auto"/>
                  <w:noWrap w:val="0"/>
                  <w:vAlign w:val="center"/>
                </w:tcPr>
                <w:p w14:paraId="6DE97FD1">
                  <w:pPr>
                    <w:jc w:val="center"/>
                    <w:rPr>
                      <w:rFonts w:ascii="Times New Roman" w:hAnsi="Times New Roman" w:eastAsia="宋体" w:cs="Times New Roman"/>
                      <w:color w:val="auto"/>
                      <w:highlight w:val="none"/>
                    </w:rPr>
                  </w:pPr>
                  <w:r>
                    <w:rPr>
                      <w:rFonts w:ascii="Times New Roman" w:hAnsi="宋体" w:eastAsia="宋体" w:cs="Times New Roman"/>
                      <w:color w:val="auto"/>
                      <w:kern w:val="0"/>
                      <w:szCs w:val="21"/>
                      <w:highlight w:val="none"/>
                    </w:rPr>
                    <w:t>玻璃制造</w:t>
                  </w:r>
                  <w:r>
                    <w:rPr>
                      <w:rFonts w:ascii="Times New Roman" w:hAnsi="Times New Roman" w:eastAsia="宋体" w:cs="Times New Roman"/>
                      <w:color w:val="auto"/>
                      <w:kern w:val="0"/>
                      <w:szCs w:val="21"/>
                      <w:highlight w:val="none"/>
                    </w:rPr>
                    <w:t>304</w:t>
                  </w:r>
                </w:p>
              </w:tc>
              <w:tc>
                <w:tcPr>
                  <w:tcW w:w="783" w:type="pct"/>
                  <w:tcBorders>
                    <w:bottom w:val="single" w:color="auto" w:sz="8" w:space="0"/>
                  </w:tcBorders>
                  <w:shd w:val="clear" w:color="auto" w:fill="auto"/>
                  <w:noWrap w:val="0"/>
                  <w:vAlign w:val="center"/>
                </w:tcPr>
                <w:p w14:paraId="16085D70">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平板玻璃制造</w:t>
                  </w:r>
                </w:p>
              </w:tc>
              <w:tc>
                <w:tcPr>
                  <w:tcW w:w="2351" w:type="pct"/>
                  <w:tcBorders>
                    <w:bottom w:val="single" w:color="auto" w:sz="8" w:space="0"/>
                  </w:tcBorders>
                  <w:shd w:val="clear" w:color="auto" w:fill="D9D9D9"/>
                  <w:noWrap w:val="0"/>
                  <w:vAlign w:val="center"/>
                </w:tcPr>
                <w:p w14:paraId="6E56DCEF">
                  <w:pPr>
                    <w:widowControl/>
                    <w:jc w:val="center"/>
                    <w:rPr>
                      <w:rFonts w:ascii="Times New Roman" w:hAnsi="Times New Roman" w:eastAsia="宋体" w:cs="Times New Roman"/>
                      <w:color w:val="auto"/>
                      <w:highlight w:val="none"/>
                    </w:rPr>
                  </w:pPr>
                  <w:r>
                    <w:rPr>
                      <w:rFonts w:ascii="Times New Roman" w:hAnsi="宋体" w:eastAsia="宋体" w:cs="Times New Roman"/>
                      <w:b/>
                      <w:color w:val="auto"/>
                      <w:kern w:val="0"/>
                      <w:szCs w:val="21"/>
                      <w:highlight w:val="none"/>
                      <w:shd w:val="pct15" w:color="auto" w:fill="FFFFFF"/>
                    </w:rPr>
                    <w:t>特种玻璃制造；</w:t>
                  </w:r>
                  <w:r>
                    <w:rPr>
                      <w:rFonts w:ascii="Times New Roman" w:hAnsi="宋体" w:eastAsia="宋体" w:cs="Times New Roman"/>
                      <w:color w:val="auto"/>
                      <w:kern w:val="0"/>
                      <w:szCs w:val="21"/>
                      <w:highlight w:val="none"/>
                      <w:shd w:val="pct15" w:color="auto" w:fill="FFFFFF"/>
                    </w:rPr>
                    <w:t>其他玻璃制造；玻璃制品制造（电加热的除外；仅切割、打磨、成型的除外）</w:t>
                  </w:r>
                </w:p>
              </w:tc>
              <w:tc>
                <w:tcPr>
                  <w:tcW w:w="492" w:type="pct"/>
                  <w:tcBorders>
                    <w:bottom w:val="single" w:color="auto" w:sz="8" w:space="0"/>
                    <w:right w:val="nil"/>
                  </w:tcBorders>
                  <w:noWrap w:val="0"/>
                  <w:vAlign w:val="center"/>
                </w:tcPr>
                <w:p w14:paraId="40E4CB2A">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w:t>
                  </w:r>
                </w:p>
              </w:tc>
            </w:tr>
          </w:tbl>
          <w:p w14:paraId="3A589049">
            <w:pPr>
              <w:widowControl/>
              <w:spacing w:line="360" w:lineRule="auto"/>
              <w:ind w:firstLine="480" w:firstLineChars="200"/>
              <w:rPr>
                <w:rFonts w:ascii="Times New Roman" w:hAnsi="Times New Roman" w:eastAsia="宋体" w:cs="Times New Roman"/>
                <w:color w:val="auto"/>
                <w:sz w:val="24"/>
                <w:szCs w:val="28"/>
                <w:highlight w:val="none"/>
              </w:rPr>
            </w:pPr>
            <w:r>
              <w:rPr>
                <w:rFonts w:hint="eastAsia" w:ascii="Times New Roman" w:hAnsi="Times New Roman" w:eastAsia="宋体" w:cs="Times New Roman"/>
                <w:color w:val="auto"/>
                <w:sz w:val="24"/>
                <w:szCs w:val="28"/>
                <w:highlight w:val="none"/>
              </w:rPr>
              <w:t>根据安徽省生态环境厅于</w:t>
            </w:r>
            <w:r>
              <w:rPr>
                <w:rFonts w:ascii="Times New Roman" w:hAnsi="Times New Roman" w:eastAsia="宋体" w:cs="Times New Roman"/>
                <w:color w:val="auto"/>
                <w:sz w:val="24"/>
                <w:szCs w:val="28"/>
                <w:highlight w:val="none"/>
              </w:rPr>
              <w:t>2021</w:t>
            </w:r>
            <w:r>
              <w:rPr>
                <w:rFonts w:hint="eastAsia" w:ascii="Times New Roman" w:hAnsi="Times New Roman" w:eastAsia="宋体" w:cs="Times New Roman"/>
                <w:color w:val="auto"/>
                <w:sz w:val="24"/>
                <w:szCs w:val="28"/>
                <w:highlight w:val="none"/>
              </w:rPr>
              <w:t>年</w:t>
            </w:r>
            <w:r>
              <w:rPr>
                <w:rFonts w:ascii="Times New Roman" w:hAnsi="Times New Roman" w:eastAsia="宋体" w:cs="Times New Roman"/>
                <w:color w:val="auto"/>
                <w:sz w:val="24"/>
                <w:szCs w:val="28"/>
                <w:highlight w:val="none"/>
              </w:rPr>
              <w:t>1</w:t>
            </w:r>
            <w:r>
              <w:rPr>
                <w:rFonts w:hint="eastAsia" w:ascii="Times New Roman" w:hAnsi="Times New Roman" w:eastAsia="宋体" w:cs="Times New Roman"/>
                <w:color w:val="auto"/>
                <w:sz w:val="24"/>
                <w:szCs w:val="28"/>
                <w:highlight w:val="none"/>
              </w:rPr>
              <w:t>月</w:t>
            </w:r>
            <w:r>
              <w:rPr>
                <w:rFonts w:ascii="Times New Roman" w:hAnsi="Times New Roman" w:eastAsia="宋体" w:cs="Times New Roman"/>
                <w:color w:val="auto"/>
                <w:sz w:val="24"/>
                <w:szCs w:val="28"/>
                <w:highlight w:val="none"/>
              </w:rPr>
              <w:t>30</w:t>
            </w:r>
            <w:r>
              <w:rPr>
                <w:rFonts w:hint="eastAsia" w:ascii="Times New Roman" w:hAnsi="Times New Roman" w:eastAsia="宋体" w:cs="Times New Roman"/>
                <w:color w:val="auto"/>
                <w:sz w:val="24"/>
                <w:szCs w:val="28"/>
                <w:highlight w:val="none"/>
              </w:rPr>
              <w:t>日发布的《安徽省生态环境厅关于统筹做好固定污染源排污许可日常监管工作的通知》（皖环发〔</w:t>
            </w:r>
            <w:r>
              <w:rPr>
                <w:rFonts w:ascii="Times New Roman" w:hAnsi="Times New Roman" w:eastAsia="宋体" w:cs="Times New Roman"/>
                <w:color w:val="auto"/>
                <w:sz w:val="24"/>
                <w:szCs w:val="28"/>
                <w:highlight w:val="none"/>
              </w:rPr>
              <w:t>2021</w:t>
            </w:r>
            <w:r>
              <w:rPr>
                <w:rFonts w:hint="eastAsia" w:ascii="Times New Roman" w:hAnsi="Times New Roman" w:eastAsia="宋体" w:cs="Times New Roman"/>
                <w:color w:val="auto"/>
                <w:sz w:val="24"/>
                <w:szCs w:val="28"/>
                <w:highlight w:val="none"/>
              </w:rPr>
              <w:t>〕</w:t>
            </w:r>
            <w:r>
              <w:rPr>
                <w:rFonts w:ascii="Times New Roman" w:hAnsi="Times New Roman" w:eastAsia="宋体" w:cs="Times New Roman"/>
                <w:color w:val="auto"/>
                <w:sz w:val="24"/>
                <w:szCs w:val="28"/>
                <w:highlight w:val="none"/>
              </w:rPr>
              <w:t>7</w:t>
            </w:r>
            <w:r>
              <w:rPr>
                <w:rFonts w:hint="eastAsia" w:ascii="Times New Roman" w:hAnsi="Times New Roman" w:eastAsia="宋体" w:cs="Times New Roman"/>
                <w:color w:val="auto"/>
                <w:sz w:val="24"/>
                <w:szCs w:val="28"/>
                <w:highlight w:val="none"/>
              </w:rPr>
              <w:t>号），属于现行《固定污染源排污许可分类管理名录》内重点管理和简化管理的行业，在环评文件中应明确“建设项目环境影响评价与排污许可联动内容”。</w:t>
            </w:r>
          </w:p>
          <w:p w14:paraId="0DEB520F">
            <w:pPr>
              <w:spacing w:line="360" w:lineRule="auto"/>
              <w:ind w:firstLine="480" w:firstLineChars="200"/>
              <w:rPr>
                <w:rFonts w:hint="eastAsia" w:ascii="Times New Roman" w:hAnsi="Times New Roman"/>
                <w:color w:val="auto"/>
                <w:sz w:val="24"/>
                <w:szCs w:val="24"/>
                <w:highlight w:val="none"/>
                <w:lang w:eastAsia="zh-CN"/>
              </w:rPr>
            </w:pPr>
            <w:r>
              <w:rPr>
                <w:rFonts w:hint="eastAsia" w:ascii="Times New Roman" w:hAnsi="Times New Roman" w:eastAsia="宋体" w:cs="Times New Roman"/>
                <w:color w:val="auto"/>
                <w:sz w:val="24"/>
                <w:szCs w:val="28"/>
                <w:highlight w:val="none"/>
              </w:rPr>
              <w:t>本项目国民经济行业类别为C3042特种玻璃制造，根据《固定污染源排污许可分类管理名录（2019年版）》，本项目属于固定污染源排污许可分类管理名录表中的“</w:t>
            </w:r>
            <w:r>
              <w:rPr>
                <w:rFonts w:ascii="Times New Roman" w:hAnsi="Times New Roman" w:eastAsia="宋体" w:cs="Times New Roman"/>
                <w:color w:val="auto"/>
                <w:sz w:val="24"/>
                <w:szCs w:val="28"/>
                <w:highlight w:val="none"/>
              </w:rPr>
              <w:t>二十五、非金属矿物制品业</w:t>
            </w:r>
            <w:r>
              <w:rPr>
                <w:rFonts w:hint="eastAsia" w:ascii="Times New Roman" w:hAnsi="Times New Roman" w:eastAsia="宋体" w:cs="Times New Roman"/>
                <w:color w:val="auto"/>
                <w:sz w:val="24"/>
                <w:szCs w:val="28"/>
                <w:highlight w:val="none"/>
              </w:rPr>
              <w:t>30”“65玻璃制造304”中的“特种玻璃制造3042”。因此，项目的排污许可填报管理类别应为“简化管理”，需要申请取得排污许可证。</w:t>
            </w:r>
          </w:p>
          <w:p w14:paraId="3BEAEB0C">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szCs w:val="24"/>
                <w:highlight w:val="none"/>
                <w:lang w:eastAsia="zh-CN"/>
              </w:rPr>
              <w:t>淮南无双新能源科技有限公司</w:t>
            </w:r>
            <w:r>
              <w:rPr>
                <w:rFonts w:ascii="Times New Roman" w:hAnsi="Times New Roman"/>
                <w:color w:val="auto"/>
                <w:sz w:val="24"/>
                <w:highlight w:val="none"/>
              </w:rPr>
              <w:t>委托我公司为该项目进行环境影响评价。我公司在接受委托后，立即到现场踏勘，认真了解项目所在区域的周边环境情况，收集了有关资料，编写完成本项目的环境影响报告表，现呈报生态环境主管部门审批。</w:t>
            </w:r>
          </w:p>
          <w:p w14:paraId="3B964AFB">
            <w:pPr>
              <w:spacing w:line="360" w:lineRule="auto"/>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rPr>
              <w:t>2</w:t>
            </w:r>
            <w:r>
              <w:rPr>
                <w:rFonts w:ascii="Times New Roman" w:hAnsi="Times New Roman"/>
                <w:b/>
                <w:color w:val="auto"/>
                <w:sz w:val="24"/>
                <w:highlight w:val="none"/>
              </w:rPr>
              <w:t>、建设规模及内容</w:t>
            </w:r>
          </w:p>
          <w:p w14:paraId="1A6E402D">
            <w:pPr>
              <w:spacing w:line="360" w:lineRule="auto"/>
              <w:ind w:firstLine="480" w:firstLineChars="200"/>
              <w:rPr>
                <w:rFonts w:hint="eastAsia" w:ascii="Times New Roman" w:hAnsi="宋体" w:eastAsia="宋体"/>
                <w:color w:val="auto"/>
                <w:kern w:val="0"/>
                <w:sz w:val="24"/>
                <w:szCs w:val="24"/>
                <w:highlight w:val="none"/>
                <w:lang w:eastAsia="zh-CN"/>
              </w:rPr>
            </w:pPr>
            <w:r>
              <w:rPr>
                <w:rFonts w:ascii="Times New Roman" w:hAnsi="Times New Roman"/>
                <w:color w:val="auto"/>
                <w:sz w:val="24"/>
                <w:highlight w:val="none"/>
              </w:rPr>
              <w:t>项目名称：</w:t>
            </w:r>
            <w:r>
              <w:rPr>
                <w:rFonts w:hint="eastAsia" w:ascii="Times New Roman" w:hAnsi="宋体"/>
                <w:color w:val="auto"/>
                <w:kern w:val="0"/>
                <w:sz w:val="24"/>
                <w:szCs w:val="24"/>
                <w:highlight w:val="none"/>
                <w:lang w:eastAsia="zh-CN"/>
              </w:rPr>
              <w:t>淮南无双新能源科技有限公司双玻组件用光伏玻璃深加工项目</w:t>
            </w:r>
          </w:p>
          <w:p w14:paraId="6CAB6F16">
            <w:pPr>
              <w:spacing w:line="360" w:lineRule="auto"/>
              <w:ind w:firstLine="480" w:firstLineChars="200"/>
              <w:rPr>
                <w:rFonts w:hint="eastAsia" w:ascii="Times New Roman" w:hAnsi="宋体" w:eastAsia="宋体"/>
                <w:color w:val="auto"/>
                <w:kern w:val="0"/>
                <w:sz w:val="24"/>
                <w:szCs w:val="24"/>
                <w:highlight w:val="none"/>
                <w:lang w:eastAsia="zh-CN"/>
              </w:rPr>
            </w:pPr>
            <w:r>
              <w:rPr>
                <w:rFonts w:ascii="Times New Roman"/>
                <w:bCs/>
                <w:color w:val="auto"/>
                <w:sz w:val="24"/>
                <w:highlight w:val="none"/>
              </w:rPr>
              <w:t>建设单位：</w:t>
            </w:r>
            <w:r>
              <w:rPr>
                <w:rFonts w:hint="eastAsia" w:ascii="Times New Roman" w:hAnsi="宋体"/>
                <w:color w:val="auto"/>
                <w:kern w:val="0"/>
                <w:sz w:val="24"/>
                <w:szCs w:val="24"/>
                <w:highlight w:val="none"/>
                <w:lang w:eastAsia="zh-CN"/>
              </w:rPr>
              <w:t>淮南无双新能源科技有限公司</w:t>
            </w:r>
          </w:p>
          <w:p w14:paraId="6B9D1731">
            <w:pPr>
              <w:spacing w:line="360" w:lineRule="auto"/>
              <w:ind w:firstLine="480" w:firstLineChars="200"/>
              <w:rPr>
                <w:rFonts w:ascii="Times New Roman"/>
                <w:bCs/>
                <w:color w:val="auto"/>
                <w:sz w:val="24"/>
                <w:highlight w:val="none"/>
              </w:rPr>
            </w:pPr>
            <w:r>
              <w:rPr>
                <w:rFonts w:ascii="Times New Roman"/>
                <w:bCs/>
                <w:color w:val="auto"/>
                <w:sz w:val="24"/>
                <w:highlight w:val="none"/>
              </w:rPr>
              <w:t>项目性质：新建</w:t>
            </w:r>
          </w:p>
          <w:p w14:paraId="69CDB0F3">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投资总额：</w:t>
            </w:r>
            <w:r>
              <w:rPr>
                <w:rFonts w:hint="eastAsia" w:ascii="Times New Roman" w:hAnsi="Times New Roman"/>
                <w:bCs/>
                <w:color w:val="auto"/>
                <w:sz w:val="24"/>
                <w:highlight w:val="none"/>
              </w:rPr>
              <w:t>1</w:t>
            </w:r>
            <w:r>
              <w:rPr>
                <w:rFonts w:hint="eastAsia" w:ascii="Times New Roman" w:hAnsi="Times New Roman"/>
                <w:bCs/>
                <w:color w:val="auto"/>
                <w:sz w:val="24"/>
                <w:highlight w:val="none"/>
                <w:lang w:val="en-US" w:eastAsia="zh-CN"/>
              </w:rPr>
              <w:t>2</w:t>
            </w:r>
            <w:r>
              <w:rPr>
                <w:rFonts w:hint="eastAsia" w:ascii="Times New Roman" w:hAnsi="Times New Roman"/>
                <w:bCs/>
                <w:color w:val="auto"/>
                <w:sz w:val="24"/>
                <w:highlight w:val="none"/>
              </w:rPr>
              <w:t>000</w:t>
            </w:r>
            <w:r>
              <w:rPr>
                <w:rFonts w:ascii="Times New Roman" w:hAnsi="Times New Roman"/>
                <w:bCs/>
                <w:color w:val="auto"/>
                <w:sz w:val="24"/>
                <w:highlight w:val="none"/>
              </w:rPr>
              <w:t>万元</w:t>
            </w:r>
            <w:r>
              <w:rPr>
                <w:rFonts w:hint="eastAsia" w:ascii="Times New Roman" w:hAnsi="Times New Roman"/>
                <w:bCs/>
                <w:color w:val="auto"/>
                <w:sz w:val="24"/>
                <w:highlight w:val="none"/>
              </w:rPr>
              <w:t>。</w:t>
            </w:r>
          </w:p>
          <w:p w14:paraId="4E09D343">
            <w:pPr>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建设地点：</w:t>
            </w:r>
            <w:r>
              <w:rPr>
                <w:rFonts w:hint="eastAsia" w:ascii="Times New Roman" w:hAnsi="宋体"/>
                <w:color w:val="auto"/>
                <w:sz w:val="24"/>
                <w:highlight w:val="none"/>
              </w:rPr>
              <w:t>安徽省淮南市凤台经济开发区国晟</w:t>
            </w:r>
            <w:r>
              <w:rPr>
                <w:rFonts w:hint="eastAsia" w:ascii="Times New Roman" w:hAnsi="宋体"/>
                <w:color w:val="auto"/>
                <w:sz w:val="24"/>
                <w:highlight w:val="none"/>
                <w:lang w:eastAsia="zh-CN"/>
              </w:rPr>
              <w:t>（</w:t>
            </w:r>
            <w:r>
              <w:rPr>
                <w:rFonts w:hint="eastAsia" w:ascii="Times New Roman" w:hAnsi="宋体"/>
                <w:color w:val="auto"/>
                <w:sz w:val="24"/>
                <w:highlight w:val="none"/>
              </w:rPr>
              <w:t>凤台</w:t>
            </w:r>
            <w:r>
              <w:rPr>
                <w:rFonts w:hint="eastAsia" w:ascii="Times New Roman" w:hAnsi="宋体"/>
                <w:color w:val="auto"/>
                <w:sz w:val="24"/>
                <w:highlight w:val="none"/>
                <w:lang w:eastAsia="zh-CN"/>
              </w:rPr>
              <w:t>）</w:t>
            </w:r>
            <w:r>
              <w:rPr>
                <w:rFonts w:hint="eastAsia" w:ascii="Times New Roman" w:hAnsi="宋体"/>
                <w:color w:val="auto"/>
                <w:sz w:val="24"/>
                <w:highlight w:val="none"/>
              </w:rPr>
              <w:t>异质结双碳产业园内</w:t>
            </w:r>
            <w:r>
              <w:rPr>
                <w:rFonts w:ascii="Times New Roman" w:hAnsi="Times New Roman"/>
                <w:bCs/>
                <w:color w:val="auto"/>
                <w:sz w:val="24"/>
                <w:highlight w:val="none"/>
              </w:rPr>
              <w:t>，项目区域地块中心地理坐标为</w:t>
            </w:r>
            <w:r>
              <w:rPr>
                <w:rFonts w:hint="eastAsia" w:ascii="Times New Roman" w:hAnsi="Times New Roman"/>
                <w:color w:val="auto"/>
                <w:sz w:val="24"/>
                <w:highlight w:val="none"/>
                <w:u w:val="none"/>
              </w:rPr>
              <w:t>116度</w:t>
            </w:r>
            <w:r>
              <w:rPr>
                <w:rFonts w:hint="eastAsia" w:ascii="Times New Roman" w:hAnsi="Times New Roman"/>
                <w:color w:val="auto"/>
                <w:sz w:val="24"/>
                <w:highlight w:val="none"/>
                <w:u w:val="none"/>
                <w:lang w:val="en-US" w:eastAsia="zh-CN"/>
              </w:rPr>
              <w:t>45</w:t>
            </w:r>
            <w:r>
              <w:rPr>
                <w:rFonts w:hint="eastAsia" w:ascii="Times New Roman" w:hAnsi="Times New Roman"/>
                <w:color w:val="auto"/>
                <w:sz w:val="24"/>
                <w:highlight w:val="none"/>
                <w:u w:val="none"/>
              </w:rPr>
              <w:t>分</w:t>
            </w:r>
            <w:r>
              <w:rPr>
                <w:rFonts w:hint="eastAsia" w:ascii="Times New Roman" w:hAnsi="Times New Roman"/>
                <w:color w:val="auto"/>
                <w:sz w:val="24"/>
                <w:highlight w:val="none"/>
                <w:u w:val="none"/>
                <w:lang w:val="en-US" w:eastAsia="zh-CN"/>
              </w:rPr>
              <w:t>26.798</w:t>
            </w:r>
            <w:r>
              <w:rPr>
                <w:rFonts w:hint="eastAsia" w:ascii="Times New Roman" w:hAnsi="Times New Roman"/>
                <w:color w:val="auto"/>
                <w:sz w:val="24"/>
                <w:highlight w:val="none"/>
                <w:u w:val="none"/>
              </w:rPr>
              <w:t>秒，32度</w:t>
            </w:r>
            <w:r>
              <w:rPr>
                <w:rFonts w:hint="eastAsia" w:ascii="Times New Roman" w:hAnsi="Times New Roman"/>
                <w:color w:val="auto"/>
                <w:sz w:val="24"/>
                <w:highlight w:val="none"/>
                <w:u w:val="none"/>
                <w:lang w:val="en-US" w:eastAsia="zh-CN"/>
              </w:rPr>
              <w:t>42</w:t>
            </w:r>
            <w:r>
              <w:rPr>
                <w:rFonts w:hint="eastAsia" w:ascii="Times New Roman" w:hAnsi="Times New Roman"/>
                <w:color w:val="auto"/>
                <w:sz w:val="24"/>
                <w:highlight w:val="none"/>
                <w:u w:val="none"/>
              </w:rPr>
              <w:t>分</w:t>
            </w:r>
            <w:r>
              <w:rPr>
                <w:rFonts w:hint="eastAsia" w:ascii="Times New Roman" w:hAnsi="Times New Roman"/>
                <w:color w:val="auto"/>
                <w:sz w:val="24"/>
                <w:highlight w:val="none"/>
                <w:u w:val="none"/>
                <w:lang w:val="en-US" w:eastAsia="zh-CN"/>
              </w:rPr>
              <w:t>46.023</w:t>
            </w:r>
            <w:r>
              <w:rPr>
                <w:rFonts w:hint="eastAsia" w:ascii="Times New Roman" w:hAnsi="Times New Roman"/>
                <w:color w:val="auto"/>
                <w:sz w:val="24"/>
                <w:highlight w:val="none"/>
                <w:u w:val="none"/>
              </w:rPr>
              <w:t>秒</w:t>
            </w:r>
            <w:r>
              <w:rPr>
                <w:rFonts w:ascii="Times New Roman" w:hAnsi="Times New Roman"/>
                <w:bCs/>
                <w:color w:val="auto"/>
                <w:sz w:val="24"/>
                <w:highlight w:val="none"/>
              </w:rPr>
              <w:t>。</w:t>
            </w:r>
          </w:p>
          <w:p w14:paraId="5522A1AE">
            <w:pPr>
              <w:spacing w:line="360" w:lineRule="auto"/>
              <w:ind w:firstLine="480" w:firstLineChars="200"/>
              <w:rPr>
                <w:rFonts w:ascii="Times New Roman" w:hAnsi="Times New Roman"/>
                <w:b/>
                <w:bCs/>
                <w:color w:val="auto"/>
                <w:sz w:val="24"/>
                <w:szCs w:val="24"/>
                <w:highlight w:val="none"/>
              </w:rPr>
            </w:pPr>
            <w:r>
              <w:rPr>
                <w:rFonts w:ascii="Times New Roman" w:hAnsi="Times New Roman"/>
                <w:color w:val="auto"/>
                <w:sz w:val="24"/>
                <w:highlight w:val="none"/>
              </w:rPr>
              <w:t>本项目</w:t>
            </w:r>
            <w:r>
              <w:rPr>
                <w:rFonts w:hint="eastAsia" w:ascii="Times New Roman" w:hAnsi="Times New Roman"/>
                <w:color w:val="auto"/>
                <w:sz w:val="24"/>
                <w:highlight w:val="none"/>
              </w:rPr>
              <w:t>租赁</w:t>
            </w:r>
            <w:r>
              <w:rPr>
                <w:rFonts w:hint="eastAsia" w:ascii="Times New Roman" w:hAnsi="宋体"/>
                <w:color w:val="auto"/>
                <w:sz w:val="24"/>
                <w:highlight w:val="none"/>
              </w:rPr>
              <w:t>凤台经济开发区国晟</w:t>
            </w:r>
            <w:r>
              <w:rPr>
                <w:rFonts w:hint="eastAsia" w:ascii="Times New Roman" w:hAnsi="宋体"/>
                <w:color w:val="auto"/>
                <w:sz w:val="24"/>
                <w:highlight w:val="none"/>
                <w:lang w:eastAsia="zh-CN"/>
              </w:rPr>
              <w:t>（</w:t>
            </w:r>
            <w:r>
              <w:rPr>
                <w:rFonts w:hint="eastAsia" w:ascii="Times New Roman" w:hAnsi="宋体"/>
                <w:color w:val="auto"/>
                <w:sz w:val="24"/>
                <w:highlight w:val="none"/>
              </w:rPr>
              <w:t>凤台</w:t>
            </w:r>
            <w:r>
              <w:rPr>
                <w:rFonts w:hint="eastAsia" w:ascii="Times New Roman" w:hAnsi="宋体"/>
                <w:color w:val="auto"/>
                <w:sz w:val="24"/>
                <w:highlight w:val="none"/>
                <w:lang w:eastAsia="zh-CN"/>
              </w:rPr>
              <w:t>）</w:t>
            </w:r>
            <w:r>
              <w:rPr>
                <w:rFonts w:hint="eastAsia" w:ascii="Times New Roman" w:hAnsi="宋体"/>
                <w:color w:val="auto"/>
                <w:sz w:val="24"/>
                <w:highlight w:val="none"/>
              </w:rPr>
              <w:t>异质结双碳产业园</w:t>
            </w:r>
            <w:r>
              <w:rPr>
                <w:rFonts w:hint="eastAsia" w:ascii="Times New Roman" w:hAnsi="宋体"/>
                <w:color w:val="auto"/>
                <w:sz w:val="24"/>
                <w:highlight w:val="none"/>
                <w:lang w:val="en-US" w:eastAsia="zh-CN"/>
              </w:rPr>
              <w:t>内的11</w:t>
            </w:r>
            <w:r>
              <w:rPr>
                <w:rFonts w:hint="eastAsia" w:ascii="Times New Roman" w:hAnsi="宋体"/>
                <w:color w:val="auto"/>
                <w:kern w:val="0"/>
                <w:sz w:val="24"/>
                <w:szCs w:val="24"/>
                <w:highlight w:val="none"/>
              </w:rPr>
              <w:t>#、</w:t>
            </w:r>
            <w:r>
              <w:rPr>
                <w:rFonts w:hint="eastAsia" w:ascii="Times New Roman" w:hAnsi="宋体"/>
                <w:color w:val="auto"/>
                <w:kern w:val="0"/>
                <w:sz w:val="24"/>
                <w:szCs w:val="24"/>
                <w:highlight w:val="none"/>
                <w:lang w:val="en-US" w:eastAsia="zh-CN"/>
              </w:rPr>
              <w:t>12</w:t>
            </w:r>
            <w:r>
              <w:rPr>
                <w:rFonts w:hint="eastAsia" w:ascii="Times New Roman" w:hAnsi="宋体"/>
                <w:color w:val="auto"/>
                <w:kern w:val="0"/>
                <w:sz w:val="24"/>
                <w:szCs w:val="24"/>
                <w:highlight w:val="none"/>
              </w:rPr>
              <w:t>#厂房</w:t>
            </w:r>
            <w:r>
              <w:rPr>
                <w:rFonts w:hint="eastAsia" w:ascii="Times New Roman" w:hAnsi="Times New Roman"/>
                <w:color w:val="auto"/>
                <w:sz w:val="24"/>
                <w:highlight w:val="none"/>
              </w:rPr>
              <w:t>，建设</w:t>
            </w:r>
            <w:r>
              <w:rPr>
                <w:rFonts w:hint="eastAsia" w:ascii="Times New Roman" w:hAnsi="宋体"/>
                <w:color w:val="auto"/>
                <w:kern w:val="0"/>
                <w:sz w:val="24"/>
                <w:szCs w:val="24"/>
                <w:highlight w:val="none"/>
                <w:lang w:eastAsia="zh-CN"/>
              </w:rPr>
              <w:t>淮南无双新能源科技有限公司双玻组件用光伏玻璃深加工项目</w:t>
            </w:r>
            <w:r>
              <w:rPr>
                <w:rFonts w:hint="eastAsia" w:ascii="Times New Roman" w:hAnsi="Times New Roman"/>
                <w:color w:val="auto"/>
                <w:sz w:val="24"/>
                <w:highlight w:val="none"/>
              </w:rPr>
              <w:t>，</w:t>
            </w:r>
            <w:r>
              <w:rPr>
                <w:rFonts w:ascii="Times New Roman" w:hAnsi="Times New Roman"/>
                <w:color w:val="auto"/>
                <w:sz w:val="24"/>
                <w:highlight w:val="none"/>
              </w:rPr>
              <w:t>项目主要工程内容详见</w:t>
            </w:r>
            <w:r>
              <w:rPr>
                <w:rFonts w:hint="eastAsia" w:ascii="Times New Roman" w:hAnsi="Times New Roman"/>
                <w:color w:val="auto"/>
                <w:sz w:val="24"/>
                <w:highlight w:val="none"/>
              </w:rPr>
              <w:t>下表。总平面布置图见附图3。</w:t>
            </w:r>
          </w:p>
          <w:p w14:paraId="529CDF12">
            <w:pPr>
              <w:spacing w:line="360" w:lineRule="auto"/>
              <w:jc w:val="center"/>
              <w:rPr>
                <w:rFonts w:ascii="Times New Roman" w:hAnsi="Times New Roman" w:eastAsia="黑体"/>
                <w:bCs/>
                <w:color w:val="auto"/>
                <w:sz w:val="24"/>
                <w:szCs w:val="24"/>
                <w:highlight w:val="none"/>
              </w:rPr>
            </w:pPr>
            <w:r>
              <w:rPr>
                <w:rFonts w:ascii="Times New Roman" w:hAnsi="黑体" w:eastAsia="黑体"/>
                <w:bCs/>
                <w:color w:val="auto"/>
                <w:sz w:val="24"/>
                <w:szCs w:val="24"/>
                <w:highlight w:val="none"/>
              </w:rPr>
              <w:t>表</w:t>
            </w:r>
            <w:r>
              <w:rPr>
                <w:rFonts w:ascii="Times New Roman" w:hAnsi="Times New Roman" w:eastAsia="黑体"/>
                <w:bCs/>
                <w:color w:val="auto"/>
                <w:sz w:val="24"/>
                <w:szCs w:val="24"/>
                <w:highlight w:val="none"/>
              </w:rPr>
              <w:t>2</w:t>
            </w:r>
            <w:r>
              <w:rPr>
                <w:rFonts w:hint="eastAsia" w:ascii="Times New Roman" w:hAnsi="Times New Roman" w:eastAsia="黑体"/>
                <w:bCs/>
                <w:color w:val="auto"/>
                <w:sz w:val="24"/>
                <w:szCs w:val="24"/>
                <w:highlight w:val="none"/>
              </w:rPr>
              <w:t xml:space="preserve">-2  </w:t>
            </w:r>
            <w:r>
              <w:rPr>
                <w:rFonts w:ascii="Times New Roman" w:hAnsi="黑体" w:eastAsia="黑体"/>
                <w:bCs/>
                <w:color w:val="auto"/>
                <w:sz w:val="24"/>
                <w:szCs w:val="24"/>
                <w:highlight w:val="none"/>
              </w:rPr>
              <w:t>本项目</w:t>
            </w:r>
            <w:r>
              <w:rPr>
                <w:rFonts w:hint="eastAsia" w:ascii="Times New Roman" w:hAnsi="黑体" w:eastAsia="黑体"/>
                <w:bCs/>
                <w:color w:val="auto"/>
                <w:sz w:val="24"/>
                <w:szCs w:val="24"/>
                <w:highlight w:val="none"/>
              </w:rPr>
              <w:t>建设</w:t>
            </w:r>
            <w:r>
              <w:rPr>
                <w:rFonts w:ascii="Times New Roman" w:hAnsi="黑体" w:eastAsia="黑体"/>
                <w:bCs/>
                <w:color w:val="auto"/>
                <w:sz w:val="24"/>
                <w:szCs w:val="24"/>
                <w:highlight w:val="none"/>
              </w:rPr>
              <w:t>组成一览表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399"/>
              <w:gridCol w:w="3356"/>
              <w:gridCol w:w="2723"/>
            </w:tblGrid>
            <w:tr w14:paraId="62E16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tcBorders>
                    <w:top w:val="single" w:color="auto" w:sz="8" w:space="0"/>
                  </w:tcBorders>
                  <w:noWrap w:val="0"/>
                  <w:vAlign w:val="center"/>
                </w:tcPr>
                <w:p w14:paraId="1DD4B987">
                  <w:pPr>
                    <w:snapToGrid w:val="0"/>
                    <w:spacing w:line="276" w:lineRule="auto"/>
                    <w:jc w:val="center"/>
                    <w:rPr>
                      <w:rFonts w:ascii="Times New Roman" w:hAnsi="Times New Roman"/>
                      <w:b/>
                      <w:bCs/>
                      <w:color w:val="auto"/>
                      <w:szCs w:val="21"/>
                      <w:highlight w:val="none"/>
                    </w:rPr>
                  </w:pPr>
                  <w:r>
                    <w:rPr>
                      <w:rFonts w:ascii="Times New Roman" w:hAnsi="宋体"/>
                      <w:b/>
                      <w:bCs/>
                      <w:color w:val="auto"/>
                      <w:szCs w:val="21"/>
                      <w:highlight w:val="none"/>
                    </w:rPr>
                    <w:t>工程类别</w:t>
                  </w:r>
                </w:p>
              </w:tc>
              <w:tc>
                <w:tcPr>
                  <w:tcW w:w="840" w:type="pct"/>
                  <w:tcBorders>
                    <w:top w:val="single" w:color="auto" w:sz="8" w:space="0"/>
                  </w:tcBorders>
                  <w:noWrap w:val="0"/>
                  <w:vAlign w:val="center"/>
                </w:tcPr>
                <w:p w14:paraId="160DC041">
                  <w:pPr>
                    <w:snapToGrid w:val="0"/>
                    <w:spacing w:line="276" w:lineRule="auto"/>
                    <w:jc w:val="center"/>
                    <w:rPr>
                      <w:rFonts w:ascii="Times New Roman" w:hAnsi="宋体"/>
                      <w:b/>
                      <w:bCs/>
                      <w:color w:val="auto"/>
                      <w:szCs w:val="21"/>
                      <w:highlight w:val="none"/>
                    </w:rPr>
                  </w:pPr>
                  <w:r>
                    <w:rPr>
                      <w:rFonts w:hint="eastAsia" w:ascii="Times New Roman" w:hAnsi="宋体"/>
                      <w:b/>
                      <w:bCs/>
                      <w:color w:val="auto"/>
                      <w:szCs w:val="21"/>
                      <w:highlight w:val="none"/>
                    </w:rPr>
                    <w:t>单项工程</w:t>
                  </w:r>
                </w:p>
                <w:p w14:paraId="140AE4A7">
                  <w:pPr>
                    <w:snapToGrid w:val="0"/>
                    <w:spacing w:line="276" w:lineRule="auto"/>
                    <w:jc w:val="center"/>
                    <w:rPr>
                      <w:rFonts w:ascii="Times New Roman" w:hAnsi="Times New Roman"/>
                      <w:b/>
                      <w:bCs/>
                      <w:color w:val="auto"/>
                      <w:szCs w:val="21"/>
                      <w:highlight w:val="none"/>
                    </w:rPr>
                  </w:pPr>
                  <w:r>
                    <w:rPr>
                      <w:rFonts w:hint="eastAsia" w:ascii="Times New Roman" w:hAnsi="宋体"/>
                      <w:b/>
                      <w:bCs/>
                      <w:color w:val="auto"/>
                      <w:szCs w:val="21"/>
                      <w:highlight w:val="none"/>
                    </w:rPr>
                    <w:t>名称</w:t>
                  </w:r>
                </w:p>
              </w:tc>
              <w:tc>
                <w:tcPr>
                  <w:tcW w:w="2015" w:type="pct"/>
                  <w:tcBorders>
                    <w:top w:val="single" w:color="auto" w:sz="8" w:space="0"/>
                  </w:tcBorders>
                  <w:noWrap w:val="0"/>
                  <w:vAlign w:val="center"/>
                </w:tcPr>
                <w:p w14:paraId="04DD0C63">
                  <w:pPr>
                    <w:snapToGrid w:val="0"/>
                    <w:spacing w:line="276" w:lineRule="auto"/>
                    <w:jc w:val="center"/>
                    <w:rPr>
                      <w:rFonts w:ascii="Times New Roman" w:hAnsi="Times New Roman"/>
                      <w:b/>
                      <w:bCs/>
                      <w:color w:val="auto"/>
                      <w:szCs w:val="21"/>
                      <w:highlight w:val="none"/>
                    </w:rPr>
                  </w:pPr>
                  <w:r>
                    <w:rPr>
                      <w:rFonts w:hint="eastAsia" w:ascii="Times New Roman" w:hAnsi="宋体"/>
                      <w:b/>
                      <w:bCs/>
                      <w:color w:val="auto"/>
                      <w:szCs w:val="21"/>
                      <w:highlight w:val="none"/>
                    </w:rPr>
                    <w:t>工程内容</w:t>
                  </w:r>
                </w:p>
              </w:tc>
              <w:tc>
                <w:tcPr>
                  <w:tcW w:w="1635" w:type="pct"/>
                  <w:tcBorders>
                    <w:top w:val="single" w:color="auto" w:sz="8" w:space="0"/>
                  </w:tcBorders>
                  <w:noWrap w:val="0"/>
                  <w:vAlign w:val="center"/>
                </w:tcPr>
                <w:p w14:paraId="08F080D0">
                  <w:pPr>
                    <w:snapToGrid w:val="0"/>
                    <w:spacing w:line="276" w:lineRule="auto"/>
                    <w:jc w:val="center"/>
                    <w:rPr>
                      <w:rFonts w:ascii="Times New Roman" w:hAnsi="Times New Roman"/>
                      <w:b/>
                      <w:bCs/>
                      <w:color w:val="auto"/>
                      <w:szCs w:val="21"/>
                      <w:highlight w:val="none"/>
                    </w:rPr>
                  </w:pPr>
                  <w:r>
                    <w:rPr>
                      <w:rFonts w:hint="eastAsia" w:ascii="Times New Roman" w:hAnsi="宋体"/>
                      <w:b/>
                      <w:bCs/>
                      <w:color w:val="auto"/>
                      <w:szCs w:val="21"/>
                      <w:highlight w:val="none"/>
                    </w:rPr>
                    <w:t>工程</w:t>
                  </w:r>
                  <w:r>
                    <w:rPr>
                      <w:rFonts w:ascii="Times New Roman" w:hAnsi="宋体"/>
                      <w:b/>
                      <w:bCs/>
                      <w:color w:val="auto"/>
                      <w:szCs w:val="21"/>
                      <w:highlight w:val="none"/>
                    </w:rPr>
                    <w:t>规模</w:t>
                  </w:r>
                </w:p>
              </w:tc>
            </w:tr>
            <w:tr w14:paraId="552B7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noWrap w:val="0"/>
                  <w:vAlign w:val="center"/>
                </w:tcPr>
                <w:p w14:paraId="5A140E36">
                  <w:pPr>
                    <w:snapToGrid w:val="0"/>
                    <w:spacing w:line="276" w:lineRule="auto"/>
                    <w:jc w:val="center"/>
                    <w:rPr>
                      <w:rFonts w:ascii="Times New Roman" w:hAnsi="宋体"/>
                      <w:b/>
                      <w:bCs/>
                      <w:color w:val="auto"/>
                      <w:szCs w:val="21"/>
                      <w:highlight w:val="none"/>
                    </w:rPr>
                  </w:pPr>
                  <w:r>
                    <w:rPr>
                      <w:rFonts w:ascii="Times New Roman" w:hAnsi="宋体"/>
                      <w:bCs/>
                      <w:color w:val="auto"/>
                      <w:szCs w:val="21"/>
                      <w:highlight w:val="none"/>
                    </w:rPr>
                    <w:t>主体工程</w:t>
                  </w:r>
                </w:p>
              </w:tc>
              <w:tc>
                <w:tcPr>
                  <w:tcW w:w="840" w:type="pct"/>
                  <w:noWrap w:val="0"/>
                  <w:vAlign w:val="center"/>
                </w:tcPr>
                <w:p w14:paraId="1375BCED">
                  <w:pPr>
                    <w:snapToGrid w:val="0"/>
                    <w:spacing w:line="276" w:lineRule="auto"/>
                    <w:jc w:val="center"/>
                    <w:rPr>
                      <w:rFonts w:hint="default" w:ascii="Times New Roman" w:hAnsi="宋体" w:eastAsia="宋体"/>
                      <w:b/>
                      <w:bCs/>
                      <w:color w:val="auto"/>
                      <w:szCs w:val="21"/>
                      <w:highlight w:val="none"/>
                      <w:lang w:val="en-US" w:eastAsia="zh-CN"/>
                    </w:rPr>
                  </w:pPr>
                  <w:r>
                    <w:rPr>
                      <w:rFonts w:hint="eastAsia" w:ascii="Times New Roman" w:hAnsi="Times New Roman"/>
                      <w:bCs/>
                      <w:color w:val="auto"/>
                      <w:szCs w:val="21"/>
                      <w:highlight w:val="none"/>
                      <w:lang w:val="en-US" w:eastAsia="zh-CN"/>
                    </w:rPr>
                    <w:t>生产车间</w:t>
                  </w:r>
                </w:p>
              </w:tc>
              <w:tc>
                <w:tcPr>
                  <w:tcW w:w="2015" w:type="pct"/>
                  <w:noWrap w:val="0"/>
                  <w:vAlign w:val="center"/>
                </w:tcPr>
                <w:p w14:paraId="1B2C727F">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设于11#厂房内，</w:t>
                  </w:r>
                  <w:r>
                    <w:rPr>
                      <w:rFonts w:hint="eastAsia" w:ascii="Times New Roman" w:hAnsi="Times New Roman"/>
                      <w:bCs/>
                      <w:color w:val="auto"/>
                      <w:szCs w:val="21"/>
                      <w:highlight w:val="none"/>
                    </w:rPr>
                    <w:t>购置</w:t>
                  </w:r>
                  <w:r>
                    <w:rPr>
                      <w:rFonts w:hint="eastAsia" w:ascii="Times New Roman" w:hAnsi="Times New Roman"/>
                      <w:bCs/>
                      <w:color w:val="auto"/>
                      <w:szCs w:val="21"/>
                      <w:highlight w:val="none"/>
                      <w:lang w:val="en-US" w:eastAsia="zh-CN"/>
                    </w:rPr>
                    <w:t>磨边机、打孔机、倒角机</w:t>
                  </w:r>
                  <w:r>
                    <w:rPr>
                      <w:rFonts w:hint="eastAsia" w:ascii="Times New Roman" w:hAnsi="Times New Roman"/>
                      <w:bCs/>
                      <w:color w:val="auto"/>
                      <w:szCs w:val="21"/>
                      <w:highlight w:val="none"/>
                    </w:rPr>
                    <w:t>等设备建设</w:t>
                  </w:r>
                  <w:r>
                    <w:rPr>
                      <w:rFonts w:hint="eastAsia" w:ascii="Times New Roman" w:hAnsi="Times New Roman"/>
                      <w:bCs/>
                      <w:color w:val="auto"/>
                      <w:szCs w:val="21"/>
                      <w:highlight w:val="none"/>
                      <w:lang w:val="en-US" w:eastAsia="zh-CN"/>
                    </w:rPr>
                    <w:t>光伏玻璃加工</w:t>
                  </w:r>
                  <w:r>
                    <w:rPr>
                      <w:rFonts w:hint="eastAsia" w:ascii="Times New Roman" w:hAnsi="Times New Roman"/>
                      <w:bCs/>
                      <w:color w:val="auto"/>
                      <w:szCs w:val="21"/>
                      <w:highlight w:val="none"/>
                    </w:rPr>
                    <w:t>生产线</w:t>
                  </w:r>
                </w:p>
              </w:tc>
              <w:tc>
                <w:tcPr>
                  <w:tcW w:w="1635" w:type="pct"/>
                  <w:noWrap w:val="0"/>
                  <w:vAlign w:val="center"/>
                </w:tcPr>
                <w:p w14:paraId="176A2CD1">
                  <w:pPr>
                    <w:snapToGrid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rPr>
                    <w:t>1层，</w:t>
                  </w:r>
                  <w:r>
                    <w:rPr>
                      <w:rFonts w:hint="eastAsia" w:ascii="Times New Roman" w:hAnsi="Times New Roman"/>
                      <w:bCs/>
                      <w:color w:val="auto"/>
                      <w:szCs w:val="21"/>
                      <w:highlight w:val="none"/>
                      <w:lang w:val="en-US" w:eastAsia="zh-CN"/>
                    </w:rPr>
                    <w:t>钢结构，</w:t>
                  </w:r>
                  <w:r>
                    <w:rPr>
                      <w:rFonts w:ascii="Times New Roman" w:hAnsi="Times New Roman"/>
                      <w:bCs/>
                      <w:color w:val="auto"/>
                      <w:szCs w:val="21"/>
                      <w:highlight w:val="none"/>
                    </w:rPr>
                    <w:t>占地面积</w:t>
                  </w:r>
                  <w:r>
                    <w:rPr>
                      <w:rFonts w:hint="eastAsia" w:ascii="Times New Roman" w:hAnsi="Times New Roman"/>
                      <w:bCs/>
                      <w:color w:val="auto"/>
                      <w:szCs w:val="21"/>
                      <w:highlight w:val="none"/>
                      <w:lang w:val="en-US" w:eastAsia="zh-CN"/>
                    </w:rPr>
                    <w:t>44</w:t>
                  </w:r>
                  <w:r>
                    <w:rPr>
                      <w:rFonts w:hint="eastAsia" w:ascii="Times New Roman" w:hAnsi="Times New Roman"/>
                      <w:bCs/>
                      <w:color w:val="auto"/>
                      <w:szCs w:val="21"/>
                      <w:highlight w:val="none"/>
                    </w:rPr>
                    <w:t>00m</w:t>
                  </w:r>
                  <w:r>
                    <w:rPr>
                      <w:rFonts w:hint="eastAsia" w:ascii="Times New Roman" w:hAnsi="Times New Roman"/>
                      <w:bCs/>
                      <w:color w:val="auto"/>
                      <w:szCs w:val="21"/>
                      <w:highlight w:val="none"/>
                      <w:vertAlign w:val="superscript"/>
                    </w:rPr>
                    <w:t>2</w:t>
                  </w:r>
                  <w:r>
                    <w:rPr>
                      <w:rStyle w:val="25"/>
                      <w:rFonts w:ascii="Times New Roman" w:hAnsi="Times New Roman"/>
                      <w:color w:val="auto"/>
                      <w:highlight w:val="none"/>
                    </w:rPr>
                    <w:t>，高1</w:t>
                  </w:r>
                  <w:r>
                    <w:rPr>
                      <w:rStyle w:val="25"/>
                      <w:rFonts w:hint="eastAsia" w:ascii="Times New Roman" w:hAnsi="Times New Roman"/>
                      <w:color w:val="auto"/>
                      <w:highlight w:val="none"/>
                    </w:rPr>
                    <w:t>0</w:t>
                  </w:r>
                  <w:r>
                    <w:rPr>
                      <w:rStyle w:val="25"/>
                      <w:rFonts w:ascii="Times New Roman" w:hAnsi="Times New Roman"/>
                      <w:color w:val="auto"/>
                      <w:highlight w:val="none"/>
                    </w:rPr>
                    <w:t>m</w:t>
                  </w:r>
                  <w:r>
                    <w:rPr>
                      <w:rStyle w:val="25"/>
                      <w:rFonts w:hint="eastAsia" w:ascii="Times New Roman" w:hAnsi="Times New Roman"/>
                      <w:color w:val="auto"/>
                      <w:highlight w:val="none"/>
                      <w:lang w:eastAsia="zh-CN"/>
                    </w:rPr>
                    <w:t>，</w:t>
                  </w:r>
                  <w:r>
                    <w:rPr>
                      <w:rStyle w:val="25"/>
                      <w:rFonts w:hint="eastAsia" w:ascii="Times New Roman" w:hAnsi="Times New Roman"/>
                      <w:color w:val="auto"/>
                      <w:highlight w:val="none"/>
                      <w:lang w:val="en-US" w:eastAsia="zh-CN"/>
                    </w:rPr>
                    <w:t>年产光伏玻璃</w:t>
                  </w:r>
                  <w:r>
                    <w:rPr>
                      <w:rFonts w:hint="default" w:ascii="Times New Roman" w:hAnsi="Times New Roman" w:eastAsia="宋体" w:cs="Times New Roman"/>
                      <w:color w:val="auto"/>
                      <w:kern w:val="0"/>
                      <w:sz w:val="21"/>
                      <w:szCs w:val="21"/>
                      <w:highlight w:val="none"/>
                      <w:lang w:val="en-US" w:eastAsia="zh-CN" w:bidi="ar"/>
                    </w:rPr>
                    <w:t>3600万</w:t>
                  </w:r>
                  <w:r>
                    <w:rPr>
                      <w:rFonts w:hint="eastAsia" w:ascii="Times New Roman" w:hAnsi="Times New Roman" w:eastAsia="宋体" w:cs="Times New Roman"/>
                      <w:color w:val="auto"/>
                      <w:kern w:val="0"/>
                      <w:sz w:val="21"/>
                      <w:szCs w:val="21"/>
                      <w:highlight w:val="none"/>
                      <w:lang w:val="en-US" w:eastAsia="zh-CN" w:bidi="ar"/>
                    </w:rPr>
                    <w:t>平方米。</w:t>
                  </w:r>
                </w:p>
              </w:tc>
            </w:tr>
            <w:tr w14:paraId="57B0A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noWrap w:val="0"/>
                  <w:vAlign w:val="center"/>
                </w:tcPr>
                <w:p w14:paraId="799E0492">
                  <w:pPr>
                    <w:snapToGrid w:val="0"/>
                    <w:spacing w:line="276" w:lineRule="auto"/>
                    <w:jc w:val="center"/>
                    <w:rPr>
                      <w:rFonts w:ascii="Times New Roman" w:hAnsi="宋体"/>
                      <w:bCs/>
                      <w:color w:val="auto"/>
                      <w:szCs w:val="21"/>
                      <w:highlight w:val="none"/>
                    </w:rPr>
                  </w:pPr>
                  <w:r>
                    <w:rPr>
                      <w:rFonts w:ascii="Times New Roman" w:hAnsi="宋体"/>
                      <w:bCs/>
                      <w:color w:val="auto"/>
                      <w:szCs w:val="21"/>
                      <w:highlight w:val="none"/>
                    </w:rPr>
                    <w:t>辅助工程</w:t>
                  </w:r>
                </w:p>
              </w:tc>
              <w:tc>
                <w:tcPr>
                  <w:tcW w:w="840" w:type="pct"/>
                  <w:noWrap w:val="0"/>
                  <w:vAlign w:val="center"/>
                </w:tcPr>
                <w:p w14:paraId="123EEFFE">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办公区</w:t>
                  </w:r>
                </w:p>
              </w:tc>
              <w:tc>
                <w:tcPr>
                  <w:tcW w:w="2015" w:type="pct"/>
                  <w:noWrap w:val="0"/>
                  <w:vAlign w:val="center"/>
                </w:tcPr>
                <w:p w14:paraId="1D63DCD1">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设于</w:t>
                  </w:r>
                  <w:r>
                    <w:rPr>
                      <w:rFonts w:hint="eastAsia" w:ascii="Times New Roman" w:hAnsi="Times New Roman"/>
                      <w:bCs/>
                      <w:color w:val="auto"/>
                      <w:szCs w:val="21"/>
                      <w:highlight w:val="none"/>
                      <w:lang w:val="en-US" w:eastAsia="zh-CN"/>
                    </w:rPr>
                    <w:t>12</w:t>
                  </w:r>
                  <w:r>
                    <w:rPr>
                      <w:rFonts w:hint="eastAsia" w:ascii="Times New Roman" w:hAnsi="Times New Roman"/>
                      <w:bCs/>
                      <w:color w:val="auto"/>
                      <w:szCs w:val="21"/>
                      <w:highlight w:val="none"/>
                    </w:rPr>
                    <w:t>#厂房</w:t>
                  </w:r>
                  <w:r>
                    <w:rPr>
                      <w:rFonts w:hint="eastAsia" w:ascii="Times New Roman" w:hAnsi="Times New Roman"/>
                      <w:bCs/>
                      <w:color w:val="auto"/>
                      <w:szCs w:val="21"/>
                      <w:highlight w:val="none"/>
                      <w:lang w:val="en-US" w:eastAsia="zh-CN"/>
                    </w:rPr>
                    <w:t>北部</w:t>
                  </w:r>
                  <w:r>
                    <w:rPr>
                      <w:rFonts w:hint="eastAsia" w:ascii="Times New Roman" w:hAnsi="Times New Roman"/>
                      <w:bCs/>
                      <w:color w:val="auto"/>
                      <w:szCs w:val="21"/>
                      <w:highlight w:val="none"/>
                    </w:rPr>
                    <w:t>，用于办公</w:t>
                  </w:r>
                </w:p>
              </w:tc>
              <w:tc>
                <w:tcPr>
                  <w:tcW w:w="1635" w:type="pct"/>
                  <w:noWrap w:val="0"/>
                  <w:vAlign w:val="center"/>
                </w:tcPr>
                <w:p w14:paraId="09174C07">
                  <w:pPr>
                    <w:snapToGrid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1层</w:t>
                  </w:r>
                  <w:r>
                    <w:rPr>
                      <w:rFonts w:hint="eastAsia" w:ascii="Times New Roman" w:hAnsi="Times New Roman"/>
                      <w:bCs/>
                      <w:color w:val="auto"/>
                      <w:szCs w:val="21"/>
                      <w:highlight w:val="none"/>
                    </w:rPr>
                    <w:t>，</w:t>
                  </w:r>
                  <w:r>
                    <w:rPr>
                      <w:rFonts w:hint="eastAsia" w:ascii="Times New Roman" w:hAnsi="Times New Roman"/>
                      <w:bCs/>
                      <w:color w:val="auto"/>
                      <w:szCs w:val="21"/>
                      <w:highlight w:val="none"/>
                      <w:lang w:val="en-US" w:eastAsia="zh-CN"/>
                    </w:rPr>
                    <w:t>钢结构，</w:t>
                  </w:r>
                  <w:r>
                    <w:rPr>
                      <w:rFonts w:ascii="Times New Roman" w:hAnsi="Times New Roman"/>
                      <w:bCs/>
                      <w:color w:val="auto"/>
                      <w:szCs w:val="21"/>
                      <w:highlight w:val="none"/>
                    </w:rPr>
                    <w:t>占地面积</w:t>
                  </w:r>
                  <w:r>
                    <w:rPr>
                      <w:rFonts w:hint="eastAsia" w:ascii="Times New Roman" w:hAnsi="Times New Roman"/>
                      <w:bCs/>
                      <w:color w:val="auto"/>
                      <w:szCs w:val="21"/>
                      <w:highlight w:val="none"/>
                      <w:lang w:val="en-US" w:eastAsia="zh-CN"/>
                    </w:rPr>
                    <w:t>400</w:t>
                  </w:r>
                  <w:r>
                    <w:rPr>
                      <w:rFonts w:hint="eastAsia" w:ascii="Times New Roman" w:hAnsi="Times New Roman"/>
                      <w:bCs/>
                      <w:color w:val="auto"/>
                      <w:szCs w:val="21"/>
                      <w:highlight w:val="none"/>
                    </w:rPr>
                    <w:t>m</w:t>
                  </w:r>
                  <w:r>
                    <w:rPr>
                      <w:rFonts w:hint="eastAsia" w:ascii="Times New Roman" w:hAnsi="Times New Roman"/>
                      <w:bCs/>
                      <w:color w:val="auto"/>
                      <w:szCs w:val="21"/>
                      <w:highlight w:val="none"/>
                      <w:vertAlign w:val="superscript"/>
                    </w:rPr>
                    <w:t>2</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高3.5m</w:t>
                  </w:r>
                </w:p>
              </w:tc>
            </w:tr>
            <w:tr w14:paraId="4DC84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restart"/>
                  <w:noWrap w:val="0"/>
                  <w:vAlign w:val="center"/>
                </w:tcPr>
                <w:p w14:paraId="525225A5">
                  <w:pPr>
                    <w:snapToGrid w:val="0"/>
                    <w:spacing w:line="276" w:lineRule="auto"/>
                    <w:jc w:val="center"/>
                    <w:rPr>
                      <w:rFonts w:ascii="Times New Roman" w:hAnsi="宋体"/>
                      <w:bCs/>
                      <w:color w:val="auto"/>
                      <w:szCs w:val="21"/>
                      <w:highlight w:val="none"/>
                    </w:rPr>
                  </w:pPr>
                  <w:r>
                    <w:rPr>
                      <w:rFonts w:ascii="Times New Roman" w:hAnsi="宋体"/>
                      <w:bCs/>
                      <w:color w:val="auto"/>
                      <w:szCs w:val="21"/>
                      <w:highlight w:val="none"/>
                    </w:rPr>
                    <w:t>储运工程</w:t>
                  </w:r>
                </w:p>
              </w:tc>
              <w:tc>
                <w:tcPr>
                  <w:tcW w:w="840" w:type="pct"/>
                  <w:noWrap w:val="0"/>
                  <w:vAlign w:val="center"/>
                </w:tcPr>
                <w:p w14:paraId="13797E24">
                  <w:pPr>
                    <w:snapToGrid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化学品库</w:t>
                  </w:r>
                </w:p>
              </w:tc>
              <w:tc>
                <w:tcPr>
                  <w:tcW w:w="2015" w:type="pct"/>
                  <w:noWrap w:val="0"/>
                  <w:vAlign w:val="center"/>
                </w:tcPr>
                <w:p w14:paraId="491B5437">
                  <w:pPr>
                    <w:snapToGrid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在12#厂房内东北部设置化学品库，主要用于存放高反射膜材料、润滑油。</w:t>
                  </w:r>
                </w:p>
              </w:tc>
              <w:tc>
                <w:tcPr>
                  <w:tcW w:w="1635" w:type="pct"/>
                  <w:noWrap w:val="0"/>
                  <w:vAlign w:val="center"/>
                </w:tcPr>
                <w:p w14:paraId="0B44820C">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1层</w:t>
                  </w:r>
                  <w:r>
                    <w:rPr>
                      <w:rFonts w:hint="eastAsia" w:ascii="Times New Roman" w:hAnsi="Times New Roman"/>
                      <w:bCs/>
                      <w:color w:val="auto"/>
                      <w:szCs w:val="21"/>
                      <w:highlight w:val="none"/>
                    </w:rPr>
                    <w:t>，</w:t>
                  </w:r>
                  <w:r>
                    <w:rPr>
                      <w:rFonts w:hint="eastAsia" w:ascii="Times New Roman" w:hAnsi="Times New Roman"/>
                      <w:bCs/>
                      <w:color w:val="auto"/>
                      <w:szCs w:val="21"/>
                      <w:highlight w:val="none"/>
                      <w:lang w:val="en-US" w:eastAsia="zh-CN"/>
                    </w:rPr>
                    <w:t>钢结构，</w:t>
                  </w:r>
                  <w:r>
                    <w:rPr>
                      <w:rFonts w:ascii="Times New Roman" w:hAnsi="Times New Roman"/>
                      <w:bCs/>
                      <w:color w:val="auto"/>
                      <w:szCs w:val="21"/>
                      <w:highlight w:val="none"/>
                    </w:rPr>
                    <w:t>占地面积</w:t>
                  </w:r>
                  <w:r>
                    <w:rPr>
                      <w:rFonts w:hint="eastAsia" w:ascii="Times New Roman" w:hAnsi="Times New Roman"/>
                      <w:bCs/>
                      <w:color w:val="auto"/>
                      <w:szCs w:val="21"/>
                      <w:highlight w:val="none"/>
                      <w:lang w:val="en-US" w:eastAsia="zh-CN"/>
                    </w:rPr>
                    <w:t>40</w:t>
                  </w:r>
                  <w:r>
                    <w:rPr>
                      <w:rFonts w:hint="eastAsia" w:ascii="Times New Roman" w:hAnsi="Times New Roman"/>
                      <w:bCs/>
                      <w:color w:val="auto"/>
                      <w:szCs w:val="21"/>
                      <w:highlight w:val="none"/>
                    </w:rPr>
                    <w:t>m</w:t>
                  </w:r>
                  <w:r>
                    <w:rPr>
                      <w:rFonts w:hint="eastAsia" w:ascii="Times New Roman" w:hAnsi="Times New Roman"/>
                      <w:bCs/>
                      <w:color w:val="auto"/>
                      <w:szCs w:val="21"/>
                      <w:highlight w:val="none"/>
                      <w:vertAlign w:val="superscript"/>
                    </w:rPr>
                    <w:t>2</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高3.5m</w:t>
                  </w:r>
                </w:p>
              </w:tc>
            </w:tr>
            <w:tr w14:paraId="1B8E8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63E6E2A8">
                  <w:pPr>
                    <w:snapToGrid w:val="0"/>
                    <w:spacing w:line="276" w:lineRule="auto"/>
                    <w:jc w:val="center"/>
                    <w:rPr>
                      <w:rFonts w:ascii="Times New Roman" w:hAnsi="宋体"/>
                      <w:bCs/>
                      <w:color w:val="auto"/>
                      <w:szCs w:val="21"/>
                      <w:highlight w:val="none"/>
                    </w:rPr>
                  </w:pPr>
                </w:p>
              </w:tc>
              <w:tc>
                <w:tcPr>
                  <w:tcW w:w="840" w:type="pct"/>
                  <w:noWrap w:val="0"/>
                  <w:vAlign w:val="center"/>
                </w:tcPr>
                <w:p w14:paraId="5F00545B">
                  <w:pPr>
                    <w:snapToGrid w:val="0"/>
                    <w:spacing w:line="276" w:lineRule="auto"/>
                    <w:jc w:val="center"/>
                    <w:rPr>
                      <w:rFonts w:ascii="Times New Roman" w:hAnsi="Times New Roman"/>
                      <w:bCs/>
                      <w:color w:val="auto"/>
                      <w:szCs w:val="21"/>
                      <w:highlight w:val="none"/>
                    </w:rPr>
                  </w:pPr>
                  <w:r>
                    <w:rPr>
                      <w:rFonts w:ascii="Times New Roman" w:hAnsi="Times New Roman"/>
                      <w:bCs/>
                      <w:color w:val="auto"/>
                      <w:szCs w:val="21"/>
                      <w:highlight w:val="none"/>
                    </w:rPr>
                    <w:t>成品</w:t>
                  </w:r>
                  <w:r>
                    <w:rPr>
                      <w:rFonts w:hint="eastAsia" w:ascii="Times New Roman" w:hAnsi="Times New Roman"/>
                      <w:bCs/>
                      <w:color w:val="auto"/>
                      <w:szCs w:val="21"/>
                      <w:highlight w:val="none"/>
                      <w:lang w:val="en-US" w:eastAsia="zh-CN"/>
                    </w:rPr>
                    <w:t>堆放</w:t>
                  </w:r>
                  <w:r>
                    <w:rPr>
                      <w:rFonts w:ascii="Times New Roman" w:hAnsi="Times New Roman"/>
                      <w:bCs/>
                      <w:color w:val="auto"/>
                      <w:szCs w:val="21"/>
                      <w:highlight w:val="none"/>
                    </w:rPr>
                    <w:t>区</w:t>
                  </w:r>
                </w:p>
              </w:tc>
              <w:tc>
                <w:tcPr>
                  <w:tcW w:w="2015" w:type="pct"/>
                  <w:noWrap w:val="0"/>
                  <w:vAlign w:val="center"/>
                </w:tcPr>
                <w:p w14:paraId="0B6D49A9">
                  <w:pPr>
                    <w:snapToGrid w:val="0"/>
                    <w:spacing w:line="276" w:lineRule="auto"/>
                    <w:jc w:val="center"/>
                    <w:rPr>
                      <w:rFonts w:hint="eastAsia" w:ascii="Times New Roman" w:hAnsi="Times New Roman"/>
                      <w:bCs/>
                      <w:color w:val="auto"/>
                      <w:szCs w:val="21"/>
                      <w:highlight w:val="none"/>
                    </w:rPr>
                  </w:pPr>
                  <w:r>
                    <w:rPr>
                      <w:rFonts w:hint="eastAsia" w:ascii="Times New Roman" w:hAnsi="Times New Roman"/>
                      <w:bCs/>
                      <w:color w:val="auto"/>
                      <w:szCs w:val="21"/>
                      <w:highlight w:val="none"/>
                    </w:rPr>
                    <w:t>在</w:t>
                  </w:r>
                  <w:r>
                    <w:rPr>
                      <w:rFonts w:hint="eastAsia" w:ascii="Times New Roman" w:hAnsi="Times New Roman"/>
                      <w:bCs/>
                      <w:color w:val="auto"/>
                      <w:szCs w:val="21"/>
                      <w:highlight w:val="none"/>
                      <w:lang w:val="en-US" w:eastAsia="zh-CN"/>
                    </w:rPr>
                    <w:t>1</w:t>
                  </w:r>
                  <w:r>
                    <w:rPr>
                      <w:rFonts w:hint="eastAsia" w:ascii="Times New Roman" w:hAnsi="Times New Roman"/>
                      <w:bCs/>
                      <w:color w:val="auto"/>
                      <w:szCs w:val="21"/>
                      <w:highlight w:val="none"/>
                    </w:rPr>
                    <w:t>2#厂房</w:t>
                  </w:r>
                  <w:r>
                    <w:rPr>
                      <w:rFonts w:hint="eastAsia" w:ascii="Times New Roman" w:hAnsi="Times New Roman"/>
                      <w:bCs/>
                      <w:color w:val="auto"/>
                      <w:szCs w:val="21"/>
                      <w:highlight w:val="none"/>
                      <w:lang w:val="en-US" w:eastAsia="zh-CN"/>
                    </w:rPr>
                    <w:t>内东南部</w:t>
                  </w:r>
                  <w:r>
                    <w:rPr>
                      <w:rFonts w:hint="eastAsia" w:ascii="Times New Roman" w:hAnsi="Times New Roman"/>
                      <w:bCs/>
                      <w:color w:val="auto"/>
                      <w:szCs w:val="21"/>
                      <w:highlight w:val="none"/>
                    </w:rPr>
                    <w:t>设置</w:t>
                  </w:r>
                  <w:r>
                    <w:rPr>
                      <w:rFonts w:ascii="Times New Roman" w:hAnsi="Times New Roman"/>
                      <w:bCs/>
                      <w:color w:val="auto"/>
                      <w:szCs w:val="21"/>
                      <w:highlight w:val="none"/>
                    </w:rPr>
                    <w:t>成品</w:t>
                  </w:r>
                  <w:r>
                    <w:rPr>
                      <w:rFonts w:hint="eastAsia" w:ascii="Times New Roman" w:hAnsi="Times New Roman"/>
                      <w:bCs/>
                      <w:color w:val="auto"/>
                      <w:szCs w:val="21"/>
                      <w:highlight w:val="none"/>
                    </w:rPr>
                    <w:t>堆放</w:t>
                  </w:r>
                  <w:r>
                    <w:rPr>
                      <w:rFonts w:ascii="Times New Roman" w:hAnsi="Times New Roman"/>
                      <w:bCs/>
                      <w:color w:val="auto"/>
                      <w:szCs w:val="21"/>
                      <w:highlight w:val="none"/>
                    </w:rPr>
                    <w:t>区，主要用于</w:t>
                  </w:r>
                  <w:r>
                    <w:rPr>
                      <w:rFonts w:hint="eastAsia" w:ascii="Times New Roman" w:hAnsi="Times New Roman"/>
                      <w:bCs/>
                      <w:color w:val="auto"/>
                      <w:szCs w:val="21"/>
                      <w:highlight w:val="none"/>
                      <w:lang w:val="en-US" w:eastAsia="zh-CN"/>
                    </w:rPr>
                    <w:t>光伏玻璃</w:t>
                  </w:r>
                  <w:r>
                    <w:rPr>
                      <w:rFonts w:hint="eastAsia" w:ascii="Times New Roman" w:hAnsi="Times New Roman"/>
                      <w:bCs/>
                      <w:color w:val="auto"/>
                      <w:szCs w:val="21"/>
                      <w:highlight w:val="none"/>
                    </w:rPr>
                    <w:t>成品</w:t>
                  </w:r>
                  <w:r>
                    <w:rPr>
                      <w:rFonts w:ascii="Times New Roman" w:hAnsi="Times New Roman"/>
                      <w:bCs/>
                      <w:color w:val="auto"/>
                      <w:szCs w:val="21"/>
                      <w:highlight w:val="none"/>
                    </w:rPr>
                    <w:t>的存放</w:t>
                  </w:r>
                </w:p>
              </w:tc>
              <w:tc>
                <w:tcPr>
                  <w:tcW w:w="1635" w:type="pct"/>
                  <w:noWrap w:val="0"/>
                  <w:vAlign w:val="center"/>
                </w:tcPr>
                <w:p w14:paraId="468AD1FD">
                  <w:pPr>
                    <w:snapToGrid w:val="0"/>
                    <w:spacing w:line="276" w:lineRule="auto"/>
                    <w:jc w:val="center"/>
                    <w:rPr>
                      <w:rFonts w:hint="eastAsia" w:ascii="Times New Roman" w:hAnsi="Times New Roman"/>
                      <w:bCs/>
                      <w:color w:val="auto"/>
                      <w:szCs w:val="21"/>
                      <w:highlight w:val="none"/>
                    </w:rPr>
                  </w:pPr>
                  <w:r>
                    <w:rPr>
                      <w:rFonts w:hint="eastAsia" w:ascii="Times New Roman" w:hAnsi="Times New Roman"/>
                      <w:bCs/>
                      <w:color w:val="auto"/>
                      <w:szCs w:val="21"/>
                      <w:highlight w:val="none"/>
                    </w:rPr>
                    <w:t>1层，</w:t>
                  </w:r>
                  <w:r>
                    <w:rPr>
                      <w:rFonts w:hint="eastAsia" w:ascii="Times New Roman" w:hAnsi="Times New Roman"/>
                      <w:bCs/>
                      <w:color w:val="auto"/>
                      <w:szCs w:val="21"/>
                      <w:highlight w:val="none"/>
                      <w:lang w:val="en-US" w:eastAsia="zh-CN"/>
                    </w:rPr>
                    <w:t>钢结构，</w:t>
                  </w:r>
                  <w:r>
                    <w:rPr>
                      <w:rFonts w:ascii="Times New Roman" w:hAnsi="Times New Roman"/>
                      <w:bCs/>
                      <w:color w:val="auto"/>
                      <w:szCs w:val="21"/>
                      <w:highlight w:val="none"/>
                    </w:rPr>
                    <w:t>占地面积</w:t>
                  </w:r>
                  <w:r>
                    <w:rPr>
                      <w:rFonts w:hint="eastAsia" w:ascii="Times New Roman" w:hAnsi="Times New Roman"/>
                      <w:bCs/>
                      <w:color w:val="auto"/>
                      <w:szCs w:val="21"/>
                      <w:highlight w:val="none"/>
                      <w:lang w:val="en-US" w:eastAsia="zh-CN"/>
                    </w:rPr>
                    <w:t>500</w:t>
                  </w:r>
                  <w:r>
                    <w:rPr>
                      <w:rFonts w:hint="eastAsia" w:ascii="Times New Roman" w:hAnsi="Times New Roman"/>
                      <w:bCs/>
                      <w:color w:val="auto"/>
                      <w:szCs w:val="21"/>
                      <w:highlight w:val="none"/>
                    </w:rPr>
                    <w:t>m</w:t>
                  </w:r>
                  <w:r>
                    <w:rPr>
                      <w:rFonts w:hint="eastAsia" w:ascii="Times New Roman" w:hAnsi="Times New Roman"/>
                      <w:bCs/>
                      <w:color w:val="auto"/>
                      <w:szCs w:val="21"/>
                      <w:highlight w:val="none"/>
                      <w:vertAlign w:val="superscript"/>
                    </w:rPr>
                    <w:t>2</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高10m</w:t>
                  </w:r>
                </w:p>
              </w:tc>
            </w:tr>
            <w:tr w14:paraId="180B9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09" w:type="pct"/>
                  <w:vMerge w:val="continue"/>
                  <w:noWrap w:val="0"/>
                  <w:vAlign w:val="center"/>
                </w:tcPr>
                <w:p w14:paraId="4D6F64A1">
                  <w:pPr>
                    <w:snapToGrid w:val="0"/>
                    <w:spacing w:line="276" w:lineRule="auto"/>
                    <w:ind w:firstLine="360"/>
                    <w:jc w:val="center"/>
                    <w:rPr>
                      <w:rFonts w:ascii="Times New Roman" w:hAnsi="Times New Roman"/>
                      <w:bCs/>
                      <w:color w:val="auto"/>
                      <w:szCs w:val="21"/>
                      <w:highlight w:val="none"/>
                    </w:rPr>
                  </w:pPr>
                </w:p>
              </w:tc>
              <w:tc>
                <w:tcPr>
                  <w:tcW w:w="840" w:type="pct"/>
                  <w:noWrap w:val="0"/>
                  <w:vAlign w:val="center"/>
                </w:tcPr>
                <w:p w14:paraId="25E92C72">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原料</w:t>
                  </w:r>
                  <w:r>
                    <w:rPr>
                      <w:rFonts w:hint="eastAsia" w:ascii="Times New Roman" w:hAnsi="Times New Roman"/>
                      <w:bCs/>
                      <w:color w:val="auto"/>
                      <w:szCs w:val="21"/>
                      <w:highlight w:val="none"/>
                      <w:lang w:val="en-US" w:eastAsia="zh-CN"/>
                    </w:rPr>
                    <w:t>堆放</w:t>
                  </w:r>
                  <w:r>
                    <w:rPr>
                      <w:rFonts w:hint="eastAsia" w:ascii="Times New Roman" w:hAnsi="Times New Roman"/>
                      <w:bCs/>
                      <w:color w:val="auto"/>
                      <w:szCs w:val="21"/>
                      <w:highlight w:val="none"/>
                    </w:rPr>
                    <w:t>区</w:t>
                  </w:r>
                </w:p>
              </w:tc>
              <w:tc>
                <w:tcPr>
                  <w:tcW w:w="2015" w:type="pct"/>
                  <w:noWrap w:val="0"/>
                  <w:vAlign w:val="center"/>
                </w:tcPr>
                <w:p w14:paraId="7EC7B7A2">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在</w:t>
                  </w:r>
                  <w:r>
                    <w:rPr>
                      <w:rFonts w:hint="eastAsia" w:ascii="Times New Roman" w:hAnsi="Times New Roman"/>
                      <w:bCs/>
                      <w:color w:val="auto"/>
                      <w:szCs w:val="21"/>
                      <w:highlight w:val="none"/>
                      <w:lang w:val="en-US" w:eastAsia="zh-CN"/>
                    </w:rPr>
                    <w:t>1</w:t>
                  </w:r>
                  <w:r>
                    <w:rPr>
                      <w:rFonts w:hint="eastAsia" w:ascii="Times New Roman" w:hAnsi="Times New Roman"/>
                      <w:bCs/>
                      <w:color w:val="auto"/>
                      <w:szCs w:val="21"/>
                      <w:highlight w:val="none"/>
                    </w:rPr>
                    <w:t>2#厂房</w:t>
                  </w:r>
                  <w:r>
                    <w:rPr>
                      <w:rFonts w:hint="eastAsia" w:ascii="Times New Roman" w:hAnsi="Times New Roman"/>
                      <w:bCs/>
                      <w:color w:val="auto"/>
                      <w:szCs w:val="21"/>
                      <w:highlight w:val="none"/>
                      <w:lang w:val="en-US" w:eastAsia="zh-CN"/>
                    </w:rPr>
                    <w:t>内西南部</w:t>
                  </w:r>
                  <w:r>
                    <w:rPr>
                      <w:rFonts w:hint="eastAsia" w:ascii="Times New Roman" w:hAnsi="Times New Roman"/>
                      <w:bCs/>
                      <w:color w:val="auto"/>
                      <w:szCs w:val="21"/>
                      <w:highlight w:val="none"/>
                    </w:rPr>
                    <w:t>设置原料堆放</w:t>
                  </w:r>
                  <w:r>
                    <w:rPr>
                      <w:rFonts w:ascii="Times New Roman" w:hAnsi="Times New Roman"/>
                      <w:bCs/>
                      <w:color w:val="auto"/>
                      <w:szCs w:val="21"/>
                      <w:highlight w:val="none"/>
                    </w:rPr>
                    <w:t>区，主要用于</w:t>
                  </w:r>
                  <w:r>
                    <w:rPr>
                      <w:rFonts w:hint="eastAsia" w:ascii="Times New Roman" w:hAnsi="Times New Roman"/>
                      <w:bCs/>
                      <w:color w:val="auto"/>
                      <w:szCs w:val="21"/>
                      <w:highlight w:val="none"/>
                      <w:lang w:val="en-US" w:eastAsia="zh-CN"/>
                    </w:rPr>
                    <w:t>玻璃原片、包装材料的</w:t>
                  </w:r>
                  <w:r>
                    <w:rPr>
                      <w:rFonts w:ascii="Times New Roman" w:hAnsi="Times New Roman"/>
                      <w:bCs/>
                      <w:color w:val="auto"/>
                      <w:szCs w:val="21"/>
                      <w:highlight w:val="none"/>
                    </w:rPr>
                    <w:t>存放</w:t>
                  </w:r>
                </w:p>
              </w:tc>
              <w:tc>
                <w:tcPr>
                  <w:tcW w:w="1635" w:type="pct"/>
                  <w:noWrap w:val="0"/>
                  <w:vAlign w:val="center"/>
                </w:tcPr>
                <w:p w14:paraId="784E1FF3">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1层，</w:t>
                  </w:r>
                  <w:r>
                    <w:rPr>
                      <w:rFonts w:hint="eastAsia" w:ascii="Times New Roman" w:hAnsi="Times New Roman"/>
                      <w:bCs/>
                      <w:color w:val="auto"/>
                      <w:szCs w:val="21"/>
                      <w:highlight w:val="none"/>
                      <w:lang w:val="en-US" w:eastAsia="zh-CN"/>
                    </w:rPr>
                    <w:t>钢结构，</w:t>
                  </w:r>
                  <w:r>
                    <w:rPr>
                      <w:rFonts w:ascii="Times New Roman" w:hAnsi="Times New Roman"/>
                      <w:bCs/>
                      <w:color w:val="auto"/>
                      <w:szCs w:val="21"/>
                      <w:highlight w:val="none"/>
                    </w:rPr>
                    <w:t>占地面积</w:t>
                  </w:r>
                  <w:r>
                    <w:rPr>
                      <w:rFonts w:hint="eastAsia" w:ascii="Times New Roman" w:hAnsi="Times New Roman"/>
                      <w:bCs/>
                      <w:color w:val="auto"/>
                      <w:szCs w:val="21"/>
                      <w:highlight w:val="none"/>
                      <w:lang w:val="en-US" w:eastAsia="zh-CN"/>
                    </w:rPr>
                    <w:t>500</w:t>
                  </w:r>
                  <w:r>
                    <w:rPr>
                      <w:rFonts w:hint="eastAsia" w:ascii="Times New Roman" w:hAnsi="Times New Roman"/>
                      <w:bCs/>
                      <w:color w:val="auto"/>
                      <w:szCs w:val="21"/>
                      <w:highlight w:val="none"/>
                    </w:rPr>
                    <w:t>m</w:t>
                  </w:r>
                  <w:r>
                    <w:rPr>
                      <w:rFonts w:hint="eastAsia" w:ascii="Times New Roman" w:hAnsi="Times New Roman"/>
                      <w:bCs/>
                      <w:color w:val="auto"/>
                      <w:szCs w:val="21"/>
                      <w:highlight w:val="none"/>
                      <w:vertAlign w:val="superscript"/>
                    </w:rPr>
                    <w:t>2</w:t>
                  </w:r>
                  <w:r>
                    <w:rPr>
                      <w:rFonts w:hint="eastAsia" w:ascii="Times New Roman" w:hAnsi="Times New Roman"/>
                      <w:bCs/>
                      <w:color w:val="auto"/>
                      <w:szCs w:val="21"/>
                      <w:highlight w:val="none"/>
                      <w:vertAlign w:val="baseline"/>
                      <w:lang w:eastAsia="zh-CN"/>
                    </w:rPr>
                    <w:t>，</w:t>
                  </w:r>
                  <w:r>
                    <w:rPr>
                      <w:rFonts w:hint="eastAsia" w:ascii="Times New Roman" w:hAnsi="Times New Roman"/>
                      <w:bCs/>
                      <w:color w:val="auto"/>
                      <w:szCs w:val="21"/>
                      <w:highlight w:val="none"/>
                      <w:vertAlign w:val="baseline"/>
                      <w:lang w:val="en-US" w:eastAsia="zh-CN"/>
                    </w:rPr>
                    <w:t>高10m</w:t>
                  </w:r>
                </w:p>
              </w:tc>
            </w:tr>
            <w:tr w14:paraId="624C0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restart"/>
                  <w:noWrap w:val="0"/>
                  <w:vAlign w:val="center"/>
                </w:tcPr>
                <w:p w14:paraId="6B7A454D">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公用工程</w:t>
                  </w:r>
                </w:p>
              </w:tc>
              <w:tc>
                <w:tcPr>
                  <w:tcW w:w="840" w:type="pct"/>
                  <w:noWrap w:val="0"/>
                  <w:vAlign w:val="center"/>
                </w:tcPr>
                <w:p w14:paraId="0C4E7873">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供电</w:t>
                  </w:r>
                </w:p>
              </w:tc>
              <w:tc>
                <w:tcPr>
                  <w:tcW w:w="2015" w:type="pct"/>
                  <w:noWrap w:val="0"/>
                  <w:vAlign w:val="center"/>
                </w:tcPr>
                <w:p w14:paraId="446AA989">
                  <w:pPr>
                    <w:snapToGrid w:val="0"/>
                    <w:spacing w:line="276" w:lineRule="auto"/>
                    <w:jc w:val="center"/>
                    <w:rPr>
                      <w:rFonts w:ascii="Times New Roman" w:hAnsi="Times New Roman"/>
                      <w:bCs/>
                      <w:color w:val="auto"/>
                      <w:szCs w:val="21"/>
                      <w:highlight w:val="none"/>
                    </w:rPr>
                  </w:pPr>
                  <w:r>
                    <w:rPr>
                      <w:rFonts w:hint="eastAsia"/>
                      <w:color w:val="auto"/>
                      <w:szCs w:val="21"/>
                      <w:highlight w:val="none"/>
                    </w:rPr>
                    <w:t>市政电网供电</w:t>
                  </w:r>
                </w:p>
              </w:tc>
              <w:tc>
                <w:tcPr>
                  <w:tcW w:w="1635" w:type="pct"/>
                  <w:noWrap w:val="0"/>
                  <w:vAlign w:val="center"/>
                </w:tcPr>
                <w:p w14:paraId="276D71DC">
                  <w:pPr>
                    <w:snapToGrid w:val="0"/>
                    <w:spacing w:line="276" w:lineRule="auto"/>
                    <w:jc w:val="center"/>
                    <w:rPr>
                      <w:rFonts w:ascii="Times New Roman" w:hAnsi="Times New Roman"/>
                      <w:bCs/>
                      <w:color w:val="auto"/>
                      <w:szCs w:val="21"/>
                      <w:highlight w:val="none"/>
                    </w:rPr>
                  </w:pPr>
                  <w:r>
                    <w:rPr>
                      <w:rFonts w:ascii="Times New Roman" w:hAnsi="Times New Roman"/>
                      <w:bCs/>
                      <w:color w:val="auto"/>
                      <w:szCs w:val="21"/>
                      <w:highlight w:val="none"/>
                    </w:rPr>
                    <w:t>用电量</w:t>
                  </w:r>
                  <w:r>
                    <w:rPr>
                      <w:rFonts w:hint="eastAsia" w:ascii="Times New Roman" w:hAnsi="Times New Roman"/>
                      <w:bCs/>
                      <w:color w:val="auto"/>
                      <w:szCs w:val="21"/>
                      <w:highlight w:val="none"/>
                      <w:lang w:val="en-US" w:eastAsia="zh-CN"/>
                    </w:rPr>
                    <w:t>100</w:t>
                  </w:r>
                  <w:r>
                    <w:rPr>
                      <w:rFonts w:ascii="Times New Roman" w:hAnsi="宋体"/>
                      <w:color w:val="auto"/>
                      <w:szCs w:val="21"/>
                      <w:highlight w:val="none"/>
                    </w:rPr>
                    <w:t>万</w:t>
                  </w:r>
                  <w:r>
                    <w:rPr>
                      <w:rFonts w:hint="eastAsia" w:ascii="Times New Roman" w:hAnsi="宋体"/>
                      <w:color w:val="auto"/>
                      <w:szCs w:val="21"/>
                      <w:highlight w:val="none"/>
                    </w:rPr>
                    <w:t>kW</w:t>
                  </w:r>
                  <w:r>
                    <w:rPr>
                      <w:rFonts w:ascii="Times New Roman" w:hAnsi="Times New Roman"/>
                      <w:bCs/>
                      <w:color w:val="auto"/>
                      <w:szCs w:val="21"/>
                      <w:highlight w:val="none"/>
                    </w:rPr>
                    <w:t>·h</w:t>
                  </w:r>
                  <w:r>
                    <w:rPr>
                      <w:rFonts w:hint="eastAsia" w:ascii="Times New Roman" w:hAnsi="Times New Roman"/>
                      <w:bCs/>
                      <w:color w:val="auto"/>
                      <w:szCs w:val="21"/>
                      <w:highlight w:val="none"/>
                    </w:rPr>
                    <w:t>/a</w:t>
                  </w:r>
                </w:p>
              </w:tc>
            </w:tr>
            <w:tr w14:paraId="539DF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195496D4">
                  <w:pPr>
                    <w:snapToGrid w:val="0"/>
                    <w:spacing w:line="276" w:lineRule="auto"/>
                    <w:ind w:firstLine="360"/>
                    <w:jc w:val="center"/>
                    <w:rPr>
                      <w:rFonts w:ascii="Times New Roman" w:hAnsi="Times New Roman"/>
                      <w:bCs/>
                      <w:color w:val="auto"/>
                      <w:szCs w:val="21"/>
                      <w:highlight w:val="none"/>
                    </w:rPr>
                  </w:pPr>
                </w:p>
              </w:tc>
              <w:tc>
                <w:tcPr>
                  <w:tcW w:w="840" w:type="pct"/>
                  <w:noWrap w:val="0"/>
                  <w:vAlign w:val="center"/>
                </w:tcPr>
                <w:p w14:paraId="4B781B73">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给水</w:t>
                  </w:r>
                </w:p>
              </w:tc>
              <w:tc>
                <w:tcPr>
                  <w:tcW w:w="2015" w:type="pct"/>
                  <w:noWrap w:val="0"/>
                  <w:vAlign w:val="center"/>
                </w:tcPr>
                <w:p w14:paraId="00A244D3">
                  <w:pPr>
                    <w:snapToGrid w:val="0"/>
                    <w:spacing w:line="276" w:lineRule="auto"/>
                    <w:jc w:val="center"/>
                    <w:rPr>
                      <w:rFonts w:ascii="Times New Roman" w:hAnsi="Times New Roman"/>
                      <w:bCs/>
                      <w:color w:val="auto"/>
                      <w:szCs w:val="21"/>
                      <w:highlight w:val="none"/>
                    </w:rPr>
                  </w:pPr>
                  <w:r>
                    <w:rPr>
                      <w:rFonts w:hint="eastAsia"/>
                      <w:color w:val="auto"/>
                      <w:szCs w:val="21"/>
                      <w:highlight w:val="none"/>
                    </w:rPr>
                    <w:t>市政管网供水</w:t>
                  </w:r>
                </w:p>
              </w:tc>
              <w:tc>
                <w:tcPr>
                  <w:tcW w:w="1635" w:type="pct"/>
                  <w:noWrap w:val="0"/>
                  <w:vAlign w:val="center"/>
                </w:tcPr>
                <w:p w14:paraId="3DCB4451">
                  <w:pPr>
                    <w:snapToGrid w:val="0"/>
                    <w:spacing w:line="276" w:lineRule="auto"/>
                    <w:jc w:val="center"/>
                    <w:rPr>
                      <w:rFonts w:ascii="Times New Roman" w:hAnsi="Times New Roman"/>
                      <w:bCs/>
                      <w:color w:val="auto"/>
                      <w:szCs w:val="21"/>
                      <w:highlight w:val="none"/>
                    </w:rPr>
                  </w:pPr>
                  <w:r>
                    <w:rPr>
                      <w:rFonts w:ascii="Times New Roman" w:hAnsi="Times New Roman"/>
                      <w:bCs/>
                      <w:color w:val="auto"/>
                      <w:szCs w:val="21"/>
                      <w:highlight w:val="none"/>
                    </w:rPr>
                    <w:t>用水量</w:t>
                  </w:r>
                  <w:r>
                    <w:rPr>
                      <w:rFonts w:hint="eastAsia" w:ascii="Times New Roman" w:hAnsi="Times New Roman"/>
                      <w:bCs/>
                      <w:color w:val="auto"/>
                      <w:szCs w:val="21"/>
                      <w:highlight w:val="none"/>
                      <w:lang w:val="en-US" w:eastAsia="zh-CN"/>
                    </w:rPr>
                    <w:t>13227</w:t>
                  </w:r>
                  <w:r>
                    <w:rPr>
                      <w:rFonts w:hint="eastAsia" w:ascii="Times New Roman" w:hAnsi="Times New Roman"/>
                      <w:bCs/>
                      <w:color w:val="auto"/>
                      <w:szCs w:val="21"/>
                      <w:highlight w:val="none"/>
                    </w:rPr>
                    <w:t>m</w:t>
                  </w:r>
                  <w:r>
                    <w:rPr>
                      <w:rFonts w:hint="eastAsia" w:ascii="Times New Roman" w:hAnsi="Times New Roman"/>
                      <w:bCs/>
                      <w:color w:val="auto"/>
                      <w:szCs w:val="21"/>
                      <w:highlight w:val="none"/>
                      <w:vertAlign w:val="superscript"/>
                    </w:rPr>
                    <w:t>3</w:t>
                  </w:r>
                  <w:r>
                    <w:rPr>
                      <w:rFonts w:hint="eastAsia" w:ascii="Times New Roman" w:hAnsi="Times New Roman"/>
                      <w:bCs/>
                      <w:color w:val="auto"/>
                      <w:szCs w:val="21"/>
                      <w:highlight w:val="none"/>
                    </w:rPr>
                    <w:t>/a</w:t>
                  </w:r>
                </w:p>
              </w:tc>
            </w:tr>
            <w:tr w14:paraId="2E88A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0CE49C4D">
                  <w:pPr>
                    <w:snapToGrid w:val="0"/>
                    <w:spacing w:line="276" w:lineRule="auto"/>
                    <w:ind w:firstLine="360"/>
                    <w:jc w:val="center"/>
                    <w:rPr>
                      <w:rFonts w:ascii="Times New Roman" w:hAnsi="Times New Roman"/>
                      <w:bCs/>
                      <w:color w:val="auto"/>
                      <w:szCs w:val="21"/>
                      <w:highlight w:val="none"/>
                    </w:rPr>
                  </w:pPr>
                </w:p>
              </w:tc>
              <w:tc>
                <w:tcPr>
                  <w:tcW w:w="840" w:type="pct"/>
                  <w:noWrap w:val="0"/>
                  <w:vAlign w:val="center"/>
                </w:tcPr>
                <w:p w14:paraId="589CC1F6">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排水</w:t>
                  </w:r>
                </w:p>
              </w:tc>
              <w:tc>
                <w:tcPr>
                  <w:tcW w:w="3650" w:type="pct"/>
                  <w:gridSpan w:val="2"/>
                  <w:noWrap w:val="0"/>
                  <w:vAlign w:val="center"/>
                </w:tcPr>
                <w:p w14:paraId="2F8447AD">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雨污分流。</w:t>
                  </w:r>
                  <w:r>
                    <w:rPr>
                      <w:rFonts w:ascii="Times New Roman" w:hAnsi="Times New Roman" w:cs="Times New Roman"/>
                      <w:snapToGrid/>
                      <w:color w:val="auto"/>
                      <w:sz w:val="21"/>
                      <w:szCs w:val="21"/>
                      <w:highlight w:val="none"/>
                    </w:rPr>
                    <w:t>本项目用水主要为生活用水以及</w:t>
                  </w:r>
                  <w:r>
                    <w:rPr>
                      <w:rFonts w:hint="eastAsia" w:ascii="Times New Roman" w:hAnsi="Times New Roman" w:cs="Times New Roman"/>
                      <w:snapToGrid/>
                      <w:color w:val="auto"/>
                      <w:sz w:val="21"/>
                      <w:szCs w:val="21"/>
                      <w:highlight w:val="none"/>
                      <w:lang w:val="en-US" w:eastAsia="zh-CN"/>
                    </w:rPr>
                    <w:t>生产</w:t>
                  </w:r>
                  <w:r>
                    <w:rPr>
                      <w:rFonts w:ascii="Times New Roman" w:hAnsi="Times New Roman" w:cs="Times New Roman"/>
                      <w:snapToGrid/>
                      <w:color w:val="auto"/>
                      <w:sz w:val="21"/>
                      <w:szCs w:val="21"/>
                      <w:highlight w:val="none"/>
                    </w:rPr>
                    <w:t>用水，</w:t>
                  </w:r>
                  <w:r>
                    <w:rPr>
                      <w:rFonts w:hint="eastAsia" w:ascii="Times New Roman" w:hAnsi="Times New Roman"/>
                      <w:color w:val="auto"/>
                      <w:szCs w:val="21"/>
                      <w:highlight w:val="none"/>
                    </w:rPr>
                    <w:t>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，生产废水经处理后回用，定期补充损耗。</w:t>
                  </w:r>
                </w:p>
              </w:tc>
            </w:tr>
            <w:tr w14:paraId="0E33E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restart"/>
                  <w:noWrap w:val="0"/>
                  <w:vAlign w:val="center"/>
                </w:tcPr>
                <w:p w14:paraId="0BCE5069">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环保工程</w:t>
                  </w:r>
                </w:p>
              </w:tc>
              <w:tc>
                <w:tcPr>
                  <w:tcW w:w="840" w:type="pct"/>
                  <w:noWrap w:val="0"/>
                  <w:vAlign w:val="center"/>
                </w:tcPr>
                <w:p w14:paraId="4FD76C18">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废气</w:t>
                  </w:r>
                </w:p>
              </w:tc>
              <w:tc>
                <w:tcPr>
                  <w:tcW w:w="3650" w:type="pct"/>
                  <w:gridSpan w:val="2"/>
                  <w:noWrap w:val="0"/>
                  <w:vAlign w:val="center"/>
                </w:tcPr>
                <w:p w14:paraId="785363CF">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丝印废气和固化废气</w:t>
                  </w:r>
                  <w:r>
                    <w:rPr>
                      <w:rFonts w:hint="eastAsia" w:ascii="Times New Roman" w:hAnsi="Times New Roman"/>
                      <w:bCs/>
                      <w:color w:val="auto"/>
                      <w:szCs w:val="21"/>
                      <w:highlight w:val="none"/>
                    </w:rPr>
                    <w:t>由</w:t>
                  </w:r>
                  <w:r>
                    <w:rPr>
                      <w:rFonts w:hint="eastAsia" w:ascii="Times New Roman" w:hAnsi="Times New Roman"/>
                      <w:bCs/>
                      <w:color w:val="auto"/>
                      <w:szCs w:val="21"/>
                      <w:highlight w:val="none"/>
                      <w:lang w:val="en-US" w:eastAsia="zh-CN"/>
                    </w:rPr>
                    <w:t>集气罩和</w:t>
                  </w:r>
                  <w:r>
                    <w:rPr>
                      <w:rFonts w:hint="eastAsia" w:ascii="Times New Roman" w:hAnsi="Times New Roman"/>
                      <w:bCs/>
                      <w:color w:val="auto"/>
                      <w:szCs w:val="21"/>
                      <w:highlight w:val="none"/>
                    </w:rPr>
                    <w:t>密闭管道收集经</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两级活性炭吸附</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rPr>
                    <w:t>装置处理后通过15m高</w:t>
                  </w:r>
                  <w:r>
                    <w:rPr>
                      <w:rFonts w:hint="eastAsia" w:ascii="Times New Roman" w:hAnsi="Times New Roman"/>
                      <w:bCs/>
                      <w:color w:val="auto"/>
                      <w:szCs w:val="21"/>
                      <w:highlight w:val="none"/>
                      <w:lang w:val="en-US" w:eastAsia="zh-CN"/>
                    </w:rPr>
                    <w:t>DA001排气筒</w:t>
                  </w:r>
                  <w:r>
                    <w:rPr>
                      <w:rFonts w:hint="eastAsia" w:ascii="Times New Roman" w:hAnsi="Times New Roman"/>
                      <w:bCs/>
                      <w:color w:val="auto"/>
                      <w:szCs w:val="21"/>
                      <w:highlight w:val="none"/>
                    </w:rPr>
                    <w:t>排放（风量</w:t>
                  </w:r>
                  <w:r>
                    <w:rPr>
                      <w:rFonts w:hint="eastAsia" w:ascii="Times New Roman" w:hAnsi="Times New Roman"/>
                      <w:bCs/>
                      <w:color w:val="auto"/>
                      <w:szCs w:val="21"/>
                      <w:highlight w:val="none"/>
                      <w:lang w:val="en-US" w:eastAsia="zh-CN"/>
                    </w:rPr>
                    <w:t>20</w:t>
                  </w:r>
                  <w:r>
                    <w:rPr>
                      <w:rFonts w:hint="eastAsia" w:ascii="Times New Roman" w:hAnsi="Times New Roman"/>
                      <w:bCs/>
                      <w:color w:val="auto"/>
                      <w:szCs w:val="21"/>
                      <w:highlight w:val="none"/>
                    </w:rPr>
                    <w:t>000m</w:t>
                  </w:r>
                  <w:r>
                    <w:rPr>
                      <w:rFonts w:hint="eastAsia" w:ascii="Times New Roman" w:hAnsi="Times New Roman"/>
                      <w:bCs/>
                      <w:color w:val="auto"/>
                      <w:szCs w:val="21"/>
                      <w:highlight w:val="none"/>
                      <w:vertAlign w:val="superscript"/>
                    </w:rPr>
                    <w:t>3</w:t>
                  </w:r>
                  <w:r>
                    <w:rPr>
                      <w:rFonts w:hint="eastAsia" w:ascii="Times New Roman" w:hAnsi="Times New Roman"/>
                      <w:bCs/>
                      <w:color w:val="auto"/>
                      <w:szCs w:val="21"/>
                      <w:highlight w:val="none"/>
                    </w:rPr>
                    <w:t>/h）</w:t>
                  </w:r>
                </w:p>
              </w:tc>
            </w:tr>
            <w:tr w14:paraId="3C041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3C3A1039">
                  <w:pPr>
                    <w:snapToGrid w:val="0"/>
                    <w:spacing w:line="276" w:lineRule="auto"/>
                    <w:ind w:firstLine="360"/>
                    <w:jc w:val="center"/>
                    <w:rPr>
                      <w:rFonts w:ascii="Times New Roman" w:hAnsi="Times New Roman"/>
                      <w:bCs/>
                      <w:color w:val="auto"/>
                      <w:szCs w:val="21"/>
                      <w:highlight w:val="none"/>
                    </w:rPr>
                  </w:pPr>
                </w:p>
              </w:tc>
              <w:tc>
                <w:tcPr>
                  <w:tcW w:w="840" w:type="pct"/>
                  <w:vMerge w:val="restart"/>
                  <w:noWrap w:val="0"/>
                  <w:vAlign w:val="center"/>
                </w:tcPr>
                <w:p w14:paraId="19B4C170">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废水</w:t>
                  </w:r>
                </w:p>
              </w:tc>
              <w:tc>
                <w:tcPr>
                  <w:tcW w:w="3650" w:type="pct"/>
                  <w:gridSpan w:val="2"/>
                  <w:noWrap w:val="0"/>
                  <w:vAlign w:val="center"/>
                </w:tcPr>
                <w:p w14:paraId="426EC837">
                  <w:pPr>
                    <w:snapToGrid w:val="0"/>
                    <w:spacing w:line="276" w:lineRule="auto"/>
                    <w:jc w:val="center"/>
                    <w:rPr>
                      <w:rFonts w:ascii="Times New Roman" w:hAnsi="宋体"/>
                      <w:bCs/>
                      <w:color w:val="auto"/>
                      <w:szCs w:val="21"/>
                      <w:highlight w:val="none"/>
                    </w:rPr>
                  </w:pPr>
                  <w:r>
                    <w:rPr>
                      <w:rFonts w:hint="eastAsia" w:ascii="Times New Roman" w:hAnsi="Times New Roman"/>
                      <w:color w:val="auto"/>
                      <w:szCs w:val="21"/>
                      <w:highlight w:val="none"/>
                    </w:rPr>
                    <w:t>生活污水经园区化粪池处理</w:t>
                  </w:r>
                  <w:r>
                    <w:rPr>
                      <w:rFonts w:hint="eastAsia" w:ascii="Times New Roman" w:hAnsi="Times New Roman"/>
                      <w:color w:val="auto"/>
                      <w:szCs w:val="21"/>
                      <w:highlight w:val="none"/>
                      <w:lang w:val="en-US" w:eastAsia="zh-CN"/>
                    </w:rPr>
                    <w:t>后和纯水制备浓水以及超浓水一并经园区管网</w:t>
                  </w:r>
                  <w:r>
                    <w:rPr>
                      <w:rFonts w:hint="eastAsia" w:ascii="Times New Roman" w:hAnsi="Times New Roman"/>
                      <w:color w:val="auto"/>
                      <w:szCs w:val="21"/>
                      <w:highlight w:val="none"/>
                    </w:rPr>
                    <w:t>进入</w:t>
                  </w:r>
                  <w:r>
                    <w:rPr>
                      <w:rFonts w:hint="eastAsia" w:ascii="Times New Roman" w:hAnsi="Times New Roman"/>
                      <w:color w:val="auto"/>
                      <w:szCs w:val="21"/>
                      <w:highlight w:val="none"/>
                      <w:lang w:eastAsia="zh-CN"/>
                    </w:rPr>
                    <w:t>凤台经济开发区污水处理厂</w:t>
                  </w:r>
                  <w:r>
                    <w:rPr>
                      <w:rFonts w:hint="eastAsia" w:ascii="Times New Roman" w:hAnsi="Times New Roman"/>
                      <w:color w:val="auto"/>
                      <w:szCs w:val="21"/>
                      <w:highlight w:val="none"/>
                      <w:lang w:val="en-US" w:eastAsia="zh-CN"/>
                    </w:rPr>
                    <w:t>处理</w:t>
                  </w:r>
                  <w:r>
                    <w:rPr>
                      <w:rFonts w:hint="default" w:ascii="Times New Roman" w:hAnsi="Times New Roman" w:eastAsia="宋体" w:cs="Times New Roman"/>
                      <w:color w:val="auto"/>
                      <w:szCs w:val="21"/>
                      <w:highlight w:val="none"/>
                      <w:lang w:val="en-US" w:eastAsia="zh-CN"/>
                    </w:rPr>
                    <w:t>。</w:t>
                  </w:r>
                </w:p>
              </w:tc>
            </w:tr>
            <w:tr w14:paraId="16C7F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7BEE5D12">
                  <w:pPr>
                    <w:snapToGrid w:val="0"/>
                    <w:spacing w:line="276" w:lineRule="auto"/>
                    <w:ind w:firstLine="360"/>
                    <w:jc w:val="center"/>
                    <w:rPr>
                      <w:rFonts w:ascii="Times New Roman" w:hAnsi="Times New Roman"/>
                      <w:bCs/>
                      <w:color w:val="auto"/>
                      <w:szCs w:val="21"/>
                      <w:highlight w:val="none"/>
                    </w:rPr>
                  </w:pPr>
                </w:p>
              </w:tc>
              <w:tc>
                <w:tcPr>
                  <w:tcW w:w="840" w:type="pct"/>
                  <w:vMerge w:val="continue"/>
                  <w:noWrap w:val="0"/>
                  <w:vAlign w:val="center"/>
                </w:tcPr>
                <w:p w14:paraId="4B337272">
                  <w:pPr>
                    <w:snapToGrid w:val="0"/>
                    <w:spacing w:line="276" w:lineRule="auto"/>
                    <w:jc w:val="center"/>
                    <w:rPr>
                      <w:rFonts w:ascii="Times New Roman" w:hAnsi="宋体"/>
                      <w:bCs/>
                      <w:color w:val="auto"/>
                      <w:szCs w:val="21"/>
                      <w:highlight w:val="none"/>
                    </w:rPr>
                  </w:pPr>
                </w:p>
              </w:tc>
              <w:tc>
                <w:tcPr>
                  <w:tcW w:w="3650" w:type="pct"/>
                  <w:gridSpan w:val="2"/>
                  <w:noWrap w:val="0"/>
                  <w:vAlign w:val="center"/>
                </w:tcPr>
                <w:p w14:paraId="25F4EE3D">
                  <w:pPr>
                    <w:snapToGrid w:val="0"/>
                    <w:spacing w:line="276" w:lineRule="auto"/>
                    <w:jc w:val="center"/>
                    <w:rPr>
                      <w:rFonts w:ascii="Times New Roman" w:hAnsi="宋体"/>
                      <w:bCs/>
                      <w:color w:val="auto"/>
                      <w:szCs w:val="21"/>
                      <w:highlight w:val="none"/>
                    </w:rPr>
                  </w:pPr>
                  <w:r>
                    <w:rPr>
                      <w:rFonts w:hint="eastAsia" w:ascii="Times New Roman" w:hAnsi="Times New Roman" w:eastAsia="宋体" w:cs="Times New Roman"/>
                      <w:color w:val="auto"/>
                      <w:sz w:val="21"/>
                      <w:szCs w:val="21"/>
                      <w:highlight w:val="none"/>
                      <w:lang w:val="en-US" w:eastAsia="zh-CN"/>
                    </w:rPr>
                    <w:t>磨边废水经一套“物化混凝沉淀”处理设施处理后回用于磨边工序，定期补充损耗。</w:t>
                  </w:r>
                </w:p>
              </w:tc>
            </w:tr>
            <w:tr w14:paraId="7EDFA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6373B071">
                  <w:pPr>
                    <w:snapToGrid w:val="0"/>
                    <w:spacing w:line="276" w:lineRule="auto"/>
                    <w:ind w:firstLine="360"/>
                    <w:jc w:val="center"/>
                    <w:rPr>
                      <w:rFonts w:ascii="Times New Roman" w:hAnsi="Times New Roman"/>
                      <w:bCs/>
                      <w:color w:val="auto"/>
                      <w:szCs w:val="21"/>
                      <w:highlight w:val="none"/>
                    </w:rPr>
                  </w:pPr>
                </w:p>
              </w:tc>
              <w:tc>
                <w:tcPr>
                  <w:tcW w:w="840" w:type="pct"/>
                  <w:vMerge w:val="continue"/>
                  <w:noWrap w:val="0"/>
                  <w:vAlign w:val="center"/>
                </w:tcPr>
                <w:p w14:paraId="29CA355F">
                  <w:pPr>
                    <w:snapToGrid w:val="0"/>
                    <w:spacing w:line="276" w:lineRule="auto"/>
                    <w:jc w:val="center"/>
                    <w:rPr>
                      <w:rFonts w:ascii="Times New Roman" w:hAnsi="宋体"/>
                      <w:bCs/>
                      <w:color w:val="auto"/>
                      <w:szCs w:val="21"/>
                      <w:highlight w:val="none"/>
                    </w:rPr>
                  </w:pPr>
                </w:p>
              </w:tc>
              <w:tc>
                <w:tcPr>
                  <w:tcW w:w="3650" w:type="pct"/>
                  <w:gridSpan w:val="2"/>
                  <w:noWrap w:val="0"/>
                  <w:vAlign w:val="center"/>
                </w:tcPr>
                <w:p w14:paraId="3B3ADF2C">
                  <w:pPr>
                    <w:snapToGrid w:val="0"/>
                    <w:spacing w:line="276" w:lineRule="auto"/>
                    <w:jc w:val="center"/>
                    <w:rPr>
                      <w:rFonts w:ascii="Times New Roman" w:hAnsi="宋体"/>
                      <w:bCs/>
                      <w:color w:val="auto"/>
                      <w:szCs w:val="21"/>
                      <w:highlight w:val="none"/>
                    </w:rPr>
                  </w:pPr>
                  <w:r>
                    <w:rPr>
                      <w:rFonts w:hint="eastAsia" w:ascii="Times New Roman" w:hAnsi="Times New Roman" w:eastAsia="宋体" w:cs="Times New Roman"/>
                      <w:color w:val="auto"/>
                      <w:sz w:val="21"/>
                      <w:szCs w:val="21"/>
                      <w:highlight w:val="none"/>
                      <w:lang w:val="en-US" w:eastAsia="zh-CN"/>
                    </w:rPr>
                    <w:t>清洗废水经一套“反渗透+RO”处理设施处理后回用于清洗工序，定期补充损耗。</w:t>
                  </w:r>
                </w:p>
              </w:tc>
            </w:tr>
            <w:tr w14:paraId="698A9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17CA876D">
                  <w:pPr>
                    <w:snapToGrid w:val="0"/>
                    <w:spacing w:line="276" w:lineRule="auto"/>
                    <w:ind w:firstLine="360"/>
                    <w:jc w:val="center"/>
                    <w:rPr>
                      <w:rFonts w:ascii="Times New Roman" w:hAnsi="Times New Roman"/>
                      <w:bCs/>
                      <w:color w:val="auto"/>
                      <w:szCs w:val="21"/>
                      <w:highlight w:val="none"/>
                    </w:rPr>
                  </w:pPr>
                </w:p>
              </w:tc>
              <w:tc>
                <w:tcPr>
                  <w:tcW w:w="840" w:type="pct"/>
                  <w:noWrap w:val="0"/>
                  <w:vAlign w:val="center"/>
                </w:tcPr>
                <w:p w14:paraId="7F93FF9D">
                  <w:pPr>
                    <w:snapToGrid w:val="0"/>
                    <w:spacing w:line="276" w:lineRule="auto"/>
                    <w:jc w:val="center"/>
                    <w:rPr>
                      <w:rFonts w:ascii="Times New Roman" w:hAnsi="Times New Roman"/>
                      <w:bCs/>
                      <w:color w:val="auto"/>
                      <w:szCs w:val="21"/>
                      <w:highlight w:val="none"/>
                    </w:rPr>
                  </w:pPr>
                  <w:r>
                    <w:rPr>
                      <w:rFonts w:ascii="Times New Roman" w:hAnsi="宋体"/>
                      <w:bCs/>
                      <w:color w:val="auto"/>
                      <w:szCs w:val="21"/>
                      <w:highlight w:val="none"/>
                    </w:rPr>
                    <w:t>噪声</w:t>
                  </w:r>
                </w:p>
              </w:tc>
              <w:tc>
                <w:tcPr>
                  <w:tcW w:w="3650" w:type="pct"/>
                  <w:gridSpan w:val="2"/>
                  <w:noWrap w:val="0"/>
                  <w:vAlign w:val="center"/>
                </w:tcPr>
                <w:p w14:paraId="0DEF2CDD">
                  <w:pPr>
                    <w:snapToGrid w:val="0"/>
                    <w:spacing w:line="276" w:lineRule="auto"/>
                    <w:jc w:val="center"/>
                    <w:rPr>
                      <w:rFonts w:ascii="Times New Roman" w:hAnsi="Times New Roman"/>
                      <w:bCs/>
                      <w:color w:val="auto"/>
                      <w:szCs w:val="21"/>
                      <w:highlight w:val="none"/>
                    </w:rPr>
                  </w:pPr>
                  <w:r>
                    <w:rPr>
                      <w:rFonts w:hAnsi="宋体"/>
                      <w:color w:val="auto"/>
                      <w:szCs w:val="21"/>
                      <w:highlight w:val="none"/>
                    </w:rPr>
                    <w:t>产噪设备采取消声、减振、隔声等措施</w:t>
                  </w:r>
                </w:p>
              </w:tc>
            </w:tr>
            <w:tr w14:paraId="34BC7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3F10EF0E">
                  <w:pPr>
                    <w:snapToGrid w:val="0"/>
                    <w:spacing w:line="276" w:lineRule="auto"/>
                    <w:ind w:firstLine="360"/>
                    <w:jc w:val="center"/>
                    <w:rPr>
                      <w:rFonts w:ascii="Times New Roman" w:hAnsi="Times New Roman"/>
                      <w:bCs/>
                      <w:color w:val="auto"/>
                      <w:szCs w:val="21"/>
                      <w:highlight w:val="none"/>
                    </w:rPr>
                  </w:pPr>
                </w:p>
              </w:tc>
              <w:tc>
                <w:tcPr>
                  <w:tcW w:w="840" w:type="pct"/>
                  <w:vMerge w:val="restart"/>
                  <w:noWrap w:val="0"/>
                  <w:vAlign w:val="center"/>
                </w:tcPr>
                <w:p w14:paraId="31675544">
                  <w:pPr>
                    <w:snapToGrid w:val="0"/>
                    <w:spacing w:line="276" w:lineRule="auto"/>
                    <w:jc w:val="center"/>
                    <w:rPr>
                      <w:rFonts w:ascii="Times New Roman" w:hAnsi="宋体"/>
                      <w:bCs/>
                      <w:color w:val="auto"/>
                      <w:szCs w:val="21"/>
                      <w:highlight w:val="none"/>
                    </w:rPr>
                  </w:pPr>
                  <w:r>
                    <w:rPr>
                      <w:rFonts w:ascii="Times New Roman" w:hAnsi="宋体"/>
                      <w:bCs/>
                      <w:color w:val="auto"/>
                      <w:szCs w:val="21"/>
                      <w:highlight w:val="none"/>
                    </w:rPr>
                    <w:t>固废</w:t>
                  </w:r>
                </w:p>
              </w:tc>
              <w:tc>
                <w:tcPr>
                  <w:tcW w:w="3650" w:type="pct"/>
                  <w:gridSpan w:val="2"/>
                  <w:noWrap w:val="0"/>
                  <w:vAlign w:val="center"/>
                </w:tcPr>
                <w:p w14:paraId="48145985">
                  <w:pPr>
                    <w:snapToGrid w:val="0"/>
                    <w:spacing w:line="276" w:lineRule="auto"/>
                    <w:jc w:val="center"/>
                    <w:rPr>
                      <w:rFonts w:ascii="Times New Roman" w:hAnsi="Times New Roman"/>
                      <w:bCs/>
                      <w:color w:val="auto"/>
                      <w:szCs w:val="21"/>
                      <w:highlight w:val="none"/>
                    </w:rPr>
                  </w:pPr>
                  <w:r>
                    <w:rPr>
                      <w:rFonts w:ascii="Times New Roman" w:hAnsi="Times New Roman"/>
                      <w:bCs/>
                      <w:color w:val="auto"/>
                      <w:szCs w:val="21"/>
                      <w:highlight w:val="none"/>
                    </w:rPr>
                    <w:t>危险废物</w:t>
                  </w:r>
                  <w:r>
                    <w:rPr>
                      <w:rFonts w:hint="eastAsia" w:ascii="Times New Roman" w:hAnsi="Times New Roman"/>
                      <w:bCs/>
                      <w:color w:val="auto"/>
                      <w:szCs w:val="21"/>
                      <w:highlight w:val="none"/>
                    </w:rPr>
                    <w:t>：新建</w:t>
                  </w:r>
                  <w:r>
                    <w:rPr>
                      <w:rFonts w:hint="eastAsia" w:ascii="Times New Roman" w:hAnsi="Times New Roman"/>
                      <w:bCs/>
                      <w:color w:val="auto"/>
                      <w:szCs w:val="21"/>
                      <w:highlight w:val="none"/>
                      <w:lang w:val="en-US" w:eastAsia="zh-CN"/>
                    </w:rPr>
                    <w:t>40</w:t>
                  </w:r>
                  <w:r>
                    <w:rPr>
                      <w:rFonts w:hint="eastAsia" w:ascii="Times New Roman" w:hAnsi="Times New Roman"/>
                      <w:bCs/>
                      <w:color w:val="auto"/>
                      <w:szCs w:val="21"/>
                      <w:highlight w:val="none"/>
                    </w:rPr>
                    <w:t>m</w:t>
                  </w:r>
                  <w:r>
                    <w:rPr>
                      <w:rFonts w:hint="eastAsia" w:ascii="Times New Roman" w:hAnsi="Times New Roman"/>
                      <w:bCs/>
                      <w:color w:val="auto"/>
                      <w:szCs w:val="21"/>
                      <w:highlight w:val="none"/>
                      <w:vertAlign w:val="superscript"/>
                    </w:rPr>
                    <w:t>2</w:t>
                  </w:r>
                  <w:r>
                    <w:rPr>
                      <w:rFonts w:hint="eastAsia" w:ascii="Times New Roman" w:hAnsi="Times New Roman"/>
                      <w:bCs/>
                      <w:color w:val="auto"/>
                      <w:szCs w:val="21"/>
                      <w:highlight w:val="none"/>
                      <w:lang w:eastAsia="zh-CN"/>
                    </w:rPr>
                    <w:t>危废库，</w:t>
                  </w:r>
                  <w:r>
                    <w:rPr>
                      <w:rFonts w:hint="eastAsia" w:ascii="Times New Roman" w:hAnsi="Times New Roman"/>
                      <w:bCs/>
                      <w:color w:val="auto"/>
                      <w:szCs w:val="21"/>
                      <w:highlight w:val="none"/>
                      <w:lang w:val="en-US" w:eastAsia="zh-CN"/>
                    </w:rPr>
                    <w:t>废高反射膜材料桶、含高反射膜材料抹布、废印版、</w:t>
                  </w:r>
                  <w:r>
                    <w:rPr>
                      <w:rFonts w:hint="eastAsia" w:ascii="Times New Roman" w:hAnsi="Times New Roman"/>
                      <w:bCs/>
                      <w:color w:val="auto"/>
                      <w:szCs w:val="21"/>
                      <w:highlight w:val="none"/>
                    </w:rPr>
                    <w:t>废</w:t>
                  </w:r>
                  <w:r>
                    <w:rPr>
                      <w:rFonts w:hint="eastAsia" w:ascii="Times New Roman" w:hAnsi="Times New Roman"/>
                      <w:bCs/>
                      <w:color w:val="auto"/>
                      <w:szCs w:val="21"/>
                      <w:highlight w:val="none"/>
                      <w:lang w:eastAsia="zh-CN"/>
                    </w:rPr>
                    <w:t>润滑油</w:t>
                  </w:r>
                  <w:r>
                    <w:rPr>
                      <w:rFonts w:hint="eastAsia" w:ascii="Times New Roman" w:hAnsi="Times New Roman"/>
                      <w:bCs/>
                      <w:color w:val="auto"/>
                      <w:szCs w:val="21"/>
                      <w:highlight w:val="none"/>
                    </w:rPr>
                    <w:t>、</w:t>
                  </w:r>
                  <w:r>
                    <w:rPr>
                      <w:rFonts w:hint="eastAsia" w:ascii="Times New Roman" w:hAnsi="Times New Roman"/>
                      <w:bCs/>
                      <w:color w:val="auto"/>
                      <w:szCs w:val="21"/>
                      <w:highlight w:val="none"/>
                      <w:lang w:val="en-US" w:eastAsia="zh-CN"/>
                    </w:rPr>
                    <w:t>废</w:t>
                  </w:r>
                  <w:r>
                    <w:rPr>
                      <w:rFonts w:hint="eastAsia" w:ascii="Times New Roman" w:hAnsi="Times New Roman"/>
                      <w:bCs/>
                      <w:color w:val="auto"/>
                      <w:szCs w:val="21"/>
                      <w:highlight w:val="none"/>
                      <w:lang w:eastAsia="zh-CN"/>
                    </w:rPr>
                    <w:t>润滑油</w:t>
                  </w:r>
                  <w:r>
                    <w:rPr>
                      <w:rFonts w:hint="eastAsia" w:ascii="Times New Roman" w:hAnsi="Times New Roman"/>
                      <w:bCs/>
                      <w:color w:val="auto"/>
                      <w:szCs w:val="21"/>
                      <w:highlight w:val="none"/>
                    </w:rPr>
                    <w:t>桶、废活性炭暂存于</w:t>
                  </w:r>
                  <w:r>
                    <w:rPr>
                      <w:rFonts w:hint="eastAsia" w:ascii="Times New Roman" w:hAnsi="Times New Roman"/>
                      <w:bCs/>
                      <w:color w:val="auto"/>
                      <w:szCs w:val="21"/>
                      <w:highlight w:val="none"/>
                      <w:lang w:eastAsia="zh-CN"/>
                    </w:rPr>
                    <w:t>危废库</w:t>
                  </w:r>
                  <w:r>
                    <w:rPr>
                      <w:rFonts w:hint="eastAsia" w:ascii="Times New Roman" w:hAnsi="Times New Roman"/>
                      <w:bCs/>
                      <w:color w:val="auto"/>
                      <w:szCs w:val="21"/>
                      <w:highlight w:val="none"/>
                    </w:rPr>
                    <w:t>，定期委托有资质的单位处置</w:t>
                  </w:r>
                </w:p>
              </w:tc>
            </w:tr>
            <w:tr w14:paraId="5B40D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1E4ACD41">
                  <w:pPr>
                    <w:snapToGrid w:val="0"/>
                    <w:spacing w:line="276" w:lineRule="auto"/>
                    <w:ind w:firstLine="360"/>
                    <w:jc w:val="center"/>
                    <w:rPr>
                      <w:rFonts w:ascii="Times New Roman" w:hAnsi="Times New Roman"/>
                      <w:bCs/>
                      <w:color w:val="auto"/>
                      <w:szCs w:val="21"/>
                      <w:highlight w:val="none"/>
                    </w:rPr>
                  </w:pPr>
                </w:p>
              </w:tc>
              <w:tc>
                <w:tcPr>
                  <w:tcW w:w="840" w:type="pct"/>
                  <w:vMerge w:val="continue"/>
                  <w:noWrap w:val="0"/>
                  <w:vAlign w:val="center"/>
                </w:tcPr>
                <w:p w14:paraId="422CBC9A">
                  <w:pPr>
                    <w:snapToGrid w:val="0"/>
                    <w:spacing w:line="276" w:lineRule="auto"/>
                    <w:ind w:firstLine="360"/>
                    <w:jc w:val="center"/>
                    <w:rPr>
                      <w:rFonts w:ascii="Times New Roman" w:hAnsi="宋体"/>
                      <w:bCs/>
                      <w:color w:val="auto"/>
                      <w:szCs w:val="21"/>
                      <w:highlight w:val="none"/>
                    </w:rPr>
                  </w:pPr>
                </w:p>
              </w:tc>
              <w:tc>
                <w:tcPr>
                  <w:tcW w:w="3650" w:type="pct"/>
                  <w:gridSpan w:val="2"/>
                  <w:noWrap w:val="0"/>
                  <w:vAlign w:val="center"/>
                </w:tcPr>
                <w:p w14:paraId="58AFA27A">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一般工业固体废物：设30m</w:t>
                  </w:r>
                  <w:r>
                    <w:rPr>
                      <w:rFonts w:hint="eastAsia" w:ascii="Times New Roman" w:hAnsi="Times New Roman"/>
                      <w:bCs/>
                      <w:color w:val="auto"/>
                      <w:szCs w:val="21"/>
                      <w:highlight w:val="none"/>
                      <w:vertAlign w:val="superscript"/>
                    </w:rPr>
                    <w:t>2</w:t>
                  </w:r>
                  <w:r>
                    <w:rPr>
                      <w:rFonts w:hint="eastAsia" w:ascii="Times New Roman" w:hAnsi="Times New Roman"/>
                      <w:bCs/>
                      <w:color w:val="auto"/>
                      <w:szCs w:val="21"/>
                      <w:highlight w:val="none"/>
                    </w:rPr>
                    <w:t>的一般固废暂存间，不合格品</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污泥</w:t>
                  </w:r>
                  <w:r>
                    <w:rPr>
                      <w:rFonts w:hint="eastAsia" w:ascii="Times New Roman" w:hAnsi="Times New Roman"/>
                      <w:bCs/>
                      <w:color w:val="auto"/>
                      <w:szCs w:val="21"/>
                      <w:highlight w:val="none"/>
                    </w:rPr>
                    <w:t>、</w:t>
                  </w:r>
                  <w:r>
                    <w:rPr>
                      <w:rFonts w:hint="eastAsia" w:ascii="Times New Roman" w:hAnsi="Times New Roman"/>
                      <w:bCs/>
                      <w:color w:val="auto"/>
                      <w:szCs w:val="21"/>
                      <w:highlight w:val="none"/>
                      <w:lang w:val="en-US" w:eastAsia="zh-CN"/>
                    </w:rPr>
                    <w:t>废玻璃屑、废包装材料和废耗材</w:t>
                  </w:r>
                  <w:r>
                    <w:rPr>
                      <w:rFonts w:hint="eastAsia" w:ascii="Times New Roman" w:hAnsi="Times New Roman"/>
                      <w:bCs/>
                      <w:color w:val="auto"/>
                      <w:szCs w:val="21"/>
                      <w:highlight w:val="none"/>
                    </w:rPr>
                    <w:t>统一收集在一般固废暂存间，定期外售</w:t>
                  </w:r>
                </w:p>
              </w:tc>
            </w:tr>
            <w:tr w14:paraId="29D62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1130A0B9">
                  <w:pPr>
                    <w:snapToGrid w:val="0"/>
                    <w:spacing w:line="276" w:lineRule="auto"/>
                    <w:ind w:firstLine="360"/>
                    <w:jc w:val="center"/>
                    <w:rPr>
                      <w:rFonts w:ascii="Times New Roman" w:hAnsi="Times New Roman"/>
                      <w:bCs/>
                      <w:color w:val="auto"/>
                      <w:szCs w:val="21"/>
                      <w:highlight w:val="none"/>
                    </w:rPr>
                  </w:pPr>
                </w:p>
              </w:tc>
              <w:tc>
                <w:tcPr>
                  <w:tcW w:w="840" w:type="pct"/>
                  <w:vMerge w:val="continue"/>
                  <w:noWrap w:val="0"/>
                  <w:vAlign w:val="center"/>
                </w:tcPr>
                <w:p w14:paraId="66298802">
                  <w:pPr>
                    <w:snapToGrid w:val="0"/>
                    <w:spacing w:line="276" w:lineRule="auto"/>
                    <w:ind w:firstLine="360"/>
                    <w:jc w:val="center"/>
                    <w:rPr>
                      <w:rFonts w:ascii="Times New Roman" w:hAnsi="宋体"/>
                      <w:bCs/>
                      <w:color w:val="auto"/>
                      <w:szCs w:val="21"/>
                      <w:highlight w:val="none"/>
                    </w:rPr>
                  </w:pPr>
                </w:p>
              </w:tc>
              <w:tc>
                <w:tcPr>
                  <w:tcW w:w="3650" w:type="pct"/>
                  <w:gridSpan w:val="2"/>
                  <w:noWrap w:val="0"/>
                  <w:vAlign w:val="center"/>
                </w:tcPr>
                <w:p w14:paraId="48326E16">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生活垃圾集中收集后由当地环卫部门统一清运</w:t>
                  </w:r>
                </w:p>
              </w:tc>
            </w:tr>
            <w:tr w14:paraId="2DF48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04E3A281">
                  <w:pPr>
                    <w:snapToGrid w:val="0"/>
                    <w:spacing w:line="276" w:lineRule="auto"/>
                    <w:ind w:firstLine="360"/>
                    <w:jc w:val="center"/>
                    <w:rPr>
                      <w:rFonts w:ascii="Times New Roman" w:hAnsi="Times New Roman"/>
                      <w:bCs/>
                      <w:color w:val="auto"/>
                      <w:szCs w:val="21"/>
                      <w:highlight w:val="none"/>
                    </w:rPr>
                  </w:pPr>
                </w:p>
              </w:tc>
              <w:tc>
                <w:tcPr>
                  <w:tcW w:w="840" w:type="pct"/>
                  <w:vMerge w:val="restart"/>
                  <w:noWrap w:val="0"/>
                  <w:vAlign w:val="center"/>
                </w:tcPr>
                <w:p w14:paraId="57EDA7C0">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地下水防控</w:t>
                  </w:r>
                </w:p>
              </w:tc>
              <w:tc>
                <w:tcPr>
                  <w:tcW w:w="3650" w:type="pct"/>
                  <w:gridSpan w:val="2"/>
                  <w:noWrap w:val="0"/>
                  <w:vAlign w:val="center"/>
                </w:tcPr>
                <w:p w14:paraId="26D74039">
                  <w:pPr>
                    <w:snapToGrid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rPr>
                    <w:t>全厂按“分区防渗”要求，落实不同区域防渗措施。</w:t>
                  </w:r>
                  <w:r>
                    <w:rPr>
                      <w:rFonts w:hint="eastAsia" w:ascii="Times New Roman" w:hAnsi="Times New Roman"/>
                      <w:bCs/>
                      <w:color w:val="auto"/>
                      <w:szCs w:val="21"/>
                      <w:highlight w:val="none"/>
                      <w:lang w:eastAsia="zh-CN"/>
                    </w:rPr>
                    <w:t>危废库</w:t>
                  </w:r>
                  <w:r>
                    <w:rPr>
                      <w:rFonts w:hint="eastAsia" w:ascii="Times New Roman" w:hAnsi="Times New Roman"/>
                      <w:bCs/>
                      <w:color w:val="auto"/>
                      <w:szCs w:val="21"/>
                      <w:highlight w:val="none"/>
                      <w:lang w:val="en-US" w:eastAsia="zh-CN"/>
                    </w:rPr>
                    <w:t>、化学品库</w:t>
                  </w:r>
                  <w:r>
                    <w:rPr>
                      <w:rFonts w:hint="eastAsia"/>
                      <w:color w:val="auto"/>
                      <w:highlight w:val="none"/>
                      <w:lang w:eastAsia="zh-CN"/>
                    </w:rPr>
                    <w:t>、</w:t>
                  </w:r>
                  <w:r>
                    <w:rPr>
                      <w:rFonts w:hint="eastAsia" w:ascii="Times New Roman" w:hAnsi="Times New Roman"/>
                      <w:bCs/>
                      <w:color w:val="auto"/>
                      <w:szCs w:val="21"/>
                      <w:highlight w:val="none"/>
                      <w:lang w:val="en-US" w:eastAsia="zh-CN"/>
                    </w:rPr>
                    <w:t>丝印固化区和废水处理设施</w:t>
                  </w:r>
                  <w:r>
                    <w:rPr>
                      <w:rFonts w:hint="eastAsia" w:ascii="Times New Roman" w:hAnsi="Times New Roman"/>
                      <w:bCs/>
                      <w:color w:val="auto"/>
                      <w:szCs w:val="21"/>
                      <w:highlight w:val="none"/>
                    </w:rPr>
                    <w:t>设置重点防渗，防渗技术要求等效黏土防渗层Mb≥6.0m，K≤10</w:t>
                  </w:r>
                  <w:r>
                    <w:rPr>
                      <w:rFonts w:hint="eastAsia" w:ascii="Times New Roman" w:hAnsi="Times New Roman"/>
                      <w:bCs/>
                      <w:color w:val="auto"/>
                      <w:szCs w:val="21"/>
                      <w:highlight w:val="none"/>
                      <w:vertAlign w:val="superscript"/>
                    </w:rPr>
                    <w:t>-7</w:t>
                  </w:r>
                  <w:r>
                    <w:rPr>
                      <w:rFonts w:hint="eastAsia" w:ascii="Times New Roman" w:hAnsi="Times New Roman"/>
                      <w:bCs/>
                      <w:color w:val="auto"/>
                      <w:szCs w:val="21"/>
                      <w:highlight w:val="none"/>
                    </w:rPr>
                    <w:t>cm/s</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其中危废库还需满足《危险废物贮存污染控制标准》（GB18597-2023）中防渗要求。</w:t>
                  </w:r>
                </w:p>
              </w:tc>
            </w:tr>
            <w:tr w14:paraId="2154E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5F768DCC">
                  <w:pPr>
                    <w:snapToGrid w:val="0"/>
                    <w:spacing w:line="276" w:lineRule="auto"/>
                    <w:ind w:firstLine="360"/>
                    <w:jc w:val="center"/>
                    <w:rPr>
                      <w:rFonts w:ascii="Times New Roman" w:hAnsi="Times New Roman"/>
                      <w:bCs/>
                      <w:color w:val="auto"/>
                      <w:szCs w:val="21"/>
                      <w:highlight w:val="none"/>
                    </w:rPr>
                  </w:pPr>
                </w:p>
              </w:tc>
              <w:tc>
                <w:tcPr>
                  <w:tcW w:w="840" w:type="pct"/>
                  <w:vMerge w:val="continue"/>
                  <w:noWrap w:val="0"/>
                  <w:vAlign w:val="center"/>
                </w:tcPr>
                <w:p w14:paraId="5B2DFF13">
                  <w:pPr>
                    <w:snapToGrid w:val="0"/>
                    <w:spacing w:line="276" w:lineRule="auto"/>
                    <w:ind w:firstLine="360"/>
                    <w:jc w:val="center"/>
                    <w:rPr>
                      <w:rFonts w:ascii="Times New Roman" w:hAnsi="Times New Roman"/>
                      <w:bCs/>
                      <w:color w:val="auto"/>
                      <w:szCs w:val="21"/>
                      <w:highlight w:val="none"/>
                    </w:rPr>
                  </w:pPr>
                </w:p>
              </w:tc>
              <w:tc>
                <w:tcPr>
                  <w:tcW w:w="3650" w:type="pct"/>
                  <w:gridSpan w:val="2"/>
                  <w:noWrap w:val="0"/>
                  <w:vAlign w:val="center"/>
                </w:tcPr>
                <w:p w14:paraId="00D5C3CE">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lang w:val="en-US" w:eastAsia="zh-CN"/>
                    </w:rPr>
                    <w:t>11</w:t>
                  </w:r>
                  <w:r>
                    <w:rPr>
                      <w:rFonts w:hint="eastAsia" w:ascii="Times New Roman" w:hAnsi="Times New Roman"/>
                      <w:bCs/>
                      <w:color w:val="auto"/>
                      <w:szCs w:val="21"/>
                      <w:highlight w:val="none"/>
                    </w:rPr>
                    <w:t>#厂房、</w:t>
                  </w:r>
                  <w:r>
                    <w:rPr>
                      <w:rFonts w:hint="eastAsia" w:ascii="Times New Roman" w:hAnsi="Times New Roman"/>
                      <w:bCs/>
                      <w:color w:val="auto"/>
                      <w:szCs w:val="21"/>
                      <w:highlight w:val="none"/>
                      <w:lang w:val="en-US" w:eastAsia="zh-CN"/>
                    </w:rPr>
                    <w:t>12</w:t>
                  </w:r>
                  <w:r>
                    <w:rPr>
                      <w:rFonts w:hint="eastAsia" w:ascii="Times New Roman" w:hAnsi="Times New Roman"/>
                      <w:bCs/>
                      <w:color w:val="auto"/>
                      <w:szCs w:val="21"/>
                      <w:highlight w:val="none"/>
                    </w:rPr>
                    <w:t>#厂房、</w:t>
                  </w:r>
                  <w:r>
                    <w:rPr>
                      <w:rFonts w:hint="eastAsia" w:ascii="Times New Roman" w:hAnsi="Times New Roman"/>
                      <w:bCs/>
                      <w:color w:val="auto"/>
                      <w:szCs w:val="21"/>
                      <w:highlight w:val="none"/>
                      <w:lang w:val="en-US" w:eastAsia="zh-CN"/>
                    </w:rPr>
                    <w:t>沉淀池和</w:t>
                  </w:r>
                  <w:r>
                    <w:rPr>
                      <w:rFonts w:hint="eastAsia" w:ascii="Times New Roman" w:hAnsi="Times New Roman"/>
                      <w:bCs/>
                      <w:color w:val="auto"/>
                      <w:szCs w:val="21"/>
                      <w:highlight w:val="none"/>
                    </w:rPr>
                    <w:t>一般固废库设置一般防渗，防渗技术要求等效黏土防渗层Mb≥1.5m，K≤10</w:t>
                  </w:r>
                  <w:r>
                    <w:rPr>
                      <w:rFonts w:hint="eastAsia" w:ascii="Times New Roman" w:hAnsi="Times New Roman"/>
                      <w:bCs/>
                      <w:color w:val="auto"/>
                      <w:szCs w:val="21"/>
                      <w:highlight w:val="none"/>
                      <w:vertAlign w:val="superscript"/>
                    </w:rPr>
                    <w:t>-7</w:t>
                  </w:r>
                  <w:r>
                    <w:rPr>
                      <w:rFonts w:hint="eastAsia" w:ascii="Times New Roman" w:hAnsi="Times New Roman"/>
                      <w:bCs/>
                      <w:color w:val="auto"/>
                      <w:szCs w:val="21"/>
                      <w:highlight w:val="none"/>
                    </w:rPr>
                    <w:t>cm/s</w:t>
                  </w:r>
                </w:p>
              </w:tc>
            </w:tr>
            <w:tr w14:paraId="0A5A6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noWrap w:val="0"/>
                  <w:vAlign w:val="center"/>
                </w:tcPr>
                <w:p w14:paraId="66B4AA2E">
                  <w:pPr>
                    <w:snapToGrid w:val="0"/>
                    <w:spacing w:line="276" w:lineRule="auto"/>
                    <w:ind w:firstLine="360"/>
                    <w:jc w:val="center"/>
                    <w:rPr>
                      <w:rFonts w:ascii="Times New Roman" w:hAnsi="Times New Roman"/>
                      <w:bCs/>
                      <w:color w:val="auto"/>
                      <w:szCs w:val="21"/>
                      <w:highlight w:val="none"/>
                    </w:rPr>
                  </w:pPr>
                </w:p>
              </w:tc>
              <w:tc>
                <w:tcPr>
                  <w:tcW w:w="840" w:type="pct"/>
                  <w:noWrap w:val="0"/>
                  <w:vAlign w:val="center"/>
                </w:tcPr>
                <w:p w14:paraId="451819A7">
                  <w:pPr>
                    <w:snapToGrid w:val="0"/>
                    <w:spacing w:line="276" w:lineRule="auto"/>
                    <w:jc w:val="center"/>
                    <w:rPr>
                      <w:rFonts w:hint="eastAsia"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环境风险</w:t>
                  </w:r>
                </w:p>
              </w:tc>
              <w:tc>
                <w:tcPr>
                  <w:tcW w:w="3650" w:type="pct"/>
                  <w:gridSpan w:val="2"/>
                  <w:noWrap w:val="0"/>
                  <w:vAlign w:val="center"/>
                </w:tcPr>
                <w:p w14:paraId="0B33E894">
                  <w:pPr>
                    <w:snapToGrid w:val="0"/>
                    <w:spacing w:line="276" w:lineRule="auto"/>
                    <w:jc w:val="center"/>
                    <w:rPr>
                      <w:rFonts w:hint="default" w:ascii="Times New Roman" w:hAnsi="Times New Roman"/>
                      <w:bCs/>
                      <w:color w:val="auto"/>
                      <w:szCs w:val="21"/>
                      <w:highlight w:val="none"/>
                      <w:lang w:val="en-US" w:eastAsia="zh-CN"/>
                    </w:rPr>
                  </w:pPr>
                  <w:r>
                    <w:rPr>
                      <w:rFonts w:hint="eastAsia" w:ascii="Times New Roman" w:hAnsi="Times New Roman"/>
                      <w:bCs/>
                      <w:color w:val="auto"/>
                      <w:szCs w:val="21"/>
                      <w:highlight w:val="none"/>
                      <w:lang w:val="en-US" w:eastAsia="zh-CN"/>
                    </w:rPr>
                    <w:t>化学品库采取防腐防渗措施，润滑油和高反射膜材料采用桶装，设置在集液托盘内，并安装有火灾报警系统；危废库设置集液托盘，并将废润滑油等危废置于集液托盘内，单层码放；定期检修设备，加强日常维护保养。依法编制应急预案并报相关部门备案。</w:t>
                  </w:r>
                </w:p>
              </w:tc>
            </w:tr>
          </w:tbl>
          <w:p w14:paraId="1C07019F">
            <w:pPr>
              <w:spacing w:line="360" w:lineRule="auto"/>
              <w:ind w:firstLine="482" w:firstLineChars="200"/>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3</w:t>
            </w:r>
            <w:r>
              <w:rPr>
                <w:rFonts w:ascii="Times New Roman" w:hAnsi="Times New Roman"/>
                <w:b/>
                <w:bCs/>
                <w:color w:val="auto"/>
                <w:sz w:val="24"/>
                <w:szCs w:val="24"/>
                <w:highlight w:val="none"/>
              </w:rPr>
              <w:t>、</w:t>
            </w:r>
            <w:r>
              <w:rPr>
                <w:rFonts w:hint="eastAsia" w:ascii="Times New Roman" w:hAnsi="Times New Roman"/>
                <w:b/>
                <w:bCs/>
                <w:color w:val="auto"/>
                <w:sz w:val="24"/>
                <w:szCs w:val="24"/>
                <w:highlight w:val="none"/>
              </w:rPr>
              <w:t>产品方案</w:t>
            </w:r>
          </w:p>
          <w:p w14:paraId="23A0AC58">
            <w:pPr>
              <w:spacing w:line="360" w:lineRule="auto"/>
              <w:ind w:firstLine="480" w:firstLineChars="200"/>
              <w:jc w:val="left"/>
              <w:rPr>
                <w:rFonts w:ascii="宋体" w:hAnsi="宋体" w:cs="宋体"/>
                <w:bCs/>
                <w:color w:val="auto"/>
                <w:sz w:val="24"/>
                <w:szCs w:val="24"/>
                <w:highlight w:val="none"/>
              </w:rPr>
            </w:pPr>
            <w:r>
              <w:rPr>
                <w:rFonts w:hint="eastAsia" w:ascii="宋体" w:hAnsi="宋体" w:cs="宋体"/>
                <w:bCs/>
                <w:color w:val="auto"/>
                <w:sz w:val="24"/>
                <w:szCs w:val="24"/>
                <w:highlight w:val="none"/>
              </w:rPr>
              <w:t>本项目产品方案见下表。</w:t>
            </w:r>
          </w:p>
          <w:p w14:paraId="73ECAAA2">
            <w:pPr>
              <w:spacing w:line="360" w:lineRule="auto"/>
              <w:jc w:val="center"/>
              <w:rPr>
                <w:rFonts w:ascii="Times New Roman" w:hAnsi="黑体" w:eastAsia="黑体"/>
                <w:bCs/>
                <w:color w:val="auto"/>
                <w:sz w:val="24"/>
                <w:szCs w:val="24"/>
                <w:highlight w:val="none"/>
              </w:rPr>
            </w:pPr>
            <w:r>
              <w:rPr>
                <w:rFonts w:ascii="Times New Roman" w:hAnsi="黑体" w:eastAsia="黑体"/>
                <w:bCs/>
                <w:color w:val="auto"/>
                <w:sz w:val="24"/>
                <w:szCs w:val="24"/>
                <w:highlight w:val="none"/>
              </w:rPr>
              <w:t>表</w:t>
            </w:r>
            <w:r>
              <w:rPr>
                <w:rFonts w:hint="eastAsia" w:ascii="Times New Roman" w:hAnsi="黑体" w:eastAsia="黑体"/>
                <w:bCs/>
                <w:color w:val="auto"/>
                <w:sz w:val="24"/>
                <w:szCs w:val="24"/>
                <w:highlight w:val="none"/>
              </w:rPr>
              <w:t>2-3  项目产品方案</w:t>
            </w:r>
            <w:r>
              <w:rPr>
                <w:rFonts w:ascii="Times New Roman" w:hAnsi="黑体" w:eastAsia="黑体"/>
                <w:bCs/>
                <w:color w:val="auto"/>
                <w:sz w:val="24"/>
                <w:szCs w:val="24"/>
                <w:highlight w:val="none"/>
              </w:rPr>
              <w:t>一览表</w:t>
            </w:r>
          </w:p>
          <w:tbl>
            <w:tblPr>
              <w:tblStyle w:val="2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1"/>
              <w:gridCol w:w="1521"/>
              <w:gridCol w:w="1426"/>
              <w:gridCol w:w="1086"/>
              <w:gridCol w:w="1404"/>
              <w:gridCol w:w="867"/>
              <w:gridCol w:w="871"/>
            </w:tblGrid>
            <w:tr w14:paraId="651DA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86" w:type="pct"/>
                  <w:vMerge w:val="restart"/>
                  <w:tcBorders>
                    <w:top w:val="single" w:color="000000" w:sz="8" w:space="0"/>
                  </w:tcBorders>
                  <w:noWrap w:val="0"/>
                  <w:vAlign w:val="center"/>
                </w:tcPr>
                <w:p w14:paraId="544386A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914" w:type="pct"/>
                  <w:vMerge w:val="restart"/>
                  <w:tcBorders>
                    <w:top w:val="single" w:color="000000" w:sz="8" w:space="0"/>
                  </w:tcBorders>
                  <w:noWrap w:val="0"/>
                  <w:vAlign w:val="center"/>
                </w:tcPr>
                <w:p w14:paraId="0AC8C21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生产线名称</w:t>
                  </w:r>
                </w:p>
              </w:tc>
              <w:tc>
                <w:tcPr>
                  <w:tcW w:w="1510" w:type="pct"/>
                  <w:gridSpan w:val="2"/>
                  <w:tcBorders>
                    <w:top w:val="single" w:color="000000" w:sz="8" w:space="0"/>
                    <w:bottom w:val="single" w:color="auto" w:sz="4" w:space="0"/>
                  </w:tcBorders>
                  <w:noWrap w:val="0"/>
                  <w:vAlign w:val="center"/>
                </w:tcPr>
                <w:p w14:paraId="40DD35F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年产量</w:t>
                  </w:r>
                </w:p>
              </w:tc>
              <w:tc>
                <w:tcPr>
                  <w:tcW w:w="844" w:type="pct"/>
                  <w:vMerge w:val="restart"/>
                  <w:tcBorders>
                    <w:top w:val="single" w:color="000000" w:sz="8" w:space="0"/>
                  </w:tcBorders>
                  <w:noWrap w:val="0"/>
                  <w:vAlign w:val="center"/>
                </w:tcPr>
                <w:p w14:paraId="6CE2A6EF">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型号</w:t>
                  </w:r>
                </w:p>
              </w:tc>
              <w:tc>
                <w:tcPr>
                  <w:tcW w:w="521" w:type="pct"/>
                  <w:vMerge w:val="restart"/>
                  <w:tcBorders>
                    <w:top w:val="single" w:color="000000" w:sz="8" w:space="0"/>
                  </w:tcBorders>
                  <w:noWrap w:val="0"/>
                  <w:vAlign w:val="center"/>
                </w:tcPr>
                <w:p w14:paraId="27542033">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年运行时数</w:t>
                  </w:r>
                </w:p>
              </w:tc>
              <w:tc>
                <w:tcPr>
                  <w:tcW w:w="523" w:type="pct"/>
                  <w:vMerge w:val="restart"/>
                  <w:tcBorders>
                    <w:top w:val="single" w:color="000000" w:sz="8" w:space="0"/>
                    <w:right w:val="nil"/>
                  </w:tcBorders>
                  <w:noWrap w:val="0"/>
                  <w:vAlign w:val="center"/>
                </w:tcPr>
                <w:p w14:paraId="4A61AC0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生产线数量</w:t>
                  </w:r>
                </w:p>
              </w:tc>
            </w:tr>
            <w:tr w14:paraId="757FA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86" w:type="pct"/>
                  <w:vMerge w:val="continue"/>
                  <w:tcBorders>
                    <w:left w:val="nil"/>
                  </w:tcBorders>
                  <w:noWrap w:val="0"/>
                  <w:vAlign w:val="center"/>
                </w:tcPr>
                <w:p w14:paraId="4E284D8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14" w:type="pct"/>
                  <w:vMerge w:val="continue"/>
                  <w:noWrap w:val="0"/>
                  <w:vAlign w:val="center"/>
                </w:tcPr>
                <w:p w14:paraId="6CDA510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857" w:type="pct"/>
                  <w:tcBorders>
                    <w:top w:val="single" w:color="auto" w:sz="4" w:space="0"/>
                  </w:tcBorders>
                  <w:noWrap w:val="0"/>
                  <w:vAlign w:val="center"/>
                </w:tcPr>
                <w:p w14:paraId="6CF96C7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㎡/a</w:t>
                  </w:r>
                </w:p>
              </w:tc>
              <w:tc>
                <w:tcPr>
                  <w:tcW w:w="652" w:type="pct"/>
                  <w:tcBorders>
                    <w:top w:val="single" w:color="auto" w:sz="4" w:space="0"/>
                  </w:tcBorders>
                  <w:noWrap w:val="0"/>
                  <w:vAlign w:val="center"/>
                </w:tcPr>
                <w:p w14:paraId="188BF46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t/a</w:t>
                  </w:r>
                </w:p>
              </w:tc>
              <w:tc>
                <w:tcPr>
                  <w:tcW w:w="844" w:type="pct"/>
                  <w:vMerge w:val="continue"/>
                  <w:noWrap w:val="0"/>
                  <w:vAlign w:val="center"/>
                </w:tcPr>
                <w:p w14:paraId="442C93DB">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521" w:type="pct"/>
                  <w:vMerge w:val="continue"/>
                  <w:noWrap w:val="0"/>
                  <w:vAlign w:val="center"/>
                </w:tcPr>
                <w:p w14:paraId="213EB62C">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c>
                <w:tcPr>
                  <w:tcW w:w="523" w:type="pct"/>
                  <w:vMerge w:val="continue"/>
                  <w:tcBorders>
                    <w:right w:val="nil"/>
                  </w:tcBorders>
                  <w:noWrap w:val="0"/>
                  <w:vAlign w:val="center"/>
                </w:tcPr>
                <w:p w14:paraId="4E671E94">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p>
              </w:tc>
            </w:tr>
            <w:tr w14:paraId="3983B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86" w:type="pct"/>
                  <w:tcBorders>
                    <w:left w:val="nil"/>
                    <w:bottom w:val="single" w:color="000000" w:sz="8" w:space="0"/>
                  </w:tcBorders>
                  <w:noWrap w:val="0"/>
                  <w:vAlign w:val="center"/>
                </w:tcPr>
                <w:p w14:paraId="10592E4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光伏玻璃</w:t>
                  </w:r>
                </w:p>
              </w:tc>
              <w:tc>
                <w:tcPr>
                  <w:tcW w:w="914" w:type="pct"/>
                  <w:tcBorders>
                    <w:bottom w:val="single" w:color="000000" w:sz="8" w:space="0"/>
                  </w:tcBorders>
                  <w:noWrap w:val="0"/>
                  <w:vAlign w:val="center"/>
                </w:tcPr>
                <w:p w14:paraId="0E684FD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光伏玻璃加工生产线</w:t>
                  </w:r>
                </w:p>
              </w:tc>
              <w:tc>
                <w:tcPr>
                  <w:tcW w:w="857" w:type="pct"/>
                  <w:tcBorders>
                    <w:bottom w:val="single" w:color="000000" w:sz="8" w:space="0"/>
                  </w:tcBorders>
                  <w:noWrap w:val="0"/>
                  <w:vAlign w:val="center"/>
                </w:tcPr>
                <w:p w14:paraId="420356D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3600万</w:t>
                  </w:r>
                </w:p>
              </w:tc>
              <w:tc>
                <w:tcPr>
                  <w:tcW w:w="652" w:type="pct"/>
                  <w:tcBorders>
                    <w:bottom w:val="single" w:color="000000" w:sz="8" w:space="0"/>
                  </w:tcBorders>
                  <w:noWrap w:val="0"/>
                  <w:vAlign w:val="center"/>
                </w:tcPr>
                <w:p w14:paraId="04E09E86">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18万</w:t>
                  </w:r>
                </w:p>
              </w:tc>
              <w:tc>
                <w:tcPr>
                  <w:tcW w:w="844" w:type="pct"/>
                  <w:tcBorders>
                    <w:bottom w:val="single" w:color="000000" w:sz="8" w:space="0"/>
                  </w:tcBorders>
                  <w:noWrap w:val="0"/>
                  <w:vAlign w:val="center"/>
                </w:tcPr>
                <w:p w14:paraId="2D3E86A2">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2.0mm玻璃半钢化</w:t>
                  </w:r>
                </w:p>
              </w:tc>
              <w:tc>
                <w:tcPr>
                  <w:tcW w:w="521" w:type="pct"/>
                  <w:tcBorders>
                    <w:bottom w:val="single" w:color="000000" w:sz="8" w:space="0"/>
                  </w:tcBorders>
                  <w:noWrap w:val="0"/>
                  <w:vAlign w:val="center"/>
                </w:tcPr>
                <w:p w14:paraId="1A86AF3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r>
                    <w:rPr>
                      <w:rFonts w:hint="default" w:ascii="Times New Roman" w:hAnsi="Times New Roman" w:eastAsia="宋体" w:cs="Times New Roman"/>
                      <w:b w:val="0"/>
                      <w:bCs w:val="0"/>
                      <w:color w:val="auto"/>
                      <w:sz w:val="21"/>
                      <w:szCs w:val="21"/>
                      <w:highlight w:val="none"/>
                    </w:rPr>
                    <w:t>h</w:t>
                  </w:r>
                </w:p>
              </w:tc>
              <w:tc>
                <w:tcPr>
                  <w:tcW w:w="523" w:type="pct"/>
                  <w:tcBorders>
                    <w:bottom w:val="single" w:color="000000" w:sz="8" w:space="0"/>
                    <w:right w:val="nil"/>
                  </w:tcBorders>
                  <w:noWrap w:val="0"/>
                  <w:vAlign w:val="center"/>
                </w:tcPr>
                <w:p w14:paraId="59C1D31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1条</w:t>
                  </w:r>
                </w:p>
              </w:tc>
            </w:tr>
          </w:tbl>
          <w:p w14:paraId="209136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b/>
                <w:bCs/>
                <w:color w:val="auto"/>
                <w:sz w:val="18"/>
                <w:szCs w:val="18"/>
                <w:highlight w:val="none"/>
                <w:lang w:val="en-US" w:eastAsia="zh-CN"/>
              </w:rPr>
            </w:pPr>
            <w:r>
              <w:rPr>
                <w:rFonts w:hint="eastAsia" w:ascii="Times New Roman" w:hAnsi="Times New Roman"/>
                <w:b/>
                <w:bCs/>
                <w:color w:val="auto"/>
                <w:sz w:val="18"/>
                <w:szCs w:val="18"/>
                <w:highlight w:val="none"/>
                <w:lang w:val="en-US" w:eastAsia="zh-CN"/>
              </w:rPr>
              <w:t>注：成品玻璃密度约为2.5g/cm</w:t>
            </w:r>
            <w:r>
              <w:rPr>
                <w:rFonts w:hint="eastAsia" w:ascii="Times New Roman" w:hAnsi="Times New Roman"/>
                <w:b/>
                <w:bCs/>
                <w:color w:val="auto"/>
                <w:sz w:val="18"/>
                <w:szCs w:val="18"/>
                <w:highlight w:val="none"/>
                <w:vertAlign w:val="superscript"/>
                <w:lang w:val="en-US" w:eastAsia="zh-CN"/>
              </w:rPr>
              <w:t>3</w:t>
            </w:r>
            <w:r>
              <w:rPr>
                <w:rFonts w:hint="eastAsia" w:ascii="Times New Roman" w:hAnsi="Times New Roman"/>
                <w:b/>
                <w:bCs/>
                <w:color w:val="auto"/>
                <w:sz w:val="18"/>
                <w:szCs w:val="18"/>
                <w:highlight w:val="none"/>
                <w:vertAlign w:val="baseline"/>
                <w:lang w:val="en-US" w:eastAsia="zh-CN"/>
              </w:rPr>
              <w:t>。</w:t>
            </w:r>
          </w:p>
          <w:p w14:paraId="44DF5315">
            <w:pPr>
              <w:spacing w:line="360" w:lineRule="auto"/>
              <w:ind w:firstLine="482" w:firstLineChars="200"/>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4</w:t>
            </w:r>
            <w:r>
              <w:rPr>
                <w:rFonts w:ascii="Times New Roman" w:hAnsi="Times New Roman"/>
                <w:b/>
                <w:bCs/>
                <w:color w:val="auto"/>
                <w:sz w:val="24"/>
                <w:szCs w:val="24"/>
                <w:highlight w:val="none"/>
              </w:rPr>
              <w:t>、主要生产设备</w:t>
            </w:r>
          </w:p>
          <w:p w14:paraId="4DA65624">
            <w:pPr>
              <w:spacing w:line="360" w:lineRule="auto"/>
              <w:jc w:val="center"/>
              <w:rPr>
                <w:rFonts w:ascii="Times New Roman" w:hAnsi="黑体" w:eastAsia="黑体"/>
                <w:bCs/>
                <w:color w:val="auto"/>
                <w:sz w:val="24"/>
                <w:szCs w:val="24"/>
                <w:highlight w:val="none"/>
              </w:rPr>
            </w:pPr>
            <w:r>
              <w:rPr>
                <w:rFonts w:ascii="Times New Roman" w:hAnsi="黑体" w:eastAsia="黑体"/>
                <w:bCs/>
                <w:color w:val="auto"/>
                <w:sz w:val="24"/>
                <w:szCs w:val="24"/>
                <w:highlight w:val="none"/>
              </w:rPr>
              <w:t>表</w:t>
            </w:r>
            <w:r>
              <w:rPr>
                <w:rFonts w:hint="eastAsia" w:ascii="Times New Roman" w:hAnsi="黑体" w:eastAsia="黑体"/>
                <w:bCs/>
                <w:color w:val="auto"/>
                <w:sz w:val="24"/>
                <w:szCs w:val="24"/>
                <w:highlight w:val="none"/>
              </w:rPr>
              <w:t>2-4  项目生产</w:t>
            </w:r>
            <w:r>
              <w:rPr>
                <w:rFonts w:ascii="Times New Roman" w:hAnsi="黑体" w:eastAsia="黑体"/>
                <w:bCs/>
                <w:color w:val="auto"/>
                <w:sz w:val="24"/>
                <w:szCs w:val="24"/>
                <w:highlight w:val="none"/>
              </w:rPr>
              <w:t>设备一览表</w:t>
            </w:r>
          </w:p>
          <w:tbl>
            <w:tblPr>
              <w:tblStyle w:val="20"/>
              <w:tblW w:w="4995"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2"/>
              <w:gridCol w:w="1523"/>
              <w:gridCol w:w="1768"/>
              <w:gridCol w:w="1187"/>
              <w:gridCol w:w="1581"/>
              <w:gridCol w:w="1581"/>
            </w:tblGrid>
            <w:tr w14:paraId="673295C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450C0369">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序号</w:t>
                  </w:r>
                </w:p>
              </w:tc>
              <w:tc>
                <w:tcPr>
                  <w:tcW w:w="915" w:type="pct"/>
                  <w:noWrap w:val="0"/>
                  <w:vAlign w:val="center"/>
                </w:tcPr>
                <w:p w14:paraId="45718B09">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设备名称</w:t>
                  </w:r>
                </w:p>
              </w:tc>
              <w:tc>
                <w:tcPr>
                  <w:tcW w:w="1062" w:type="pct"/>
                  <w:noWrap w:val="0"/>
                  <w:vAlign w:val="center"/>
                </w:tcPr>
                <w:p w14:paraId="4D4966D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型号</w:t>
                  </w:r>
                </w:p>
              </w:tc>
              <w:tc>
                <w:tcPr>
                  <w:tcW w:w="713" w:type="pct"/>
                  <w:noWrap w:val="0"/>
                  <w:vAlign w:val="center"/>
                </w:tcPr>
                <w:p w14:paraId="4237958E">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数量（台</w:t>
                  </w:r>
                  <w:r>
                    <w:rPr>
                      <w:rFonts w:ascii="Times New Roman" w:hAnsi="Times New Roman"/>
                      <w:b/>
                      <w:bCs/>
                      <w:color w:val="auto"/>
                      <w:kern w:val="0"/>
                      <w:szCs w:val="21"/>
                      <w:highlight w:val="none"/>
                    </w:rPr>
                    <w:t>/</w:t>
                  </w:r>
                  <w:r>
                    <w:rPr>
                      <w:rFonts w:hint="eastAsia" w:ascii="宋体" w:hAnsi="宋体" w:cs="宋体"/>
                      <w:b/>
                      <w:bCs/>
                      <w:color w:val="auto"/>
                      <w:kern w:val="0"/>
                      <w:szCs w:val="21"/>
                      <w:highlight w:val="none"/>
                    </w:rPr>
                    <w:t>套）</w:t>
                  </w:r>
                </w:p>
              </w:tc>
              <w:tc>
                <w:tcPr>
                  <w:tcW w:w="949" w:type="pct"/>
                  <w:noWrap w:val="0"/>
                  <w:vAlign w:val="center"/>
                </w:tcPr>
                <w:p w14:paraId="17450E66">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对应使用工序</w:t>
                  </w:r>
                </w:p>
              </w:tc>
              <w:tc>
                <w:tcPr>
                  <w:tcW w:w="949" w:type="pct"/>
                  <w:noWrap w:val="0"/>
                  <w:vAlign w:val="center"/>
                </w:tcPr>
                <w:p w14:paraId="6DEB16F5">
                  <w:pPr>
                    <w:widowControl/>
                    <w:adjustRightInd w:val="0"/>
                    <w:snapToGrid w:val="0"/>
                    <w:spacing w:line="276" w:lineRule="auto"/>
                    <w:jc w:val="center"/>
                    <w:textAlignment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备注</w:t>
                  </w:r>
                </w:p>
              </w:tc>
            </w:tr>
            <w:tr w14:paraId="5EA7DBC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235672A5">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1</w:t>
                  </w:r>
                </w:p>
              </w:tc>
              <w:tc>
                <w:tcPr>
                  <w:tcW w:w="915" w:type="pct"/>
                  <w:noWrap w:val="0"/>
                  <w:vAlign w:val="center"/>
                </w:tcPr>
                <w:p w14:paraId="099E19C8">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磨边机</w:t>
                  </w:r>
                </w:p>
              </w:tc>
              <w:tc>
                <w:tcPr>
                  <w:tcW w:w="1062" w:type="pct"/>
                  <w:noWrap w:val="0"/>
                  <w:vAlign w:val="center"/>
                </w:tcPr>
                <w:p w14:paraId="644F0240">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1400*2650</w:t>
                  </w:r>
                </w:p>
              </w:tc>
              <w:tc>
                <w:tcPr>
                  <w:tcW w:w="713" w:type="pct"/>
                  <w:noWrap w:val="0"/>
                  <w:vAlign w:val="center"/>
                </w:tcPr>
                <w:p w14:paraId="03EA305D">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w:t>
                  </w:r>
                </w:p>
              </w:tc>
              <w:tc>
                <w:tcPr>
                  <w:tcW w:w="949" w:type="pct"/>
                  <w:noWrap w:val="0"/>
                  <w:vAlign w:val="center"/>
                </w:tcPr>
                <w:p w14:paraId="7A03D497">
                  <w:pPr>
                    <w:widowControl/>
                    <w:adjustRightInd w:val="0"/>
                    <w:snapToGrid w:val="0"/>
                    <w:spacing w:line="276" w:lineRule="auto"/>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磨边</w:t>
                  </w:r>
                </w:p>
              </w:tc>
              <w:tc>
                <w:tcPr>
                  <w:tcW w:w="949" w:type="pct"/>
                  <w:noWrap w:val="0"/>
                  <w:vAlign w:val="center"/>
                </w:tcPr>
                <w:p w14:paraId="476CE3C4">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287CFF3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670CAFFF">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2</w:t>
                  </w:r>
                </w:p>
              </w:tc>
              <w:tc>
                <w:tcPr>
                  <w:tcW w:w="915" w:type="pct"/>
                  <w:noWrap w:val="0"/>
                  <w:vAlign w:val="center"/>
                </w:tcPr>
                <w:p w14:paraId="0E44D2AF">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打孔机</w:t>
                  </w:r>
                </w:p>
              </w:tc>
              <w:tc>
                <w:tcPr>
                  <w:tcW w:w="1062" w:type="pct"/>
                  <w:noWrap w:val="0"/>
                  <w:vAlign w:val="center"/>
                </w:tcPr>
                <w:p w14:paraId="343EA414">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JM180</w:t>
                  </w:r>
                </w:p>
              </w:tc>
              <w:tc>
                <w:tcPr>
                  <w:tcW w:w="713" w:type="pct"/>
                  <w:noWrap w:val="0"/>
                  <w:vAlign w:val="center"/>
                </w:tcPr>
                <w:p w14:paraId="34381037">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w:t>
                  </w:r>
                </w:p>
              </w:tc>
              <w:tc>
                <w:tcPr>
                  <w:tcW w:w="949" w:type="pct"/>
                  <w:noWrap w:val="0"/>
                  <w:vAlign w:val="center"/>
                </w:tcPr>
                <w:p w14:paraId="5A4EDCB8">
                  <w:pPr>
                    <w:widowControl/>
                    <w:adjustRightInd w:val="0"/>
                    <w:snapToGrid w:val="0"/>
                    <w:spacing w:line="276" w:lineRule="auto"/>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打孔</w:t>
                  </w:r>
                </w:p>
              </w:tc>
              <w:tc>
                <w:tcPr>
                  <w:tcW w:w="949" w:type="pct"/>
                  <w:noWrap w:val="0"/>
                  <w:vAlign w:val="center"/>
                </w:tcPr>
                <w:p w14:paraId="6E00A83C">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2BBFF6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2A0DBA68">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3</w:t>
                  </w:r>
                </w:p>
              </w:tc>
              <w:tc>
                <w:tcPr>
                  <w:tcW w:w="915" w:type="pct"/>
                  <w:noWrap w:val="0"/>
                  <w:vAlign w:val="center"/>
                </w:tcPr>
                <w:p w14:paraId="273A3770">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倒角机</w:t>
                  </w:r>
                </w:p>
              </w:tc>
              <w:tc>
                <w:tcPr>
                  <w:tcW w:w="1062" w:type="pct"/>
                  <w:noWrap w:val="0"/>
                  <w:vAlign w:val="center"/>
                </w:tcPr>
                <w:p w14:paraId="11D0F119">
                  <w:pPr>
                    <w:widowControl/>
                    <w:adjustRightInd w:val="0"/>
                    <w:snapToGrid w:val="0"/>
                    <w:spacing w:line="276"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定制</w:t>
                  </w:r>
                </w:p>
              </w:tc>
              <w:tc>
                <w:tcPr>
                  <w:tcW w:w="713" w:type="pct"/>
                  <w:noWrap w:val="0"/>
                  <w:vAlign w:val="center"/>
                </w:tcPr>
                <w:p w14:paraId="2EA4F968">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w:t>
                  </w:r>
                </w:p>
              </w:tc>
              <w:tc>
                <w:tcPr>
                  <w:tcW w:w="949" w:type="pct"/>
                  <w:noWrap w:val="0"/>
                  <w:vAlign w:val="center"/>
                </w:tcPr>
                <w:p w14:paraId="1CFED4BD">
                  <w:pPr>
                    <w:widowControl/>
                    <w:adjustRightInd w:val="0"/>
                    <w:snapToGrid w:val="0"/>
                    <w:spacing w:line="276" w:lineRule="auto"/>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倒角</w:t>
                  </w:r>
                </w:p>
              </w:tc>
              <w:tc>
                <w:tcPr>
                  <w:tcW w:w="949" w:type="pct"/>
                  <w:noWrap w:val="0"/>
                  <w:vAlign w:val="center"/>
                </w:tcPr>
                <w:p w14:paraId="02026464">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550151D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0DDC7F51">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4</w:t>
                  </w:r>
                </w:p>
              </w:tc>
              <w:tc>
                <w:tcPr>
                  <w:tcW w:w="915" w:type="pct"/>
                  <w:noWrap w:val="0"/>
                  <w:vAlign w:val="center"/>
                </w:tcPr>
                <w:p w14:paraId="43CA1D0B">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清洗机</w:t>
                  </w:r>
                </w:p>
              </w:tc>
              <w:tc>
                <w:tcPr>
                  <w:tcW w:w="1062" w:type="pct"/>
                  <w:noWrap w:val="0"/>
                  <w:vAlign w:val="center"/>
                </w:tcPr>
                <w:p w14:paraId="29040D49">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GCM1400BG  </w:t>
                  </w:r>
                </w:p>
              </w:tc>
              <w:tc>
                <w:tcPr>
                  <w:tcW w:w="713" w:type="pct"/>
                  <w:noWrap w:val="0"/>
                  <w:vAlign w:val="center"/>
                </w:tcPr>
                <w:p w14:paraId="6AC9D691">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5</w:t>
                  </w:r>
                </w:p>
              </w:tc>
              <w:tc>
                <w:tcPr>
                  <w:tcW w:w="949" w:type="pct"/>
                  <w:noWrap w:val="0"/>
                  <w:vAlign w:val="center"/>
                </w:tcPr>
                <w:p w14:paraId="4E68BA71">
                  <w:pPr>
                    <w:widowControl/>
                    <w:adjustRightInd w:val="0"/>
                    <w:snapToGrid w:val="0"/>
                    <w:spacing w:line="276" w:lineRule="auto"/>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清洗</w:t>
                  </w:r>
                </w:p>
              </w:tc>
              <w:tc>
                <w:tcPr>
                  <w:tcW w:w="949" w:type="pct"/>
                  <w:noWrap w:val="0"/>
                  <w:vAlign w:val="center"/>
                </w:tcPr>
                <w:p w14:paraId="0E856C0D">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455590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54BB00DE">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5</w:t>
                  </w:r>
                </w:p>
              </w:tc>
              <w:tc>
                <w:tcPr>
                  <w:tcW w:w="915" w:type="pct"/>
                  <w:noWrap w:val="0"/>
                  <w:vAlign w:val="center"/>
                </w:tcPr>
                <w:p w14:paraId="5D0CDEF3">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丝印机组</w:t>
                  </w:r>
                </w:p>
              </w:tc>
              <w:tc>
                <w:tcPr>
                  <w:tcW w:w="1062" w:type="pct"/>
                  <w:noWrap w:val="0"/>
                  <w:vAlign w:val="center"/>
                </w:tcPr>
                <w:p w14:paraId="1722E7EC">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BWSP-1426GHA</w:t>
                  </w:r>
                </w:p>
              </w:tc>
              <w:tc>
                <w:tcPr>
                  <w:tcW w:w="713" w:type="pct"/>
                  <w:noWrap w:val="0"/>
                  <w:vAlign w:val="center"/>
                </w:tcPr>
                <w:p w14:paraId="0D241889">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w:t>
                  </w:r>
                </w:p>
              </w:tc>
              <w:tc>
                <w:tcPr>
                  <w:tcW w:w="949" w:type="pct"/>
                  <w:noWrap w:val="0"/>
                  <w:vAlign w:val="center"/>
                </w:tcPr>
                <w:p w14:paraId="5F3DBAEC">
                  <w:pPr>
                    <w:widowControl/>
                    <w:adjustRightInd w:val="0"/>
                    <w:snapToGrid w:val="0"/>
                    <w:spacing w:line="276" w:lineRule="auto"/>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丝印、固化</w:t>
                  </w:r>
                </w:p>
              </w:tc>
              <w:tc>
                <w:tcPr>
                  <w:tcW w:w="949" w:type="pct"/>
                  <w:noWrap w:val="0"/>
                  <w:vAlign w:val="center"/>
                </w:tcPr>
                <w:p w14:paraId="6CC7F9D2">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592582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203BDAE8">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6</w:t>
                  </w:r>
                </w:p>
              </w:tc>
              <w:tc>
                <w:tcPr>
                  <w:tcW w:w="915" w:type="pct"/>
                  <w:noWrap w:val="0"/>
                  <w:vAlign w:val="center"/>
                </w:tcPr>
                <w:p w14:paraId="1052F90A">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钢化</w:t>
                  </w:r>
                  <w:r>
                    <w:rPr>
                      <w:rFonts w:hint="eastAsia" w:ascii="Times New Roman" w:hAnsi="Times New Roman" w:eastAsia="宋体" w:cs="Times New Roman"/>
                      <w:color w:val="auto"/>
                      <w:szCs w:val="21"/>
                      <w:highlight w:val="none"/>
                      <w:lang w:val="en-US" w:eastAsia="zh-CN"/>
                    </w:rPr>
                    <w:t>炉</w:t>
                  </w:r>
                </w:p>
              </w:tc>
              <w:tc>
                <w:tcPr>
                  <w:tcW w:w="1062" w:type="pct"/>
                  <w:noWrap w:val="0"/>
                  <w:vAlign w:val="center"/>
                </w:tcPr>
                <w:p w14:paraId="0B18CE41">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LG1425+42-3.2</w:t>
                  </w:r>
                </w:p>
              </w:tc>
              <w:tc>
                <w:tcPr>
                  <w:tcW w:w="713" w:type="pct"/>
                  <w:noWrap w:val="0"/>
                  <w:vAlign w:val="center"/>
                </w:tcPr>
                <w:p w14:paraId="68EA233A">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p>
              </w:tc>
              <w:tc>
                <w:tcPr>
                  <w:tcW w:w="949" w:type="pct"/>
                  <w:noWrap w:val="0"/>
                  <w:vAlign w:val="center"/>
                </w:tcPr>
                <w:p w14:paraId="778AE553">
                  <w:pPr>
                    <w:widowControl/>
                    <w:adjustRightInd w:val="0"/>
                    <w:snapToGrid w:val="0"/>
                    <w:spacing w:line="276" w:lineRule="auto"/>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钢化</w:t>
                  </w:r>
                </w:p>
              </w:tc>
              <w:tc>
                <w:tcPr>
                  <w:tcW w:w="949" w:type="pct"/>
                  <w:noWrap w:val="0"/>
                  <w:vAlign w:val="center"/>
                </w:tcPr>
                <w:p w14:paraId="5D4D8BDA">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电加热</w:t>
                  </w:r>
                </w:p>
              </w:tc>
            </w:tr>
            <w:tr w14:paraId="4F5D68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2CEDA4C1">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7</w:t>
                  </w:r>
                </w:p>
              </w:tc>
              <w:tc>
                <w:tcPr>
                  <w:tcW w:w="915" w:type="pct"/>
                  <w:noWrap w:val="0"/>
                  <w:vAlign w:val="center"/>
                </w:tcPr>
                <w:p w14:paraId="76A2589F">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轨道</w:t>
                  </w:r>
                </w:p>
              </w:tc>
              <w:tc>
                <w:tcPr>
                  <w:tcW w:w="1062" w:type="pct"/>
                  <w:noWrap w:val="0"/>
                  <w:vAlign w:val="center"/>
                </w:tcPr>
                <w:p w14:paraId="50019DCD">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定制</w:t>
                  </w:r>
                </w:p>
              </w:tc>
              <w:tc>
                <w:tcPr>
                  <w:tcW w:w="713" w:type="pct"/>
                  <w:noWrap w:val="0"/>
                  <w:vAlign w:val="center"/>
                </w:tcPr>
                <w:p w14:paraId="72DBEF03">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p>
              </w:tc>
              <w:tc>
                <w:tcPr>
                  <w:tcW w:w="949" w:type="pct"/>
                  <w:noWrap w:val="0"/>
                  <w:vAlign w:val="center"/>
                </w:tcPr>
                <w:p w14:paraId="3D123DE1">
                  <w:pPr>
                    <w:widowControl/>
                    <w:adjustRightInd w:val="0"/>
                    <w:snapToGrid w:val="0"/>
                    <w:spacing w:line="276" w:lineRule="auto"/>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辅助运输</w:t>
                  </w:r>
                </w:p>
              </w:tc>
              <w:tc>
                <w:tcPr>
                  <w:tcW w:w="949" w:type="pct"/>
                  <w:noWrap w:val="0"/>
                  <w:vAlign w:val="center"/>
                </w:tcPr>
                <w:p w14:paraId="1EC6AF1E">
                  <w:pPr>
                    <w:widowControl/>
                    <w:adjustRightInd w:val="0"/>
                    <w:snapToGrid w:val="0"/>
                    <w:spacing w:line="276"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7F9CB8E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9" w:type="pct"/>
                  <w:noWrap w:val="0"/>
                  <w:vAlign w:val="center"/>
                </w:tcPr>
                <w:p w14:paraId="148B9517">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8</w:t>
                  </w:r>
                </w:p>
              </w:tc>
              <w:tc>
                <w:tcPr>
                  <w:tcW w:w="915" w:type="pct"/>
                  <w:noWrap w:val="0"/>
                  <w:vAlign w:val="center"/>
                </w:tcPr>
                <w:p w14:paraId="1265B4A8">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纯水制备机</w:t>
                  </w:r>
                </w:p>
              </w:tc>
              <w:tc>
                <w:tcPr>
                  <w:tcW w:w="1062" w:type="pct"/>
                  <w:noWrap w:val="0"/>
                  <w:vAlign w:val="center"/>
                </w:tcPr>
                <w:p w14:paraId="4EDDAC34">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8t/h</w:t>
                  </w:r>
                </w:p>
              </w:tc>
              <w:tc>
                <w:tcPr>
                  <w:tcW w:w="713" w:type="pct"/>
                  <w:noWrap w:val="0"/>
                  <w:vAlign w:val="center"/>
                </w:tcPr>
                <w:p w14:paraId="5889D486">
                  <w:pPr>
                    <w:widowControl/>
                    <w:adjustRightInd w:val="0"/>
                    <w:snapToGrid w:val="0"/>
                    <w:spacing w:line="276" w:lineRule="auto"/>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w:t>
                  </w:r>
                </w:p>
              </w:tc>
              <w:tc>
                <w:tcPr>
                  <w:tcW w:w="949" w:type="pct"/>
                  <w:noWrap w:val="0"/>
                  <w:vAlign w:val="center"/>
                </w:tcPr>
                <w:p w14:paraId="5346F178">
                  <w:pPr>
                    <w:widowControl/>
                    <w:adjustRightInd w:val="0"/>
                    <w:snapToGrid w:val="0"/>
                    <w:spacing w:line="276" w:lineRule="auto"/>
                    <w:jc w:val="center"/>
                    <w:textAlignment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清洗</w:t>
                  </w:r>
                </w:p>
              </w:tc>
              <w:tc>
                <w:tcPr>
                  <w:tcW w:w="949" w:type="pct"/>
                  <w:noWrap w:val="0"/>
                  <w:vAlign w:val="center"/>
                </w:tcPr>
                <w:p w14:paraId="3ABCC9B5">
                  <w:pPr>
                    <w:widowControl/>
                    <w:adjustRightInd w:val="0"/>
                    <w:snapToGrid w:val="0"/>
                    <w:spacing w:line="276" w:lineRule="auto"/>
                    <w:jc w:val="center"/>
                    <w:textAlignment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工艺为“除垢过滤+保安过滤+反渗透”</w:t>
                  </w:r>
                </w:p>
              </w:tc>
            </w:tr>
          </w:tbl>
          <w:p w14:paraId="7FD7E2C3">
            <w:pPr>
              <w:spacing w:line="360" w:lineRule="auto"/>
              <w:ind w:firstLine="482" w:firstLineChars="200"/>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5</w:t>
            </w:r>
            <w:r>
              <w:rPr>
                <w:rFonts w:ascii="Times New Roman" w:hAnsi="Times New Roman"/>
                <w:b/>
                <w:bCs/>
                <w:color w:val="auto"/>
                <w:sz w:val="24"/>
                <w:szCs w:val="24"/>
                <w:highlight w:val="none"/>
              </w:rPr>
              <w:t>、主要原辅材料</w:t>
            </w:r>
          </w:p>
          <w:p w14:paraId="452489E1">
            <w:pPr>
              <w:spacing w:line="360" w:lineRule="auto"/>
              <w:jc w:val="center"/>
              <w:rPr>
                <w:rFonts w:ascii="Times New Roman" w:hAnsi="黑体" w:eastAsia="黑体"/>
                <w:bCs/>
                <w:color w:val="auto"/>
                <w:sz w:val="24"/>
                <w:szCs w:val="24"/>
                <w:highlight w:val="none"/>
              </w:rPr>
            </w:pPr>
            <w:r>
              <w:rPr>
                <w:rFonts w:ascii="Times New Roman" w:hAnsi="黑体" w:eastAsia="黑体"/>
                <w:bCs/>
                <w:color w:val="auto"/>
                <w:sz w:val="24"/>
                <w:szCs w:val="24"/>
                <w:highlight w:val="none"/>
              </w:rPr>
              <w:t>表</w:t>
            </w:r>
            <w:r>
              <w:rPr>
                <w:rFonts w:ascii="Times New Roman" w:hAnsi="Times New Roman" w:eastAsia="黑体"/>
                <w:bCs/>
                <w:color w:val="auto"/>
                <w:sz w:val="24"/>
                <w:szCs w:val="24"/>
                <w:highlight w:val="none"/>
              </w:rPr>
              <w:t>2-</w:t>
            </w:r>
            <w:r>
              <w:rPr>
                <w:rFonts w:hint="eastAsia" w:ascii="Times New Roman" w:hAnsi="Times New Roman" w:eastAsia="黑体"/>
                <w:bCs/>
                <w:color w:val="auto"/>
                <w:sz w:val="24"/>
                <w:szCs w:val="24"/>
                <w:highlight w:val="none"/>
              </w:rPr>
              <w:t xml:space="preserve">5  </w:t>
            </w:r>
            <w:r>
              <w:rPr>
                <w:rFonts w:ascii="Times New Roman" w:hAnsi="黑体" w:eastAsia="黑体"/>
                <w:bCs/>
                <w:color w:val="auto"/>
                <w:sz w:val="24"/>
                <w:szCs w:val="24"/>
                <w:highlight w:val="none"/>
              </w:rPr>
              <w:t>项目原辅材料及能源消耗一览表</w:t>
            </w:r>
            <w:r>
              <w:rPr>
                <w:rFonts w:hint="eastAsia" w:ascii="宋体" w:hAnsi="宋体" w:eastAsia="宋体" w:cs="宋体"/>
                <w:color w:val="auto"/>
                <w:kern w:val="0"/>
                <w:sz w:val="21"/>
                <w:szCs w:val="21"/>
                <w:highlight w:val="none"/>
                <w:vertAlign w:val="superscript"/>
                <w:lang w:val="en-US" w:eastAsia="zh-CN" w:bidi="ar"/>
              </w:rPr>
              <w:t>①</w:t>
            </w:r>
          </w:p>
          <w:tbl>
            <w:tblPr>
              <w:tblStyle w:val="20"/>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760"/>
              <w:gridCol w:w="1716"/>
              <w:gridCol w:w="777"/>
              <w:gridCol w:w="682"/>
              <w:gridCol w:w="873"/>
              <w:gridCol w:w="739"/>
              <w:gridCol w:w="801"/>
              <w:gridCol w:w="752"/>
              <w:gridCol w:w="752"/>
            </w:tblGrid>
            <w:tr w14:paraId="1078860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73371EAE">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760" w:type="dxa"/>
                  <w:noWrap w:val="0"/>
                  <w:vAlign w:val="center"/>
                </w:tcPr>
                <w:p w14:paraId="778D9A1B">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1716" w:type="dxa"/>
                  <w:noWrap w:val="0"/>
                  <w:vAlign w:val="center"/>
                </w:tcPr>
                <w:p w14:paraId="469F23F1">
                  <w:pPr>
                    <w:widowControl/>
                    <w:adjustRightInd w:val="0"/>
                    <w:snapToGrid w:val="0"/>
                    <w:spacing w:line="276" w:lineRule="auto"/>
                    <w:jc w:val="center"/>
                    <w:textAlignment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主要成分</w:t>
                  </w:r>
                </w:p>
              </w:tc>
              <w:tc>
                <w:tcPr>
                  <w:tcW w:w="777" w:type="dxa"/>
                  <w:noWrap w:val="0"/>
                  <w:vAlign w:val="center"/>
                </w:tcPr>
                <w:p w14:paraId="36972C8A">
                  <w:pPr>
                    <w:widowControl/>
                    <w:adjustRightInd w:val="0"/>
                    <w:snapToGrid w:val="0"/>
                    <w:spacing w:line="276" w:lineRule="auto"/>
                    <w:jc w:val="center"/>
                    <w:textAlignment w:val="center"/>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性状</w:t>
                  </w:r>
                </w:p>
              </w:tc>
              <w:tc>
                <w:tcPr>
                  <w:tcW w:w="682" w:type="dxa"/>
                  <w:noWrap w:val="0"/>
                  <w:vAlign w:val="center"/>
                </w:tcPr>
                <w:p w14:paraId="31BFF758">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单位</w:t>
                  </w:r>
                </w:p>
              </w:tc>
              <w:tc>
                <w:tcPr>
                  <w:tcW w:w="873" w:type="dxa"/>
                  <w:noWrap w:val="0"/>
                  <w:vAlign w:val="center"/>
                </w:tcPr>
                <w:p w14:paraId="25858539">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消耗量</w:t>
                  </w:r>
                </w:p>
              </w:tc>
              <w:tc>
                <w:tcPr>
                  <w:tcW w:w="739" w:type="dxa"/>
                  <w:noWrap w:val="0"/>
                  <w:vAlign w:val="center"/>
                </w:tcPr>
                <w:p w14:paraId="5C9E4174">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最大储存量</w:t>
                  </w:r>
                </w:p>
              </w:tc>
              <w:tc>
                <w:tcPr>
                  <w:tcW w:w="801" w:type="dxa"/>
                  <w:noWrap w:val="0"/>
                  <w:vAlign w:val="center"/>
                </w:tcPr>
                <w:p w14:paraId="2D4D5CF5">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规格</w:t>
                  </w:r>
                </w:p>
              </w:tc>
              <w:tc>
                <w:tcPr>
                  <w:tcW w:w="752" w:type="dxa"/>
                  <w:noWrap w:val="0"/>
                  <w:vAlign w:val="center"/>
                </w:tcPr>
                <w:p w14:paraId="75B7DA37">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储存位置</w:t>
                  </w:r>
                </w:p>
              </w:tc>
              <w:tc>
                <w:tcPr>
                  <w:tcW w:w="752" w:type="dxa"/>
                  <w:noWrap w:val="0"/>
                  <w:vAlign w:val="center"/>
                </w:tcPr>
                <w:p w14:paraId="52D02156">
                  <w:pPr>
                    <w:widowControl/>
                    <w:adjustRightInd w:val="0"/>
                    <w:snapToGrid w:val="0"/>
                    <w:spacing w:line="276"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储存周期</w:t>
                  </w:r>
                </w:p>
              </w:tc>
            </w:tr>
            <w:tr w14:paraId="39A7EDE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7551957B">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760" w:type="dxa"/>
                  <w:noWrap w:val="0"/>
                  <w:vAlign w:val="center"/>
                </w:tcPr>
                <w:p w14:paraId="4BEBB60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玻璃原片</w:t>
                  </w:r>
                </w:p>
              </w:tc>
              <w:tc>
                <w:tcPr>
                  <w:tcW w:w="1716" w:type="dxa"/>
                  <w:noWrap w:val="0"/>
                  <w:vAlign w:val="center"/>
                </w:tcPr>
                <w:p w14:paraId="45A464AA">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pacing w:val="-4"/>
                      <w:sz w:val="21"/>
                      <w:szCs w:val="21"/>
                      <w:highlight w:val="none"/>
                    </w:rPr>
                    <w:t>二氧化硅</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color w:val="auto"/>
                      <w:spacing w:val="-4"/>
                      <w:sz w:val="21"/>
                      <w:szCs w:val="21"/>
                      <w:highlight w:val="none"/>
                    </w:rPr>
                    <w:t>70~72%</w:t>
                  </w:r>
                  <w:r>
                    <w:rPr>
                      <w:rFonts w:hint="default" w:ascii="Times New Roman" w:hAnsi="Times New Roman" w:eastAsia="宋体" w:cs="Times New Roman"/>
                      <w:color w:val="auto"/>
                      <w:spacing w:val="-26"/>
                      <w:sz w:val="21"/>
                      <w:szCs w:val="21"/>
                      <w:highlight w:val="none"/>
                    </w:rPr>
                    <w:t xml:space="preserve"> </w:t>
                  </w:r>
                  <w:r>
                    <w:rPr>
                      <w:rFonts w:hint="default" w:ascii="Times New Roman" w:hAnsi="Times New Roman" w:eastAsia="宋体" w:cs="Times New Roman"/>
                      <w:color w:val="auto"/>
                      <w:spacing w:val="-4"/>
                      <w:sz w:val="21"/>
                      <w:szCs w:val="21"/>
                      <w:highlight w:val="none"/>
                    </w:rPr>
                    <w:t>，氧化铝</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color w:val="auto"/>
                      <w:spacing w:val="-4"/>
                      <w:sz w:val="21"/>
                      <w:szCs w:val="21"/>
                      <w:highlight w:val="none"/>
                    </w:rPr>
                    <w:t>0.94~</w:t>
                  </w:r>
                  <w:r>
                    <w:rPr>
                      <w:rFonts w:hint="default" w:ascii="Times New Roman" w:hAnsi="Times New Roman" w:eastAsia="宋体" w:cs="Times New Roman"/>
                      <w:color w:val="auto"/>
                      <w:spacing w:val="-25"/>
                      <w:sz w:val="21"/>
                      <w:szCs w:val="21"/>
                      <w:highlight w:val="none"/>
                    </w:rPr>
                    <w:t xml:space="preserve"> </w:t>
                  </w:r>
                  <w:r>
                    <w:rPr>
                      <w:rFonts w:hint="default" w:ascii="Times New Roman" w:hAnsi="Times New Roman" w:eastAsia="宋体" w:cs="Times New Roman"/>
                      <w:color w:val="auto"/>
                      <w:spacing w:val="-4"/>
                      <w:sz w:val="21"/>
                      <w:szCs w:val="21"/>
                      <w:highlight w:val="none"/>
                    </w:rPr>
                    <w:t>1.</w:t>
                  </w:r>
                  <w:r>
                    <w:rPr>
                      <w:rFonts w:hint="default" w:ascii="Times New Roman" w:hAnsi="Times New Roman" w:eastAsia="宋体" w:cs="Times New Roman"/>
                      <w:color w:val="auto"/>
                      <w:spacing w:val="-24"/>
                      <w:sz w:val="21"/>
                      <w:szCs w:val="21"/>
                      <w:highlight w:val="none"/>
                    </w:rPr>
                    <w:t xml:space="preserve"> </w:t>
                  </w:r>
                  <w:r>
                    <w:rPr>
                      <w:rFonts w:hint="default" w:ascii="Times New Roman" w:hAnsi="Times New Roman" w:eastAsia="宋体" w:cs="Times New Roman"/>
                      <w:color w:val="auto"/>
                      <w:spacing w:val="-4"/>
                      <w:sz w:val="21"/>
                      <w:szCs w:val="21"/>
                      <w:highlight w:val="none"/>
                    </w:rPr>
                    <w:t>1%</w:t>
                  </w:r>
                  <w:r>
                    <w:rPr>
                      <w:rFonts w:hint="default" w:ascii="Times New Roman" w:hAnsi="Times New Roman" w:eastAsia="宋体" w:cs="Times New Roman"/>
                      <w:color w:val="auto"/>
                      <w:spacing w:val="-26"/>
                      <w:sz w:val="21"/>
                      <w:szCs w:val="21"/>
                      <w:highlight w:val="none"/>
                    </w:rPr>
                    <w:t xml:space="preserve"> </w:t>
                  </w:r>
                  <w:r>
                    <w:rPr>
                      <w:rFonts w:hint="default" w:ascii="Times New Roman" w:hAnsi="Times New Roman" w:eastAsia="宋体" w:cs="Times New Roman"/>
                      <w:color w:val="auto"/>
                      <w:spacing w:val="-4"/>
                      <w:sz w:val="21"/>
                      <w:szCs w:val="21"/>
                      <w:highlight w:val="none"/>
                    </w:rPr>
                    <w:t>，氧化钙</w:t>
                  </w:r>
                  <w:r>
                    <w:rPr>
                      <w:rFonts w:hint="default" w:ascii="Times New Roman" w:hAnsi="Times New Roman" w:eastAsia="宋体" w:cs="Times New Roman"/>
                      <w:color w:val="auto"/>
                      <w:spacing w:val="-2"/>
                      <w:sz w:val="21"/>
                      <w:szCs w:val="21"/>
                      <w:highlight w:val="none"/>
                    </w:rPr>
                    <w:t>8.2~8.9%</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2"/>
                      <w:sz w:val="21"/>
                      <w:szCs w:val="21"/>
                      <w:highlight w:val="none"/>
                    </w:rPr>
                    <w:t>，Na</w:t>
                  </w:r>
                  <w:r>
                    <w:rPr>
                      <w:rFonts w:hint="default" w:ascii="Times New Roman" w:hAnsi="Times New Roman" w:eastAsia="宋体" w:cs="Times New Roman"/>
                      <w:color w:val="auto"/>
                      <w:spacing w:val="-2"/>
                      <w:position w:val="-1"/>
                      <w:sz w:val="21"/>
                      <w:szCs w:val="21"/>
                      <w:highlight w:val="none"/>
                    </w:rPr>
                    <w:t>2</w:t>
                  </w:r>
                  <w:r>
                    <w:rPr>
                      <w:rFonts w:hint="default" w:ascii="Times New Roman" w:hAnsi="Times New Roman" w:eastAsia="宋体" w:cs="Times New Roman"/>
                      <w:color w:val="auto"/>
                      <w:spacing w:val="-2"/>
                      <w:sz w:val="21"/>
                      <w:szCs w:val="21"/>
                      <w:highlight w:val="none"/>
                    </w:rPr>
                    <w:t>O+K</w:t>
                  </w:r>
                  <w:r>
                    <w:rPr>
                      <w:rFonts w:hint="default" w:ascii="Times New Roman" w:hAnsi="Times New Roman" w:eastAsia="宋体" w:cs="Times New Roman"/>
                      <w:color w:val="auto"/>
                      <w:spacing w:val="-2"/>
                      <w:position w:val="-1"/>
                      <w:sz w:val="21"/>
                      <w:szCs w:val="21"/>
                      <w:highlight w:val="none"/>
                    </w:rPr>
                    <w:t>2</w:t>
                  </w:r>
                  <w:r>
                    <w:rPr>
                      <w:rFonts w:hint="default" w:ascii="Times New Roman" w:hAnsi="Times New Roman" w:eastAsia="宋体" w:cs="Times New Roman"/>
                      <w:color w:val="auto"/>
                      <w:spacing w:val="-2"/>
                      <w:sz w:val="21"/>
                      <w:szCs w:val="21"/>
                      <w:highlight w:val="none"/>
                    </w:rPr>
                    <w:t>O</w:t>
                  </w:r>
                  <w:r>
                    <w:rPr>
                      <w:rFonts w:hint="default" w:ascii="Times New Roman" w:hAnsi="Times New Roman" w:eastAsia="宋体" w:cs="Times New Roman"/>
                      <w:color w:val="auto"/>
                      <w:spacing w:val="-24"/>
                      <w:sz w:val="21"/>
                      <w:szCs w:val="21"/>
                      <w:highlight w:val="none"/>
                    </w:rPr>
                    <w:t xml:space="preserve"> </w:t>
                  </w:r>
                  <w:r>
                    <w:rPr>
                      <w:rFonts w:hint="default" w:ascii="Times New Roman" w:hAnsi="Times New Roman" w:eastAsia="宋体" w:cs="Times New Roman"/>
                      <w:color w:val="auto"/>
                      <w:spacing w:val="-2"/>
                      <w:sz w:val="21"/>
                      <w:szCs w:val="21"/>
                      <w:highlight w:val="none"/>
                    </w:rPr>
                    <w:t>14.3%</w:t>
                  </w:r>
                </w:p>
              </w:tc>
              <w:tc>
                <w:tcPr>
                  <w:tcW w:w="777" w:type="dxa"/>
                  <w:noWrap w:val="0"/>
                  <w:vAlign w:val="center"/>
                </w:tcPr>
                <w:p w14:paraId="5F130646">
                  <w:pPr>
                    <w:widowControl/>
                    <w:adjustRightInd w:val="0"/>
                    <w:snapToGrid w:val="0"/>
                    <w:spacing w:line="276" w:lineRule="auto"/>
                    <w:jc w:val="center"/>
                    <w:textAlignment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固态</w:t>
                  </w:r>
                </w:p>
              </w:tc>
              <w:tc>
                <w:tcPr>
                  <w:tcW w:w="682" w:type="dxa"/>
                  <w:noWrap w:val="0"/>
                  <w:vAlign w:val="center"/>
                </w:tcPr>
                <w:p w14:paraId="48BCA41F">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7EE2372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18</w:t>
                  </w:r>
                  <w:r>
                    <w:rPr>
                      <w:rFonts w:hint="eastAsia" w:ascii="Times New Roman" w:hAnsi="Times New Roman" w:cs="Times New Roman"/>
                      <w:color w:val="auto"/>
                      <w:kern w:val="0"/>
                      <w:sz w:val="21"/>
                      <w:szCs w:val="21"/>
                      <w:highlight w:val="none"/>
                      <w:lang w:val="en-US" w:eastAsia="zh-CN" w:bidi="ar"/>
                    </w:rPr>
                    <w:t>0045</w:t>
                  </w:r>
                </w:p>
              </w:tc>
              <w:tc>
                <w:tcPr>
                  <w:tcW w:w="739" w:type="dxa"/>
                  <w:noWrap w:val="0"/>
                  <w:vAlign w:val="center"/>
                </w:tcPr>
                <w:p w14:paraId="14469FF6">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8200</w:t>
                  </w:r>
                </w:p>
              </w:tc>
              <w:tc>
                <w:tcPr>
                  <w:tcW w:w="801" w:type="dxa"/>
                  <w:noWrap w:val="0"/>
                  <w:vAlign w:val="center"/>
                </w:tcPr>
                <w:p w14:paraId="338F93C8">
                  <w:pPr>
                    <w:widowControl/>
                    <w:adjustRightInd w:val="0"/>
                    <w:snapToGrid w:val="0"/>
                    <w:spacing w:line="276"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金属框架</w:t>
                  </w:r>
                </w:p>
              </w:tc>
              <w:tc>
                <w:tcPr>
                  <w:tcW w:w="752" w:type="dxa"/>
                  <w:noWrap w:val="0"/>
                  <w:vAlign w:val="center"/>
                </w:tcPr>
                <w:p w14:paraId="58517B0E">
                  <w:pPr>
                    <w:widowControl/>
                    <w:adjustRightInd w:val="0"/>
                    <w:snapToGrid w:val="0"/>
                    <w:spacing w:line="276"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bCs/>
                      <w:color w:val="auto"/>
                      <w:szCs w:val="21"/>
                      <w:highlight w:val="none"/>
                    </w:rPr>
                    <w:t>原料</w:t>
                  </w:r>
                  <w:r>
                    <w:rPr>
                      <w:rFonts w:hint="eastAsia" w:ascii="Times New Roman" w:hAnsi="Times New Roman"/>
                      <w:bCs/>
                      <w:color w:val="auto"/>
                      <w:szCs w:val="21"/>
                      <w:highlight w:val="none"/>
                      <w:lang w:val="en-US" w:eastAsia="zh-CN"/>
                    </w:rPr>
                    <w:t>堆放</w:t>
                  </w:r>
                  <w:r>
                    <w:rPr>
                      <w:rFonts w:hint="eastAsia" w:ascii="Times New Roman" w:hAnsi="Times New Roman"/>
                      <w:bCs/>
                      <w:color w:val="auto"/>
                      <w:szCs w:val="21"/>
                      <w:highlight w:val="none"/>
                    </w:rPr>
                    <w:t>区</w:t>
                  </w:r>
                </w:p>
              </w:tc>
              <w:tc>
                <w:tcPr>
                  <w:tcW w:w="752" w:type="dxa"/>
                  <w:noWrap w:val="0"/>
                  <w:vAlign w:val="center"/>
                </w:tcPr>
                <w:p w14:paraId="29C88342">
                  <w:pPr>
                    <w:widowControl/>
                    <w:adjustRightInd w:val="0"/>
                    <w:snapToGrid w:val="0"/>
                    <w:spacing w:line="276" w:lineRule="auto"/>
                    <w:jc w:val="center"/>
                    <w:textAlignment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2周</w:t>
                  </w:r>
                </w:p>
              </w:tc>
            </w:tr>
            <w:tr w14:paraId="7912D01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427E0718">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2</w:t>
                  </w:r>
                </w:p>
              </w:tc>
              <w:tc>
                <w:tcPr>
                  <w:tcW w:w="760" w:type="dxa"/>
                  <w:noWrap w:val="0"/>
                  <w:vAlign w:val="center"/>
                </w:tcPr>
                <w:p w14:paraId="0657D69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高反射膜材料</w:t>
                  </w:r>
                </w:p>
              </w:tc>
              <w:tc>
                <w:tcPr>
                  <w:tcW w:w="1716" w:type="dxa"/>
                  <w:noWrap w:val="0"/>
                  <w:vAlign w:val="center"/>
                </w:tcPr>
                <w:p w14:paraId="20FE27F4">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4"/>
                      <w:sz w:val="21"/>
                      <w:szCs w:val="21"/>
                      <w:highlight w:val="none"/>
                    </w:rPr>
                    <w:t>丙烯酸树脂</w:t>
                  </w:r>
                  <w:r>
                    <w:rPr>
                      <w:rFonts w:hint="default" w:ascii="Times New Roman" w:hAnsi="Times New Roman" w:eastAsia="宋体" w:cs="Times New Roman"/>
                      <w:color w:val="auto"/>
                      <w:spacing w:val="-26"/>
                      <w:sz w:val="21"/>
                      <w:szCs w:val="21"/>
                      <w:highlight w:val="none"/>
                    </w:rPr>
                    <w:t xml:space="preserve"> </w:t>
                  </w:r>
                  <w:r>
                    <w:rPr>
                      <w:rFonts w:hint="default" w:ascii="Times New Roman" w:hAnsi="Times New Roman" w:eastAsia="宋体" w:cs="Times New Roman"/>
                      <w:color w:val="auto"/>
                      <w:spacing w:val="-4"/>
                      <w:sz w:val="21"/>
                      <w:szCs w:val="21"/>
                      <w:highlight w:val="none"/>
                    </w:rPr>
                    <w:t>10~</w:t>
                  </w:r>
                  <w:r>
                    <w:rPr>
                      <w:rFonts w:hint="default" w:ascii="Times New Roman" w:hAnsi="Times New Roman" w:eastAsia="宋体" w:cs="Times New Roman"/>
                      <w:color w:val="auto"/>
                      <w:spacing w:val="-23"/>
                      <w:sz w:val="21"/>
                      <w:szCs w:val="21"/>
                      <w:highlight w:val="none"/>
                    </w:rPr>
                    <w:t xml:space="preserve"> </w:t>
                  </w:r>
                  <w:r>
                    <w:rPr>
                      <w:rFonts w:hint="default" w:ascii="Times New Roman" w:hAnsi="Times New Roman" w:eastAsia="宋体" w:cs="Times New Roman"/>
                      <w:color w:val="auto"/>
                      <w:spacing w:val="-4"/>
                      <w:sz w:val="21"/>
                      <w:szCs w:val="21"/>
                      <w:highlight w:val="none"/>
                    </w:rPr>
                    <w:t>15%</w:t>
                  </w:r>
                  <w:r>
                    <w:rPr>
                      <w:rFonts w:hint="default" w:ascii="Times New Roman" w:hAnsi="Times New Roman" w:eastAsia="宋体" w:cs="Times New Roman"/>
                      <w:color w:val="auto"/>
                      <w:spacing w:val="-26"/>
                      <w:sz w:val="21"/>
                      <w:szCs w:val="21"/>
                      <w:highlight w:val="none"/>
                    </w:rPr>
                    <w:t xml:space="preserve"> </w:t>
                  </w:r>
                  <w:r>
                    <w:rPr>
                      <w:rFonts w:hint="default" w:ascii="Times New Roman" w:hAnsi="Times New Roman" w:eastAsia="宋体" w:cs="Times New Roman"/>
                      <w:color w:val="auto"/>
                      <w:spacing w:val="-4"/>
                      <w:sz w:val="21"/>
                      <w:szCs w:val="21"/>
                      <w:highlight w:val="none"/>
                    </w:rPr>
                    <w:t>，玻璃粉</w:t>
                  </w:r>
                  <w:r>
                    <w:rPr>
                      <w:rFonts w:hint="default" w:ascii="Times New Roman" w:hAnsi="Times New Roman" w:eastAsia="宋体" w:cs="Times New Roman"/>
                      <w:color w:val="auto"/>
                      <w:spacing w:val="-37"/>
                      <w:sz w:val="21"/>
                      <w:szCs w:val="21"/>
                      <w:highlight w:val="none"/>
                    </w:rPr>
                    <w:t xml:space="preserve"> </w:t>
                  </w:r>
                  <w:r>
                    <w:rPr>
                      <w:rFonts w:hint="default" w:ascii="Times New Roman" w:hAnsi="Times New Roman" w:eastAsia="宋体" w:cs="Times New Roman"/>
                      <w:color w:val="auto"/>
                      <w:spacing w:val="-4"/>
                      <w:sz w:val="21"/>
                      <w:szCs w:val="21"/>
                      <w:highlight w:val="none"/>
                    </w:rPr>
                    <w:t>38~48%</w:t>
                  </w:r>
                  <w:r>
                    <w:rPr>
                      <w:rFonts w:hint="default" w:ascii="Times New Roman" w:hAnsi="Times New Roman" w:eastAsia="宋体" w:cs="Times New Roman"/>
                      <w:color w:val="auto"/>
                      <w:spacing w:val="-27"/>
                      <w:sz w:val="21"/>
                      <w:szCs w:val="21"/>
                      <w:highlight w:val="none"/>
                    </w:rPr>
                    <w:t xml:space="preserve"> </w:t>
                  </w:r>
                  <w:r>
                    <w:rPr>
                      <w:rFonts w:hint="default" w:ascii="Times New Roman" w:hAnsi="Times New Roman" w:eastAsia="宋体" w:cs="Times New Roman"/>
                      <w:color w:val="auto"/>
                      <w:spacing w:val="-4"/>
                      <w:sz w:val="21"/>
                      <w:szCs w:val="21"/>
                      <w:highlight w:val="none"/>
                    </w:rPr>
                    <w:t>，钛</w:t>
                  </w:r>
                  <w:r>
                    <w:rPr>
                      <w:rFonts w:hint="default" w:ascii="Times New Roman" w:hAnsi="Times New Roman" w:eastAsia="宋体" w:cs="Times New Roman"/>
                      <w:color w:val="auto"/>
                      <w:spacing w:val="-5"/>
                      <w:sz w:val="21"/>
                      <w:szCs w:val="21"/>
                      <w:highlight w:val="none"/>
                    </w:rPr>
                    <w:t>白粉</w:t>
                  </w:r>
                  <w:r>
                    <w:rPr>
                      <w:rFonts w:hint="default" w:ascii="Times New Roman" w:hAnsi="Times New Roman" w:eastAsia="宋体" w:cs="Times New Roman"/>
                      <w:color w:val="auto"/>
                      <w:spacing w:val="-3"/>
                      <w:sz w:val="21"/>
                      <w:szCs w:val="21"/>
                      <w:highlight w:val="none"/>
                    </w:rPr>
                    <w:t>30~40%</w:t>
                  </w:r>
                  <w:r>
                    <w:rPr>
                      <w:rFonts w:hint="default" w:ascii="Times New Roman" w:hAnsi="Times New Roman" w:eastAsia="宋体" w:cs="Times New Roman"/>
                      <w:color w:val="auto"/>
                      <w:spacing w:val="-13"/>
                      <w:sz w:val="21"/>
                      <w:szCs w:val="21"/>
                      <w:highlight w:val="none"/>
                    </w:rPr>
                    <w:t xml:space="preserve"> </w:t>
                  </w:r>
                  <w:r>
                    <w:rPr>
                      <w:rFonts w:hint="default" w:ascii="Times New Roman" w:hAnsi="Times New Roman" w:eastAsia="宋体" w:cs="Times New Roman"/>
                      <w:color w:val="auto"/>
                      <w:spacing w:val="-3"/>
                      <w:sz w:val="21"/>
                      <w:szCs w:val="21"/>
                      <w:highlight w:val="none"/>
                    </w:rPr>
                    <w:t>，</w:t>
                  </w:r>
                  <w:r>
                    <w:rPr>
                      <w:rFonts w:hint="eastAsia" w:ascii="Times New Roman" w:hAnsi="Times New Roman" w:eastAsia="宋体" w:cs="Times New Roman"/>
                      <w:color w:val="auto"/>
                      <w:spacing w:val="-3"/>
                      <w:sz w:val="21"/>
                      <w:szCs w:val="21"/>
                      <w:highlight w:val="none"/>
                      <w:lang w:val="en-US" w:eastAsia="zh-CN"/>
                    </w:rPr>
                    <w:t>绿色</w:t>
                  </w:r>
                  <w:r>
                    <w:rPr>
                      <w:rFonts w:hint="default" w:ascii="Times New Roman" w:hAnsi="Times New Roman" w:eastAsia="宋体" w:cs="Times New Roman"/>
                      <w:color w:val="auto"/>
                      <w:spacing w:val="-3"/>
                      <w:sz w:val="21"/>
                      <w:szCs w:val="21"/>
                      <w:highlight w:val="none"/>
                    </w:rPr>
                    <w:t>慢干溶剂</w:t>
                  </w:r>
                  <w:r>
                    <w:rPr>
                      <w:rFonts w:hint="default" w:ascii="Times New Roman" w:hAnsi="Times New Roman" w:eastAsia="宋体" w:cs="Times New Roman"/>
                      <w:color w:val="auto"/>
                      <w:spacing w:val="-37"/>
                      <w:sz w:val="21"/>
                      <w:szCs w:val="21"/>
                      <w:highlight w:val="none"/>
                    </w:rPr>
                    <w:t xml:space="preserve"> </w:t>
                  </w:r>
                  <w:r>
                    <w:rPr>
                      <w:rFonts w:hint="default" w:ascii="Times New Roman" w:hAnsi="Times New Roman" w:eastAsia="宋体" w:cs="Times New Roman"/>
                      <w:color w:val="auto"/>
                      <w:spacing w:val="-3"/>
                      <w:sz w:val="21"/>
                      <w:szCs w:val="21"/>
                      <w:highlight w:val="none"/>
                    </w:rPr>
                    <w:t>6~</w:t>
                  </w:r>
                  <w:r>
                    <w:rPr>
                      <w:rFonts w:hint="default" w:ascii="Times New Roman" w:hAnsi="Times New Roman" w:eastAsia="宋体" w:cs="Times New Roman"/>
                      <w:color w:val="auto"/>
                      <w:spacing w:val="-25"/>
                      <w:sz w:val="21"/>
                      <w:szCs w:val="21"/>
                      <w:highlight w:val="none"/>
                    </w:rPr>
                    <w:t xml:space="preserve"> </w:t>
                  </w:r>
                  <w:r>
                    <w:rPr>
                      <w:rFonts w:hint="default" w:ascii="Times New Roman" w:hAnsi="Times New Roman" w:eastAsia="宋体" w:cs="Times New Roman"/>
                      <w:color w:val="auto"/>
                      <w:spacing w:val="-3"/>
                      <w:sz w:val="21"/>
                      <w:szCs w:val="21"/>
                      <w:highlight w:val="none"/>
                    </w:rPr>
                    <w:t>10%</w:t>
                  </w:r>
                </w:p>
              </w:tc>
              <w:tc>
                <w:tcPr>
                  <w:tcW w:w="777" w:type="dxa"/>
                  <w:noWrap w:val="0"/>
                  <w:vAlign w:val="center"/>
                </w:tcPr>
                <w:p w14:paraId="63777D26">
                  <w:pPr>
                    <w:widowControl/>
                    <w:adjustRightInd w:val="0"/>
                    <w:snapToGrid w:val="0"/>
                    <w:spacing w:line="276" w:lineRule="auto"/>
                    <w:jc w:val="center"/>
                    <w:textAlignment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液态</w:t>
                  </w:r>
                </w:p>
              </w:tc>
              <w:tc>
                <w:tcPr>
                  <w:tcW w:w="682" w:type="dxa"/>
                  <w:noWrap w:val="0"/>
                  <w:vAlign w:val="center"/>
                </w:tcPr>
                <w:p w14:paraId="13354957">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32D42E4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124.14</w:t>
                  </w:r>
                </w:p>
              </w:tc>
              <w:tc>
                <w:tcPr>
                  <w:tcW w:w="739" w:type="dxa"/>
                  <w:noWrap w:val="0"/>
                  <w:vAlign w:val="center"/>
                </w:tcPr>
                <w:p w14:paraId="3A126530">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01" w:type="dxa"/>
                  <w:noWrap w:val="0"/>
                  <w:vAlign w:val="center"/>
                </w:tcPr>
                <w:p w14:paraId="481801EA">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kg/桶</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rPr>
                    <w:t>桶</w:t>
                  </w:r>
                  <w:r>
                    <w:rPr>
                      <w:rFonts w:hint="default" w:ascii="Times New Roman" w:hAnsi="Times New Roman" w:eastAsia="宋体" w:cs="Times New Roman"/>
                      <w:color w:val="auto"/>
                      <w:kern w:val="0"/>
                      <w:sz w:val="21"/>
                      <w:szCs w:val="21"/>
                      <w:highlight w:val="none"/>
                    </w:rPr>
                    <w:t>装</w:t>
                  </w:r>
                </w:p>
              </w:tc>
              <w:tc>
                <w:tcPr>
                  <w:tcW w:w="752" w:type="dxa"/>
                  <w:noWrap w:val="0"/>
                  <w:vAlign w:val="center"/>
                </w:tcPr>
                <w:p w14:paraId="52AB14A0">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化学品库</w:t>
                  </w:r>
                </w:p>
              </w:tc>
              <w:tc>
                <w:tcPr>
                  <w:tcW w:w="752" w:type="dxa"/>
                  <w:noWrap w:val="0"/>
                  <w:vAlign w:val="center"/>
                </w:tcPr>
                <w:p w14:paraId="743B5AD3">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1周</w:t>
                  </w:r>
                </w:p>
              </w:tc>
            </w:tr>
            <w:tr w14:paraId="180914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25797EBD">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w:t>
                  </w:r>
                </w:p>
              </w:tc>
              <w:tc>
                <w:tcPr>
                  <w:tcW w:w="760" w:type="dxa"/>
                  <w:noWrap w:val="0"/>
                  <w:vAlign w:val="center"/>
                </w:tcPr>
                <w:p w14:paraId="4567D96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PAC</w:t>
                  </w:r>
                </w:p>
              </w:tc>
              <w:tc>
                <w:tcPr>
                  <w:tcW w:w="1716" w:type="dxa"/>
                  <w:noWrap w:val="0"/>
                  <w:vAlign w:val="center"/>
                </w:tcPr>
                <w:p w14:paraId="6CBDF32E">
                  <w:pPr>
                    <w:widowControl/>
                    <w:adjustRightInd w:val="0"/>
                    <w:snapToGrid w:val="0"/>
                    <w:spacing w:line="276" w:lineRule="auto"/>
                    <w:jc w:val="center"/>
                    <w:textAlignment w:val="center"/>
                    <w:rPr>
                      <w:rFonts w:hint="eastAsia"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rPr>
                    <w:t>羟基氯化铝聚合物</w:t>
                  </w:r>
                  <w:r>
                    <w:rPr>
                      <w:rFonts w:hint="eastAsia" w:ascii="Times New Roman" w:hAnsi="Times New Roman" w:eastAsia="宋体" w:cs="Times New Roman"/>
                      <w:color w:val="auto"/>
                      <w:spacing w:val="-4"/>
                      <w:sz w:val="21"/>
                      <w:szCs w:val="21"/>
                      <w:highlight w:val="none"/>
                      <w:lang w:val="en-US" w:eastAsia="zh-CN"/>
                    </w:rPr>
                    <w:t>、三氧化二铝</w:t>
                  </w:r>
                </w:p>
              </w:tc>
              <w:tc>
                <w:tcPr>
                  <w:tcW w:w="777" w:type="dxa"/>
                  <w:noWrap w:val="0"/>
                  <w:vAlign w:val="center"/>
                </w:tcPr>
                <w:p w14:paraId="77DFDF6C">
                  <w:pPr>
                    <w:widowControl/>
                    <w:adjustRightInd w:val="0"/>
                    <w:snapToGrid w:val="0"/>
                    <w:spacing w:line="276" w:lineRule="auto"/>
                    <w:jc w:val="center"/>
                    <w:textAlignment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固态</w:t>
                  </w:r>
                </w:p>
              </w:tc>
              <w:tc>
                <w:tcPr>
                  <w:tcW w:w="682" w:type="dxa"/>
                  <w:noWrap w:val="0"/>
                  <w:vAlign w:val="center"/>
                </w:tcPr>
                <w:p w14:paraId="6F41AA18">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3F2C158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0.42</w:t>
                  </w:r>
                </w:p>
              </w:tc>
              <w:tc>
                <w:tcPr>
                  <w:tcW w:w="739" w:type="dxa"/>
                  <w:noWrap w:val="0"/>
                  <w:vAlign w:val="center"/>
                </w:tcPr>
                <w:p w14:paraId="5E424ED3">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801" w:type="dxa"/>
                  <w:noWrap w:val="0"/>
                  <w:vAlign w:val="center"/>
                </w:tcPr>
                <w:p w14:paraId="7DEBB8EB">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25kg/</w:t>
                  </w:r>
                  <w:r>
                    <w:rPr>
                      <w:rFonts w:hint="eastAsia" w:ascii="Times New Roman" w:hAnsi="Times New Roman" w:eastAsia="宋体" w:cs="Times New Roman"/>
                      <w:color w:val="auto"/>
                      <w:kern w:val="0"/>
                      <w:sz w:val="21"/>
                      <w:szCs w:val="21"/>
                      <w:highlight w:val="none"/>
                      <w:lang w:val="en-US" w:eastAsia="zh-CN" w:bidi="ar"/>
                    </w:rPr>
                    <w:t>袋，袋装</w:t>
                  </w:r>
                </w:p>
              </w:tc>
              <w:tc>
                <w:tcPr>
                  <w:tcW w:w="752" w:type="dxa"/>
                  <w:noWrap w:val="0"/>
                  <w:vAlign w:val="center"/>
                </w:tcPr>
                <w:p w14:paraId="2D402681">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化学品库</w:t>
                  </w:r>
                </w:p>
              </w:tc>
              <w:tc>
                <w:tcPr>
                  <w:tcW w:w="752" w:type="dxa"/>
                  <w:noWrap w:val="0"/>
                  <w:vAlign w:val="center"/>
                </w:tcPr>
                <w:p w14:paraId="5F406A72">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3个月</w:t>
                  </w:r>
                </w:p>
              </w:tc>
            </w:tr>
            <w:tr w14:paraId="6F0FD4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37640324">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760" w:type="dxa"/>
                  <w:noWrap w:val="0"/>
                  <w:vAlign w:val="center"/>
                </w:tcPr>
                <w:p w14:paraId="4FEF07A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PAM</w:t>
                  </w:r>
                </w:p>
              </w:tc>
              <w:tc>
                <w:tcPr>
                  <w:tcW w:w="1716" w:type="dxa"/>
                  <w:noWrap w:val="0"/>
                  <w:vAlign w:val="center"/>
                </w:tcPr>
                <w:p w14:paraId="67E0D088">
                  <w:pPr>
                    <w:widowControl/>
                    <w:adjustRightInd w:val="0"/>
                    <w:snapToGrid w:val="0"/>
                    <w:spacing w:line="276" w:lineRule="auto"/>
                    <w:jc w:val="center"/>
                    <w:textAlignment w:val="center"/>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聚丙烯酰胺</w:t>
                  </w:r>
                </w:p>
              </w:tc>
              <w:tc>
                <w:tcPr>
                  <w:tcW w:w="777" w:type="dxa"/>
                  <w:noWrap w:val="0"/>
                  <w:vAlign w:val="center"/>
                </w:tcPr>
                <w:p w14:paraId="508F30E7">
                  <w:pPr>
                    <w:widowControl/>
                    <w:adjustRightInd w:val="0"/>
                    <w:snapToGrid w:val="0"/>
                    <w:spacing w:line="276" w:lineRule="auto"/>
                    <w:jc w:val="center"/>
                    <w:textAlignment w:val="center"/>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固态</w:t>
                  </w:r>
                </w:p>
              </w:tc>
              <w:tc>
                <w:tcPr>
                  <w:tcW w:w="682" w:type="dxa"/>
                  <w:noWrap w:val="0"/>
                  <w:vAlign w:val="center"/>
                </w:tcPr>
                <w:p w14:paraId="6DAECC1C">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15A292F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0.05</w:t>
                  </w:r>
                </w:p>
              </w:tc>
              <w:tc>
                <w:tcPr>
                  <w:tcW w:w="739" w:type="dxa"/>
                  <w:noWrap w:val="0"/>
                  <w:vAlign w:val="center"/>
                </w:tcPr>
                <w:p w14:paraId="65B7D6E7">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801" w:type="dxa"/>
                  <w:noWrap w:val="0"/>
                  <w:vAlign w:val="center"/>
                </w:tcPr>
                <w:p w14:paraId="2AE15B35">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25kg/</w:t>
                  </w:r>
                  <w:r>
                    <w:rPr>
                      <w:rFonts w:hint="eastAsia" w:ascii="Times New Roman" w:hAnsi="Times New Roman" w:eastAsia="宋体" w:cs="Times New Roman"/>
                      <w:color w:val="auto"/>
                      <w:kern w:val="0"/>
                      <w:sz w:val="21"/>
                      <w:szCs w:val="21"/>
                      <w:highlight w:val="none"/>
                      <w:lang w:val="en-US" w:eastAsia="zh-CN" w:bidi="ar"/>
                    </w:rPr>
                    <w:t>袋，袋装</w:t>
                  </w:r>
                </w:p>
              </w:tc>
              <w:tc>
                <w:tcPr>
                  <w:tcW w:w="752" w:type="dxa"/>
                  <w:noWrap w:val="0"/>
                  <w:vAlign w:val="center"/>
                </w:tcPr>
                <w:p w14:paraId="6AF40972">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化学品库</w:t>
                  </w:r>
                </w:p>
              </w:tc>
              <w:tc>
                <w:tcPr>
                  <w:tcW w:w="752" w:type="dxa"/>
                  <w:noWrap w:val="0"/>
                  <w:vAlign w:val="center"/>
                </w:tcPr>
                <w:p w14:paraId="7F8B0896">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1年</w:t>
                  </w:r>
                </w:p>
              </w:tc>
            </w:tr>
            <w:tr w14:paraId="51CC1E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7EA777B2">
                  <w:pPr>
                    <w:widowControl/>
                    <w:adjustRightInd w:val="0"/>
                    <w:snapToGrid w:val="0"/>
                    <w:spacing w:line="276"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760" w:type="dxa"/>
                  <w:noWrap w:val="0"/>
                  <w:vAlign w:val="center"/>
                </w:tcPr>
                <w:p w14:paraId="681B5413">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润滑油</w:t>
                  </w:r>
                </w:p>
              </w:tc>
              <w:tc>
                <w:tcPr>
                  <w:tcW w:w="1716" w:type="dxa"/>
                  <w:noWrap w:val="0"/>
                  <w:vAlign w:val="center"/>
                </w:tcPr>
                <w:p w14:paraId="4AD61ABA">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777" w:type="dxa"/>
                  <w:noWrap w:val="0"/>
                  <w:vAlign w:val="center"/>
                </w:tcPr>
                <w:p w14:paraId="6AC2319C">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液态</w:t>
                  </w:r>
                </w:p>
              </w:tc>
              <w:tc>
                <w:tcPr>
                  <w:tcW w:w="682" w:type="dxa"/>
                  <w:noWrap w:val="0"/>
                  <w:vAlign w:val="center"/>
                </w:tcPr>
                <w:p w14:paraId="520C04BA">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72CACB4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39" w:type="dxa"/>
                  <w:noWrap w:val="0"/>
                  <w:vAlign w:val="center"/>
                </w:tcPr>
                <w:p w14:paraId="5CFCE953">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801" w:type="dxa"/>
                  <w:noWrap w:val="0"/>
                  <w:vAlign w:val="center"/>
                </w:tcPr>
                <w:p w14:paraId="1757839E">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25kg/桶</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rPr>
                    <w:t>桶</w:t>
                  </w:r>
                  <w:r>
                    <w:rPr>
                      <w:rFonts w:hint="default" w:ascii="Times New Roman" w:hAnsi="Times New Roman" w:eastAsia="宋体" w:cs="Times New Roman"/>
                      <w:color w:val="auto"/>
                      <w:kern w:val="0"/>
                      <w:sz w:val="21"/>
                      <w:szCs w:val="21"/>
                      <w:highlight w:val="none"/>
                    </w:rPr>
                    <w:t>装</w:t>
                  </w:r>
                </w:p>
              </w:tc>
              <w:tc>
                <w:tcPr>
                  <w:tcW w:w="752" w:type="dxa"/>
                  <w:noWrap w:val="0"/>
                  <w:vAlign w:val="center"/>
                </w:tcPr>
                <w:p w14:paraId="41EC073D">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化学品库</w:t>
                  </w:r>
                </w:p>
              </w:tc>
              <w:tc>
                <w:tcPr>
                  <w:tcW w:w="752" w:type="dxa"/>
                  <w:noWrap w:val="0"/>
                  <w:vAlign w:val="center"/>
                </w:tcPr>
                <w:p w14:paraId="2D08890B">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3个月</w:t>
                  </w:r>
                </w:p>
              </w:tc>
            </w:tr>
            <w:tr w14:paraId="2151203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12ACCB1C">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w:t>
                  </w:r>
                </w:p>
              </w:tc>
              <w:tc>
                <w:tcPr>
                  <w:tcW w:w="760" w:type="dxa"/>
                  <w:noWrap w:val="0"/>
                  <w:vAlign w:val="center"/>
                </w:tcPr>
                <w:p w14:paraId="7147A87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膜组</w:t>
                  </w:r>
                </w:p>
              </w:tc>
              <w:tc>
                <w:tcPr>
                  <w:tcW w:w="1716" w:type="dxa"/>
                  <w:noWrap w:val="0"/>
                  <w:vAlign w:val="center"/>
                </w:tcPr>
                <w:p w14:paraId="351E6EEA">
                  <w:pPr>
                    <w:widowControl/>
                    <w:adjustRightInd w:val="0"/>
                    <w:snapToGrid w:val="0"/>
                    <w:spacing w:line="276"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777" w:type="dxa"/>
                  <w:noWrap w:val="0"/>
                  <w:vAlign w:val="center"/>
                </w:tcPr>
                <w:p w14:paraId="6E65A8E7">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682" w:type="dxa"/>
                  <w:noWrap w:val="0"/>
                  <w:vAlign w:val="center"/>
                </w:tcPr>
                <w:p w14:paraId="04327FAF">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23594FF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p>
              </w:tc>
              <w:tc>
                <w:tcPr>
                  <w:tcW w:w="739" w:type="dxa"/>
                  <w:noWrap w:val="0"/>
                  <w:vAlign w:val="center"/>
                </w:tcPr>
                <w:p w14:paraId="08528B95">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801" w:type="dxa"/>
                  <w:noWrap w:val="0"/>
                  <w:vAlign w:val="center"/>
                </w:tcPr>
                <w:p w14:paraId="32CA9CAC">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w:t>
                  </w:r>
                </w:p>
              </w:tc>
              <w:tc>
                <w:tcPr>
                  <w:tcW w:w="752" w:type="dxa"/>
                  <w:noWrap w:val="0"/>
                  <w:vAlign w:val="center"/>
                </w:tcPr>
                <w:p w14:paraId="17A418CC">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厂内不储存，设备维护时更换</w:t>
                  </w:r>
                </w:p>
              </w:tc>
              <w:tc>
                <w:tcPr>
                  <w:tcW w:w="752" w:type="dxa"/>
                  <w:noWrap w:val="0"/>
                  <w:vAlign w:val="center"/>
                </w:tcPr>
                <w:p w14:paraId="42DF2170">
                  <w:pPr>
                    <w:widowControl/>
                    <w:adjustRightInd w:val="0"/>
                    <w:snapToGrid w:val="0"/>
                    <w:spacing w:line="276" w:lineRule="auto"/>
                    <w:jc w:val="center"/>
                    <w:textAlignment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w:t>
                  </w:r>
                </w:p>
              </w:tc>
            </w:tr>
            <w:tr w14:paraId="65140BE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1DCB053F">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w:t>
                  </w:r>
                </w:p>
              </w:tc>
              <w:tc>
                <w:tcPr>
                  <w:tcW w:w="760" w:type="dxa"/>
                  <w:noWrap w:val="0"/>
                  <w:vAlign w:val="center"/>
                </w:tcPr>
                <w:p w14:paraId="1A6E5F0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包装材料</w:t>
                  </w:r>
                </w:p>
              </w:tc>
              <w:tc>
                <w:tcPr>
                  <w:tcW w:w="1716" w:type="dxa"/>
                  <w:noWrap w:val="0"/>
                  <w:vAlign w:val="center"/>
                </w:tcPr>
                <w:p w14:paraId="714CA67F">
                  <w:pPr>
                    <w:widowControl/>
                    <w:adjustRightInd w:val="0"/>
                    <w:snapToGrid w:val="0"/>
                    <w:spacing w:line="276"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777" w:type="dxa"/>
                  <w:noWrap w:val="0"/>
                  <w:vAlign w:val="center"/>
                </w:tcPr>
                <w:p w14:paraId="5EEB1215">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固态</w:t>
                  </w:r>
                </w:p>
              </w:tc>
              <w:tc>
                <w:tcPr>
                  <w:tcW w:w="682" w:type="dxa"/>
                  <w:noWrap w:val="0"/>
                  <w:vAlign w:val="center"/>
                </w:tcPr>
                <w:p w14:paraId="3DB75241">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t/a</w:t>
                  </w:r>
                </w:p>
              </w:tc>
              <w:tc>
                <w:tcPr>
                  <w:tcW w:w="873" w:type="dxa"/>
                  <w:noWrap w:val="0"/>
                  <w:vAlign w:val="center"/>
                </w:tcPr>
                <w:p w14:paraId="408776F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2</w:t>
                  </w:r>
                </w:p>
              </w:tc>
              <w:tc>
                <w:tcPr>
                  <w:tcW w:w="739" w:type="dxa"/>
                  <w:noWrap w:val="0"/>
                  <w:vAlign w:val="center"/>
                </w:tcPr>
                <w:p w14:paraId="2CE8B682">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0.1</w:t>
                  </w:r>
                </w:p>
              </w:tc>
              <w:tc>
                <w:tcPr>
                  <w:tcW w:w="801" w:type="dxa"/>
                  <w:noWrap w:val="0"/>
                  <w:vAlign w:val="center"/>
                </w:tcPr>
                <w:p w14:paraId="4E431CF9">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752" w:type="dxa"/>
                  <w:noWrap w:val="0"/>
                  <w:vAlign w:val="center"/>
                </w:tcPr>
                <w:p w14:paraId="267A80DC">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bCs/>
                      <w:color w:val="auto"/>
                      <w:szCs w:val="21"/>
                      <w:highlight w:val="none"/>
                    </w:rPr>
                    <w:t>原料</w:t>
                  </w:r>
                  <w:r>
                    <w:rPr>
                      <w:rFonts w:hint="eastAsia" w:ascii="Times New Roman" w:hAnsi="Times New Roman"/>
                      <w:bCs/>
                      <w:color w:val="auto"/>
                      <w:szCs w:val="21"/>
                      <w:highlight w:val="none"/>
                      <w:lang w:val="en-US" w:eastAsia="zh-CN"/>
                    </w:rPr>
                    <w:t>堆放</w:t>
                  </w:r>
                  <w:r>
                    <w:rPr>
                      <w:rFonts w:hint="eastAsia" w:ascii="Times New Roman" w:hAnsi="Times New Roman"/>
                      <w:bCs/>
                      <w:color w:val="auto"/>
                      <w:szCs w:val="21"/>
                      <w:highlight w:val="none"/>
                    </w:rPr>
                    <w:t>区</w:t>
                  </w:r>
                </w:p>
              </w:tc>
              <w:tc>
                <w:tcPr>
                  <w:tcW w:w="752" w:type="dxa"/>
                  <w:noWrap w:val="0"/>
                  <w:vAlign w:val="center"/>
                </w:tcPr>
                <w:p w14:paraId="4FD1A1BA">
                  <w:pPr>
                    <w:widowControl/>
                    <w:adjustRightInd w:val="0"/>
                    <w:snapToGrid w:val="0"/>
                    <w:spacing w:line="276" w:lineRule="auto"/>
                    <w:jc w:val="center"/>
                    <w:textAlignment w:val="center"/>
                    <w:rPr>
                      <w:rFonts w:hint="eastAsia" w:ascii="Times New Roman" w:hAnsi="Times New Roman" w:eastAsia="宋体"/>
                      <w:bCs/>
                      <w:color w:val="auto"/>
                      <w:kern w:val="2"/>
                      <w:sz w:val="21"/>
                      <w:szCs w:val="21"/>
                      <w:highlight w:val="none"/>
                      <w:lang w:val="en-US" w:eastAsia="zh-CN" w:bidi="ar-SA"/>
                    </w:rPr>
                  </w:pPr>
                  <w:r>
                    <w:rPr>
                      <w:rFonts w:hint="eastAsia" w:ascii="Times New Roman" w:hAnsi="Times New Roman"/>
                      <w:bCs/>
                      <w:color w:val="auto"/>
                      <w:szCs w:val="21"/>
                      <w:highlight w:val="none"/>
                      <w:lang w:val="en-US" w:eastAsia="zh-CN"/>
                    </w:rPr>
                    <w:t>1个月</w:t>
                  </w:r>
                </w:p>
              </w:tc>
            </w:tr>
            <w:tr w14:paraId="0AF2032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329" w:type="dxa"/>
                  <w:gridSpan w:val="10"/>
                  <w:noWrap w:val="0"/>
                  <w:vAlign w:val="center"/>
                </w:tcPr>
                <w:p w14:paraId="0BEF576E">
                  <w:pPr>
                    <w:widowControl/>
                    <w:adjustRightInd w:val="0"/>
                    <w:snapToGrid w:val="0"/>
                    <w:ind w:firstLine="361"/>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能源消耗</w:t>
                  </w:r>
                </w:p>
              </w:tc>
            </w:tr>
            <w:tr w14:paraId="1AD3035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4BD07AC2">
                  <w:pPr>
                    <w:widowControl/>
                    <w:adjustRightInd w:val="0"/>
                    <w:snapToGrid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760" w:type="dxa"/>
                  <w:noWrap w:val="0"/>
                  <w:vAlign w:val="center"/>
                </w:tcPr>
                <w:p w14:paraId="504BAA35">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水</w:t>
                  </w:r>
                </w:p>
              </w:tc>
              <w:tc>
                <w:tcPr>
                  <w:tcW w:w="2493" w:type="dxa"/>
                  <w:gridSpan w:val="2"/>
                  <w:noWrap w:val="0"/>
                  <w:vAlign w:val="center"/>
                </w:tcPr>
                <w:p w14:paraId="33897003">
                  <w:pPr>
                    <w:widowControl/>
                    <w:adjustRightInd w:val="0"/>
                    <w:snapToGrid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82" w:type="dxa"/>
                  <w:noWrap w:val="0"/>
                  <w:vAlign w:val="center"/>
                </w:tcPr>
                <w:p w14:paraId="2AE00F66">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873" w:type="dxa"/>
                  <w:noWrap w:val="0"/>
                  <w:vAlign w:val="center"/>
                </w:tcPr>
                <w:p w14:paraId="3F799A80">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bCs/>
                      <w:color w:val="auto"/>
                      <w:sz w:val="21"/>
                      <w:szCs w:val="21"/>
                      <w:highlight w:val="none"/>
                      <w:lang w:val="en-US" w:eastAsia="zh-CN"/>
                    </w:rPr>
                    <w:t>13227</w:t>
                  </w:r>
                </w:p>
              </w:tc>
              <w:tc>
                <w:tcPr>
                  <w:tcW w:w="3044" w:type="dxa"/>
                  <w:gridSpan w:val="4"/>
                  <w:noWrap w:val="0"/>
                  <w:vAlign w:val="center"/>
                </w:tcPr>
                <w:p w14:paraId="45315F08">
                  <w:pPr>
                    <w:widowControl/>
                    <w:adjustRightInd w:val="0"/>
                    <w:snapToGrid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市政供水管网供水</w:t>
                  </w:r>
                </w:p>
              </w:tc>
            </w:tr>
            <w:tr w14:paraId="5676864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7" w:type="dxa"/>
                  <w:noWrap w:val="0"/>
                  <w:vAlign w:val="center"/>
                </w:tcPr>
                <w:p w14:paraId="6A0623C5">
                  <w:pPr>
                    <w:widowControl/>
                    <w:adjustRightInd w:val="0"/>
                    <w:snapToGrid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760" w:type="dxa"/>
                  <w:noWrap w:val="0"/>
                  <w:vAlign w:val="center"/>
                </w:tcPr>
                <w:p w14:paraId="1D0B9946">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电</w:t>
                  </w:r>
                </w:p>
              </w:tc>
              <w:tc>
                <w:tcPr>
                  <w:tcW w:w="2493" w:type="dxa"/>
                  <w:gridSpan w:val="2"/>
                  <w:noWrap w:val="0"/>
                  <w:vAlign w:val="center"/>
                </w:tcPr>
                <w:p w14:paraId="6567110C">
                  <w:pPr>
                    <w:widowControl/>
                    <w:adjustRightInd w:val="0"/>
                    <w:snapToGrid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82" w:type="dxa"/>
                  <w:noWrap w:val="0"/>
                  <w:vAlign w:val="center"/>
                </w:tcPr>
                <w:p w14:paraId="725DAB72">
                  <w:pPr>
                    <w:widowControl/>
                    <w:adjustRightInd w:val="0"/>
                    <w:snapToGrid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万kW·h</w:t>
                  </w:r>
                </w:p>
              </w:tc>
              <w:tc>
                <w:tcPr>
                  <w:tcW w:w="873" w:type="dxa"/>
                  <w:noWrap w:val="0"/>
                  <w:vAlign w:val="center"/>
                </w:tcPr>
                <w:p w14:paraId="00195DA9">
                  <w:pPr>
                    <w:widowControl/>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w:t>
                  </w:r>
                </w:p>
              </w:tc>
              <w:tc>
                <w:tcPr>
                  <w:tcW w:w="3044" w:type="dxa"/>
                  <w:gridSpan w:val="4"/>
                  <w:noWrap w:val="0"/>
                  <w:vAlign w:val="center"/>
                </w:tcPr>
                <w:p w14:paraId="54D02AF5">
                  <w:pPr>
                    <w:widowControl/>
                    <w:adjustRightInd w:val="0"/>
                    <w:snapToGrid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市政电网供电</w:t>
                  </w:r>
                </w:p>
              </w:tc>
            </w:tr>
          </w:tbl>
          <w:p w14:paraId="07F335CD">
            <w:pPr>
              <w:jc w:val="left"/>
              <w:rPr>
                <w:rFonts w:hint="default" w:ascii="Times New Roman" w:hAnsi="Times New Roman" w:cs="Times New Roman"/>
                <w:color w:val="auto"/>
                <w:szCs w:val="21"/>
                <w:highlight w:val="none"/>
              </w:rPr>
            </w:pPr>
            <w:r>
              <w:rPr>
                <w:rFonts w:hint="eastAsia" w:ascii="宋体" w:hAnsi="宋体"/>
                <w:color w:val="auto"/>
                <w:szCs w:val="21"/>
                <w:highlight w:val="none"/>
              </w:rPr>
              <w:t>注：</w:t>
            </w:r>
            <w:r>
              <w:rPr>
                <w:rFonts w:hint="default" w:ascii="Times New Roman" w:hAnsi="Times New Roman" w:eastAsia="宋体" w:cs="Times New Roman"/>
                <w:color w:val="auto"/>
                <w:szCs w:val="21"/>
                <w:highlight w:val="none"/>
              </w:rPr>
              <w:t>①</w:t>
            </w:r>
            <w:r>
              <w:rPr>
                <w:rFonts w:hint="default" w:ascii="Times New Roman" w:hAnsi="Times New Roman" w:cs="Times New Roman"/>
                <w:color w:val="auto"/>
                <w:szCs w:val="21"/>
                <w:highlight w:val="none"/>
              </w:rPr>
              <w:t>本项目原料均为外购成品，不涉及废料回收综合利用。</w:t>
            </w:r>
          </w:p>
          <w:p w14:paraId="6A931DC2">
            <w:pPr>
              <w:spacing w:line="440" w:lineRule="exact"/>
              <w:jc w:val="center"/>
              <w:rPr>
                <w:rFonts w:ascii="Times New Roman" w:hAnsi="Times New Roman" w:eastAsia="黑体"/>
                <w:color w:val="auto"/>
                <w:sz w:val="24"/>
                <w:szCs w:val="24"/>
                <w:highlight w:val="none"/>
              </w:rPr>
            </w:pPr>
            <w:r>
              <w:rPr>
                <w:rFonts w:ascii="Times New Roman" w:hAnsi="黑体" w:eastAsia="黑体"/>
                <w:color w:val="auto"/>
                <w:sz w:val="24"/>
                <w:szCs w:val="24"/>
                <w:highlight w:val="none"/>
              </w:rPr>
              <w:t>表</w:t>
            </w:r>
            <w:r>
              <w:rPr>
                <w:rFonts w:ascii="Times New Roman" w:hAnsi="Times New Roman" w:eastAsia="黑体"/>
                <w:color w:val="auto"/>
                <w:sz w:val="24"/>
                <w:szCs w:val="24"/>
                <w:highlight w:val="none"/>
              </w:rPr>
              <w:t>2-</w:t>
            </w:r>
            <w:r>
              <w:rPr>
                <w:rFonts w:hint="eastAsia" w:ascii="Times New Roman" w:hAnsi="Times New Roman" w:eastAsia="黑体"/>
                <w:color w:val="auto"/>
                <w:sz w:val="24"/>
                <w:szCs w:val="24"/>
                <w:highlight w:val="none"/>
              </w:rPr>
              <w:t xml:space="preserve">6  </w:t>
            </w:r>
            <w:r>
              <w:rPr>
                <w:rFonts w:ascii="Times New Roman" w:hAnsi="黑体" w:eastAsia="黑体"/>
                <w:color w:val="auto"/>
                <w:sz w:val="24"/>
                <w:szCs w:val="24"/>
                <w:highlight w:val="none"/>
              </w:rPr>
              <w:t>主要原辅料理化性质一览表</w:t>
            </w:r>
          </w:p>
          <w:tbl>
            <w:tblPr>
              <w:tblStyle w:val="20"/>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355"/>
              <w:gridCol w:w="6183"/>
            </w:tblGrid>
            <w:tr w14:paraId="33AD4A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25816C19">
                  <w:pPr>
                    <w:adjustRightInd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序号</w:t>
                  </w:r>
                </w:p>
              </w:tc>
              <w:tc>
                <w:tcPr>
                  <w:tcW w:w="813" w:type="pct"/>
                  <w:noWrap w:val="0"/>
                  <w:vAlign w:val="center"/>
                </w:tcPr>
                <w:p w14:paraId="602B6EF7">
                  <w:pPr>
                    <w:adjustRightInd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名称</w:t>
                  </w:r>
                </w:p>
              </w:tc>
              <w:tc>
                <w:tcPr>
                  <w:tcW w:w="3711" w:type="pct"/>
                  <w:noWrap w:val="0"/>
                  <w:vAlign w:val="center"/>
                </w:tcPr>
                <w:p w14:paraId="7C0BEDBC">
                  <w:pPr>
                    <w:adjustRightInd w:val="0"/>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理化性质</w:t>
                  </w:r>
                </w:p>
              </w:tc>
            </w:tr>
            <w:tr w14:paraId="1440E2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434C4CD8">
                  <w:pPr>
                    <w:adjustRightInd w:val="0"/>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w:t>
                  </w:r>
                </w:p>
              </w:tc>
              <w:tc>
                <w:tcPr>
                  <w:tcW w:w="813" w:type="pct"/>
                  <w:noWrap w:val="0"/>
                  <w:vAlign w:val="center"/>
                </w:tcPr>
                <w:p w14:paraId="0DAED61B">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丙烯酸树脂</w:t>
                  </w:r>
                </w:p>
              </w:tc>
              <w:tc>
                <w:tcPr>
                  <w:tcW w:w="3711" w:type="pct"/>
                  <w:noWrap w:val="0"/>
                  <w:vAlign w:val="center"/>
                </w:tcPr>
                <w:p w14:paraId="5A671476">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是丙烯酸、甲基丙烯酸及其衍生物聚合物的总称。沸点 116℃ , 闪点61.6℃ , 熔点106℃ , 爆炸极限 2-12V% ，密度 1.09g/cm3</w:t>
                  </w:r>
                </w:p>
              </w:tc>
            </w:tr>
            <w:tr w14:paraId="51C6D1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60008CD4">
                  <w:pPr>
                    <w:adjustRightInd w:val="0"/>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w:t>
                  </w:r>
                </w:p>
              </w:tc>
              <w:tc>
                <w:tcPr>
                  <w:tcW w:w="813" w:type="pct"/>
                  <w:noWrap w:val="0"/>
                  <w:vAlign w:val="center"/>
                </w:tcPr>
                <w:p w14:paraId="24C18E2F">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绿色无 VOC慢干溶剂</w:t>
                  </w:r>
                </w:p>
              </w:tc>
              <w:tc>
                <w:tcPr>
                  <w:tcW w:w="3711" w:type="pct"/>
                  <w:noWrap w:val="0"/>
                  <w:vAlign w:val="center"/>
                </w:tcPr>
                <w:p w14:paraId="1304A4E1">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二价酸酯 DBE：酯含量</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99%；酸值：&lt;0.3mgKOH/g；沸程：196～225℃；外观：无色透明液体，略有苦清香味；色泽（Pt-Co）：&lt;100；平均分子量：159；比重 d4（下标）25（上标）：1.089；电阻 24℃：0.5MΩ</w:t>
                  </w:r>
                </w:p>
              </w:tc>
            </w:tr>
            <w:tr w14:paraId="7A7D9B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6BA431AD">
                  <w:pPr>
                    <w:adjustRightInd w:val="0"/>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3</w:t>
                  </w:r>
                </w:p>
              </w:tc>
              <w:tc>
                <w:tcPr>
                  <w:tcW w:w="813" w:type="pct"/>
                  <w:noWrap w:val="0"/>
                  <w:vAlign w:val="center"/>
                </w:tcPr>
                <w:p w14:paraId="2793F874">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钛白粉</w:t>
                  </w:r>
                </w:p>
              </w:tc>
              <w:tc>
                <w:tcPr>
                  <w:tcW w:w="3711" w:type="pct"/>
                  <w:noWrap w:val="0"/>
                  <w:vAlign w:val="center"/>
                </w:tcPr>
                <w:p w14:paraId="6EF0991A">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一种重要的无机化工颜料，主要成分为二氧化钛。在常用的白色颜料中，二氧化钛的相对密度最小，同等质量的白色颜料中，二氧化钛的表面积最大，颜料体积最高。</w:t>
                  </w:r>
                </w:p>
              </w:tc>
            </w:tr>
            <w:tr w14:paraId="4005CC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4C1E17E7">
                  <w:pPr>
                    <w:adjustRightInd w:val="0"/>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w:t>
                  </w:r>
                </w:p>
              </w:tc>
              <w:tc>
                <w:tcPr>
                  <w:tcW w:w="813" w:type="pct"/>
                  <w:noWrap w:val="0"/>
                  <w:vAlign w:val="center"/>
                </w:tcPr>
                <w:p w14:paraId="28E8336C">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润滑油</w:t>
                  </w:r>
                </w:p>
              </w:tc>
              <w:tc>
                <w:tcPr>
                  <w:tcW w:w="3711" w:type="pct"/>
                  <w:noWrap w:val="0"/>
                  <w:vAlign w:val="center"/>
                </w:tcPr>
                <w:p w14:paraId="43B7B01F">
                  <w:pPr>
                    <w:adjustRightInd w:val="0"/>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外观为淡黄色</w:t>
                  </w:r>
                  <w:r>
                    <w:rPr>
                      <w:rFonts w:hint="eastAsia" w:ascii="Times New Roman" w:hAnsi="Times New Roman" w:eastAsia="宋体" w:cs="Times New Roman"/>
                      <w:color w:val="auto"/>
                      <w:szCs w:val="21"/>
                      <w:highlight w:val="none"/>
                      <w:lang w:eastAsia="zh-CN"/>
                    </w:rPr>
                    <w:t>黏稠</w:t>
                  </w:r>
                  <w:r>
                    <w:rPr>
                      <w:rFonts w:ascii="Times New Roman" w:hAnsi="Times New Roman" w:eastAsia="宋体" w:cs="Times New Roman"/>
                      <w:color w:val="auto"/>
                      <w:szCs w:val="21"/>
                      <w:highlight w:val="none"/>
                    </w:rPr>
                    <w:t>液体，闪点为 120~340℃ , 自燃点为 300~350℃ , 相对密度（水=1）为 938.4 ，相对密度（空气=1）为 0.85 ，熔点为-252.8℃ , 溶于苯、乙醇、乙醚、氯、丙酮等多数有机溶剂。</w:t>
                  </w:r>
                </w:p>
              </w:tc>
            </w:tr>
            <w:tr w14:paraId="4B372F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279A20D2">
                  <w:pPr>
                    <w:adjustRightInd w:val="0"/>
                    <w:snapToGrid w:val="0"/>
                    <w:spacing w:line="276" w:lineRule="auto"/>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w:t>
                  </w:r>
                </w:p>
              </w:tc>
              <w:tc>
                <w:tcPr>
                  <w:tcW w:w="813" w:type="pct"/>
                  <w:noWrap w:val="0"/>
                  <w:vAlign w:val="center"/>
                </w:tcPr>
                <w:p w14:paraId="7CBAB052">
                  <w:pPr>
                    <w:adjustRightInd w:val="0"/>
                    <w:snapToGrid w:val="0"/>
                    <w:spacing w:line="276"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pacing w:val="-4"/>
                      <w:sz w:val="21"/>
                      <w:szCs w:val="21"/>
                      <w:highlight w:val="none"/>
                      <w:lang w:val="en-US"/>
                    </w:rPr>
                    <w:t>羟基氯化铝聚合物</w:t>
                  </w:r>
                </w:p>
              </w:tc>
              <w:tc>
                <w:tcPr>
                  <w:tcW w:w="3711" w:type="pct"/>
                  <w:noWrap w:val="0"/>
                  <w:vAlign w:val="center"/>
                </w:tcPr>
                <w:p w14:paraId="3B91E2EA">
                  <w:pPr>
                    <w:adjustRightInd w:val="0"/>
                    <w:snapToGrid w:val="0"/>
                    <w:spacing w:line="276" w:lineRule="auto"/>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一种无机高分子化合物，固体通常为白色或微黄色粉末；其水溶液则为无色透明至微浑浊的液体分子式通常表示为 Al₂(OH)₅Cl·2H₂O。极易溶于水，易水解</w:t>
                  </w:r>
                  <w:r>
                    <w:rPr>
                      <w:rFonts w:hint="eastAsia" w:ascii="Times New Roman" w:hAnsi="Times New Roman" w:eastAsia="宋体" w:cs="Times New Roman"/>
                      <w:color w:val="auto"/>
                      <w:szCs w:val="21"/>
                      <w:highlight w:val="none"/>
                      <w:lang w:eastAsia="zh-CN"/>
                    </w:rPr>
                    <w:t>。</w:t>
                  </w:r>
                </w:p>
              </w:tc>
            </w:tr>
            <w:tr w14:paraId="15FB7C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1BF3AA33">
                  <w:pPr>
                    <w:adjustRightInd w:val="0"/>
                    <w:snapToGrid w:val="0"/>
                    <w:spacing w:line="276" w:lineRule="auto"/>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6</w:t>
                  </w:r>
                </w:p>
              </w:tc>
              <w:tc>
                <w:tcPr>
                  <w:tcW w:w="813" w:type="pct"/>
                  <w:noWrap w:val="0"/>
                  <w:vAlign w:val="center"/>
                </w:tcPr>
                <w:p w14:paraId="07131339">
                  <w:pPr>
                    <w:adjustRightInd w:val="0"/>
                    <w:snapToGrid w:val="0"/>
                    <w:spacing w:line="276"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pacing w:val="-4"/>
                      <w:sz w:val="21"/>
                      <w:szCs w:val="21"/>
                      <w:highlight w:val="none"/>
                    </w:rPr>
                    <w:t>聚丙烯酰胺</w:t>
                  </w:r>
                </w:p>
              </w:tc>
              <w:tc>
                <w:tcPr>
                  <w:tcW w:w="3711" w:type="pct"/>
                  <w:noWrap w:val="0"/>
                  <w:vAlign w:val="center"/>
                </w:tcPr>
                <w:p w14:paraId="0CF0999E">
                  <w:pPr>
                    <w:adjustRightInd w:val="0"/>
                    <w:snapToGrid w:val="0"/>
                    <w:spacing w:line="276" w:lineRule="auto"/>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常温下为白色或微黄色的坚硬玻璃态固体，常见形态有颗粒状、粉末状或胶乳，无臭</w:t>
                  </w:r>
                  <w:r>
                    <w:rPr>
                      <w:rFonts w:hint="eastAsia" w:ascii="Times New Roman" w:hAnsi="Times New Roman" w:eastAsia="宋体" w:cs="Times New Roman"/>
                      <w:color w:val="auto"/>
                      <w:szCs w:val="21"/>
                      <w:highlight w:val="none"/>
                      <w:lang w:eastAsia="zh-CN"/>
                    </w:rPr>
                    <w:t>；能以任意比例溶于水，形成均匀透明的粘稠液体（假塑性流体）；但不溶于大多数有机溶剂</w:t>
                  </w:r>
                </w:p>
              </w:tc>
            </w:tr>
            <w:tr w14:paraId="526D23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14:paraId="0DC24E3D">
                  <w:pPr>
                    <w:adjustRightInd w:val="0"/>
                    <w:snapToGrid w:val="0"/>
                    <w:spacing w:line="276" w:lineRule="auto"/>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7</w:t>
                  </w:r>
                </w:p>
              </w:tc>
              <w:tc>
                <w:tcPr>
                  <w:tcW w:w="813" w:type="pct"/>
                  <w:noWrap w:val="0"/>
                  <w:vAlign w:val="center"/>
                </w:tcPr>
                <w:p w14:paraId="0CB3360D">
                  <w:pPr>
                    <w:adjustRightInd w:val="0"/>
                    <w:snapToGrid w:val="0"/>
                    <w:spacing w:line="276" w:lineRule="auto"/>
                    <w:jc w:val="center"/>
                    <w:rPr>
                      <w:rFonts w:hint="default" w:ascii="Times New Roman" w:hAnsi="Times New Roman" w:eastAsia="宋体" w:cs="Times New Roman"/>
                      <w:color w:val="auto"/>
                      <w:spacing w:val="-4"/>
                      <w:sz w:val="21"/>
                      <w:szCs w:val="21"/>
                      <w:highlight w:val="none"/>
                    </w:rPr>
                  </w:pPr>
                  <w:r>
                    <w:rPr>
                      <w:rFonts w:hint="eastAsia" w:ascii="Times New Roman" w:hAnsi="Times New Roman" w:eastAsia="宋体" w:cs="Times New Roman"/>
                      <w:color w:val="auto"/>
                      <w:spacing w:val="-4"/>
                      <w:sz w:val="21"/>
                      <w:szCs w:val="21"/>
                      <w:highlight w:val="none"/>
                      <w:lang w:val="en-US" w:eastAsia="zh-CN"/>
                    </w:rPr>
                    <w:t>三氧化二铝</w:t>
                  </w:r>
                </w:p>
              </w:tc>
              <w:tc>
                <w:tcPr>
                  <w:tcW w:w="3711" w:type="pct"/>
                  <w:noWrap w:val="0"/>
                  <w:vAlign w:val="center"/>
                </w:tcPr>
                <w:p w14:paraId="337B1D59">
                  <w:pPr>
                    <w:adjustRightInd w:val="0"/>
                    <w:snapToGrid w:val="0"/>
                    <w:spacing w:line="276" w:lineRule="auto"/>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化学式为 Al₂O₃，分子量约为101.96。</w:t>
                  </w:r>
                  <w:r>
                    <w:rPr>
                      <w:rFonts w:hint="eastAsia" w:ascii="Times New Roman" w:hAnsi="Times New Roman" w:eastAsia="宋体" w:cs="Times New Roman"/>
                      <w:color w:val="auto"/>
                      <w:szCs w:val="21"/>
                      <w:highlight w:val="none"/>
                      <w:lang w:eastAsia="zh-CN"/>
                    </w:rPr>
                    <w:t>纯净物为无色透明。具有极高的硬度（莫氏硬度达9）、高熔点（约2050℃）和高沸点（约2980℃）。此外，它还具备优异的耐磨性、良好的化学惰性、热稳定性以及电绝缘性</w:t>
                  </w:r>
                </w:p>
              </w:tc>
            </w:tr>
          </w:tbl>
          <w:p w14:paraId="643CCEB7">
            <w:pPr>
              <w:spacing w:line="360" w:lineRule="auto"/>
              <w:ind w:firstLine="482" w:firstLineChars="200"/>
              <w:jc w:val="left"/>
              <w:rPr>
                <w:rFonts w:ascii="Times New Roman" w:hAnsi="宋体"/>
                <w:b/>
                <w:bCs/>
                <w:color w:val="auto"/>
                <w:sz w:val="24"/>
                <w:szCs w:val="24"/>
                <w:highlight w:val="none"/>
              </w:rPr>
            </w:pPr>
            <w:r>
              <w:rPr>
                <w:rFonts w:hint="eastAsia" w:ascii="Times New Roman" w:hAnsi="Times New Roman"/>
                <w:b/>
                <w:bCs/>
                <w:color w:val="auto"/>
                <w:sz w:val="24"/>
                <w:szCs w:val="24"/>
                <w:highlight w:val="none"/>
              </w:rPr>
              <w:t>6</w:t>
            </w:r>
            <w:r>
              <w:rPr>
                <w:rFonts w:ascii="Times New Roman" w:hAnsi="宋体"/>
                <w:b/>
                <w:bCs/>
                <w:color w:val="auto"/>
                <w:sz w:val="24"/>
                <w:szCs w:val="24"/>
                <w:highlight w:val="none"/>
              </w:rPr>
              <w:t>、</w:t>
            </w:r>
            <w:r>
              <w:rPr>
                <w:rFonts w:hint="eastAsia" w:ascii="Times New Roman" w:hAnsi="宋体"/>
                <w:b/>
                <w:bCs/>
                <w:color w:val="auto"/>
                <w:sz w:val="24"/>
                <w:szCs w:val="24"/>
                <w:highlight w:val="none"/>
              </w:rPr>
              <w:t>公用</w:t>
            </w:r>
            <w:r>
              <w:rPr>
                <w:rFonts w:ascii="Times New Roman" w:hAnsi="宋体"/>
                <w:b/>
                <w:bCs/>
                <w:color w:val="auto"/>
                <w:sz w:val="24"/>
                <w:szCs w:val="24"/>
                <w:highlight w:val="none"/>
              </w:rPr>
              <w:t>工程</w:t>
            </w:r>
          </w:p>
          <w:p w14:paraId="10D31E7B">
            <w:pPr>
              <w:spacing w:line="360" w:lineRule="auto"/>
              <w:ind w:firstLine="480" w:firstLineChars="200"/>
              <w:rPr>
                <w:rFonts w:hint="eastAsia" w:ascii="Times New Roman" w:hAnsi="Times New Roman" w:eastAsia="宋体"/>
                <w:color w:val="auto"/>
                <w:sz w:val="24"/>
                <w:highlight w:val="none"/>
                <w:lang w:eastAsia="zh-CN"/>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1</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给排水</w:t>
            </w:r>
          </w:p>
          <w:p w14:paraId="25F7252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本项目用水主要为生活用水、生产工艺用水，用水量约为</w:t>
            </w:r>
            <w:r>
              <w:rPr>
                <w:rFonts w:hint="default" w:ascii="Times New Roman" w:hAnsi="Times New Roman" w:cs="Times New Roman"/>
                <w:bCs/>
                <w:color w:val="auto"/>
                <w:sz w:val="24"/>
                <w:szCs w:val="24"/>
                <w:highlight w:val="none"/>
                <w:lang w:val="en-US" w:eastAsia="zh-CN"/>
              </w:rPr>
              <w:t>44.09</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szCs w:val="24"/>
                <w:highlight w:val="none"/>
                <w:lang w:val="en-US" w:eastAsia="zh-CN"/>
              </w:rPr>
              <w:t>13227</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/a）。项目用水由市政供水管网供给。</w:t>
            </w:r>
            <w:r>
              <w:rPr>
                <w:rFonts w:hint="default" w:ascii="Times New Roman" w:hAnsi="Times New Roman" w:cs="Times New Roman"/>
                <w:color w:val="auto"/>
                <w:sz w:val="24"/>
                <w:highlight w:val="none"/>
                <w:lang w:val="en-US" w:eastAsia="zh-CN"/>
              </w:rPr>
              <w:t>产生的生活污水经园区化粪池处理后和纯水制备浓水以及超浓水一并经园区管网进入凤台经济开发区污水处理厂处理，生产废水全部经处理后回用。</w:t>
            </w:r>
          </w:p>
          <w:p w14:paraId="6EAE4B15">
            <w:pPr>
              <w:adjustRightInd w:val="0"/>
              <w:spacing w:line="360" w:lineRule="auto"/>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rPr>
              <w:t>①</w:t>
            </w:r>
            <w:r>
              <w:rPr>
                <w:rFonts w:hint="default" w:ascii="Times New Roman" w:hAnsi="Times New Roman" w:cs="Times New Roman"/>
                <w:color w:val="auto"/>
                <w:sz w:val="24"/>
                <w:szCs w:val="24"/>
                <w:highlight w:val="none"/>
                <w:lang w:val="en-US" w:eastAsia="zh-CN"/>
              </w:rPr>
              <w:t>生活用水</w:t>
            </w:r>
          </w:p>
          <w:p w14:paraId="78C96188">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rPr>
              <w:t>根据</w:t>
            </w:r>
            <w:r>
              <w:rPr>
                <w:rFonts w:hint="default" w:ascii="Times New Roman" w:hAnsi="Times New Roman" w:eastAsia="宋体" w:cs="Times New Roman"/>
                <w:color w:val="auto"/>
                <w:sz w:val="24"/>
                <w:szCs w:val="28"/>
                <w:highlight w:val="none"/>
              </w:rPr>
              <w:t>《安徽省行业用水定额》（</w:t>
            </w:r>
            <w:r>
              <w:rPr>
                <w:rFonts w:hint="default" w:ascii="Times New Roman" w:hAnsi="Times New Roman" w:cs="Times New Roman"/>
                <w:color w:val="auto"/>
                <w:sz w:val="24"/>
                <w:szCs w:val="28"/>
                <w:highlight w:val="none"/>
                <w:lang w:val="en-US" w:eastAsia="zh-CN"/>
              </w:rPr>
              <w:t>DB</w:t>
            </w:r>
            <w:r>
              <w:rPr>
                <w:rFonts w:hint="default" w:ascii="Times New Roman" w:hAnsi="Times New Roman" w:eastAsia="宋体" w:cs="Times New Roman"/>
                <w:color w:val="auto"/>
                <w:sz w:val="24"/>
                <w:szCs w:val="28"/>
                <w:highlight w:val="none"/>
              </w:rPr>
              <w:t>34/T679-2025）</w:t>
            </w:r>
            <w:r>
              <w:rPr>
                <w:rFonts w:hint="default" w:ascii="Times New Roman" w:hAnsi="Times New Roman" w:cs="Times New Roman"/>
                <w:bCs/>
                <w:color w:val="auto"/>
                <w:sz w:val="24"/>
                <w:szCs w:val="24"/>
                <w:highlight w:val="none"/>
              </w:rPr>
              <w:t>中的规定，本项目生活用水定额为</w:t>
            </w:r>
            <w:r>
              <w:rPr>
                <w:rFonts w:hint="default" w:ascii="Times New Roman" w:hAnsi="Times New Roman" w:cs="Times New Roman"/>
                <w:bCs/>
                <w:color w:val="auto"/>
                <w:sz w:val="24"/>
                <w:szCs w:val="24"/>
                <w:highlight w:val="none"/>
                <w:lang w:val="en-US" w:eastAsia="zh-CN"/>
              </w:rPr>
              <w:t>15m³</w:t>
            </w:r>
            <w:r>
              <w:rPr>
                <w:rFonts w:hint="default" w:ascii="Times New Roman" w:hAnsi="Times New Roman" w:cs="Times New Roman"/>
                <w:bCs/>
                <w:color w:val="auto"/>
                <w:sz w:val="24"/>
                <w:szCs w:val="24"/>
                <w:highlight w:val="none"/>
              </w:rPr>
              <w:t>/（人·</w:t>
            </w:r>
            <w:r>
              <w:rPr>
                <w:rFonts w:hint="default" w:ascii="Times New Roman" w:hAnsi="Times New Roman" w:cs="Times New Roman"/>
                <w:bCs/>
                <w:color w:val="auto"/>
                <w:sz w:val="24"/>
                <w:szCs w:val="24"/>
                <w:highlight w:val="none"/>
                <w:lang w:val="en-US" w:eastAsia="zh-CN"/>
              </w:rPr>
              <w:t>a</w:t>
            </w:r>
            <w:r>
              <w:rPr>
                <w:rFonts w:hint="default" w:ascii="Times New Roman" w:hAnsi="Times New Roman" w:cs="Times New Roman"/>
                <w:bCs/>
                <w:color w:val="auto"/>
                <w:sz w:val="24"/>
                <w:szCs w:val="24"/>
                <w:highlight w:val="none"/>
              </w:rPr>
              <w:t>），则生活用水量为900</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/a，排污系数取0.85，则职工生活污水产量为765</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，经园区化粪池处理后</w:t>
            </w:r>
            <w:r>
              <w:rPr>
                <w:rFonts w:hint="default" w:ascii="Times New Roman" w:hAnsi="Times New Roman" w:cs="Times New Roman"/>
                <w:bCs/>
                <w:color w:val="auto"/>
                <w:sz w:val="24"/>
                <w:szCs w:val="24"/>
                <w:highlight w:val="none"/>
                <w:lang w:val="en-US" w:eastAsia="zh-CN"/>
              </w:rPr>
              <w:t>和废水处理设施产生的超浓水以及纯水制备产生的浓水一并经园区管网接</w:t>
            </w:r>
            <w:r>
              <w:rPr>
                <w:rFonts w:hint="default" w:ascii="Times New Roman" w:hAnsi="Times New Roman" w:cs="Times New Roman"/>
                <w:bCs/>
                <w:color w:val="auto"/>
                <w:sz w:val="24"/>
                <w:szCs w:val="24"/>
                <w:highlight w:val="none"/>
                <w:lang w:eastAsia="zh-CN"/>
              </w:rPr>
              <w:t>入凤台经济开发区污水处理厂</w:t>
            </w:r>
            <w:r>
              <w:rPr>
                <w:rFonts w:hint="default" w:ascii="Times New Roman" w:hAnsi="Times New Roman" w:cs="Times New Roman"/>
                <w:bCs/>
                <w:color w:val="auto"/>
                <w:sz w:val="24"/>
                <w:szCs w:val="24"/>
                <w:highlight w:val="none"/>
                <w:lang w:val="en-US" w:eastAsia="zh-CN"/>
              </w:rPr>
              <w:t>处理。</w:t>
            </w:r>
          </w:p>
          <w:p w14:paraId="251BF731">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eastAsia="宋体" w:cs="Times New Roman"/>
                <w:bCs/>
                <w:color w:val="auto"/>
                <w:sz w:val="24"/>
                <w:szCs w:val="24"/>
                <w:highlight w:val="none"/>
              </w:rPr>
              <w:t>②</w:t>
            </w:r>
            <w:r>
              <w:rPr>
                <w:rFonts w:hint="default" w:ascii="Times New Roman" w:hAnsi="Times New Roman" w:cs="Times New Roman"/>
                <w:bCs/>
                <w:color w:val="auto"/>
                <w:sz w:val="24"/>
                <w:szCs w:val="24"/>
                <w:highlight w:val="none"/>
                <w:lang w:val="en-US" w:eastAsia="zh-CN"/>
              </w:rPr>
              <w:t>工艺</w:t>
            </w:r>
            <w:r>
              <w:rPr>
                <w:rFonts w:hint="default" w:ascii="Times New Roman" w:hAnsi="Times New Roman" w:cs="Times New Roman"/>
                <w:bCs/>
                <w:color w:val="auto"/>
                <w:sz w:val="24"/>
                <w:szCs w:val="24"/>
                <w:highlight w:val="none"/>
              </w:rPr>
              <w:t>用水</w:t>
            </w:r>
          </w:p>
          <w:p w14:paraId="5A2545B5">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a.磨边用水</w:t>
            </w:r>
          </w:p>
          <w:p w14:paraId="33D556DA">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本项目磨边</w:t>
            </w:r>
            <w:r>
              <w:rPr>
                <w:rFonts w:hint="default" w:ascii="Times New Roman" w:hAnsi="Times New Roman" w:cs="Times New Roman"/>
                <w:bCs/>
                <w:color w:val="auto"/>
                <w:sz w:val="24"/>
                <w:szCs w:val="24"/>
                <w:highlight w:val="none"/>
                <w:lang w:val="en-US" w:eastAsia="zh-CN"/>
              </w:rPr>
              <w:t>采取湿法作业</w:t>
            </w:r>
            <w:r>
              <w:rPr>
                <w:rFonts w:hint="default" w:ascii="Times New Roman" w:hAnsi="Times New Roman" w:cs="Times New Roman"/>
                <w:bCs/>
                <w:color w:val="auto"/>
                <w:sz w:val="24"/>
                <w:szCs w:val="24"/>
                <w:highlight w:val="none"/>
              </w:rPr>
              <w:t>时，</w:t>
            </w:r>
            <w:r>
              <w:rPr>
                <w:rFonts w:hint="default" w:ascii="Times New Roman" w:hAnsi="Times New Roman" w:cs="Times New Roman"/>
                <w:bCs/>
                <w:color w:val="auto"/>
                <w:sz w:val="24"/>
                <w:szCs w:val="24"/>
                <w:highlight w:val="none"/>
                <w:lang w:val="en-US" w:eastAsia="zh-CN"/>
              </w:rPr>
              <w:t>磨边时</w:t>
            </w:r>
            <w:r>
              <w:rPr>
                <w:rFonts w:hint="default" w:ascii="Times New Roman" w:hAnsi="Times New Roman" w:cs="Times New Roman"/>
                <w:bCs/>
                <w:color w:val="auto"/>
                <w:sz w:val="24"/>
                <w:szCs w:val="24"/>
                <w:highlight w:val="none"/>
              </w:rPr>
              <w:t>用</w:t>
            </w:r>
            <w:r>
              <w:rPr>
                <w:rFonts w:hint="default" w:ascii="Times New Roman" w:hAnsi="Times New Roman" w:cs="Times New Roman"/>
                <w:bCs/>
                <w:color w:val="auto"/>
                <w:sz w:val="24"/>
                <w:szCs w:val="24"/>
                <w:highlight w:val="none"/>
                <w:lang w:val="en-US" w:eastAsia="zh-CN"/>
              </w:rPr>
              <w:t>纯</w:t>
            </w:r>
            <w:r>
              <w:rPr>
                <w:rFonts w:hint="default" w:ascii="Times New Roman" w:hAnsi="Times New Roman" w:cs="Times New Roman"/>
                <w:bCs/>
                <w:color w:val="auto"/>
                <w:sz w:val="24"/>
                <w:szCs w:val="24"/>
                <w:highlight w:val="none"/>
              </w:rPr>
              <w:t>水冲洗，避免在磨边过程中导致玻璃局部温度过高影响质量。</w:t>
            </w:r>
            <w:r>
              <w:rPr>
                <w:rFonts w:hint="default" w:ascii="Times New Roman" w:hAnsi="Times New Roman" w:cs="Times New Roman"/>
                <w:bCs/>
                <w:color w:val="auto"/>
                <w:sz w:val="24"/>
                <w:szCs w:val="24"/>
                <w:highlight w:val="none"/>
                <w:lang w:val="en-US" w:eastAsia="zh-CN"/>
              </w:rPr>
              <w:t>本项目磨边机用水量核算相关参数见下表：</w:t>
            </w:r>
          </w:p>
          <w:p w14:paraId="6FF44567">
            <w:pPr>
              <w:spacing w:line="440" w:lineRule="exac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表2-</w:t>
            </w:r>
            <w:r>
              <w:rPr>
                <w:rFonts w:hint="default" w:ascii="Times New Roman" w:hAnsi="Times New Roman" w:eastAsia="黑体" w:cs="Times New Roman"/>
                <w:color w:val="auto"/>
                <w:sz w:val="24"/>
                <w:szCs w:val="24"/>
                <w:highlight w:val="none"/>
                <w:lang w:val="en-US" w:eastAsia="zh-CN"/>
              </w:rPr>
              <w:t>7</w:t>
            </w:r>
            <w:r>
              <w:rPr>
                <w:rFonts w:hint="default" w:ascii="Times New Roman" w:hAnsi="Times New Roman" w:eastAsia="黑体" w:cs="Times New Roman"/>
                <w:color w:val="auto"/>
                <w:sz w:val="24"/>
                <w:szCs w:val="24"/>
                <w:highlight w:val="none"/>
              </w:rPr>
              <w:t xml:space="preserve">  </w:t>
            </w:r>
            <w:r>
              <w:rPr>
                <w:rFonts w:hint="default" w:ascii="Times New Roman" w:hAnsi="Times New Roman" w:eastAsia="黑体" w:cs="Times New Roman"/>
                <w:color w:val="auto"/>
                <w:sz w:val="24"/>
                <w:szCs w:val="24"/>
                <w:highlight w:val="none"/>
                <w:lang w:val="en-US" w:eastAsia="zh-CN"/>
              </w:rPr>
              <w:t>磨边机用水量参数</w:t>
            </w:r>
            <w:r>
              <w:rPr>
                <w:rFonts w:hint="default" w:ascii="Times New Roman" w:hAnsi="Times New Roman" w:eastAsia="黑体" w:cs="Times New Roman"/>
                <w:color w:val="auto"/>
                <w:sz w:val="24"/>
                <w:szCs w:val="24"/>
                <w:highlight w:val="none"/>
              </w:rPr>
              <w:t>一览表</w:t>
            </w:r>
          </w:p>
          <w:tbl>
            <w:tblPr>
              <w:tblStyle w:val="20"/>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3503"/>
              <w:gridCol w:w="1894"/>
              <w:gridCol w:w="1758"/>
            </w:tblGrid>
            <w:tr w14:paraId="13950F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6761D2F3">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序号</w:t>
                  </w:r>
                </w:p>
              </w:tc>
              <w:tc>
                <w:tcPr>
                  <w:tcW w:w="2103" w:type="pct"/>
                  <w:noWrap w:val="0"/>
                  <w:vAlign w:val="center"/>
                </w:tcPr>
                <w:p w14:paraId="3AC53D9B">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参数名称</w:t>
                  </w:r>
                </w:p>
              </w:tc>
              <w:tc>
                <w:tcPr>
                  <w:tcW w:w="1137" w:type="pct"/>
                  <w:noWrap w:val="0"/>
                  <w:vAlign w:val="center"/>
                </w:tcPr>
                <w:p w14:paraId="39014E59">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单位</w:t>
                  </w:r>
                </w:p>
              </w:tc>
              <w:tc>
                <w:tcPr>
                  <w:tcW w:w="1055" w:type="pct"/>
                  <w:noWrap w:val="0"/>
                  <w:vAlign w:val="center"/>
                </w:tcPr>
                <w:p w14:paraId="11330CAC">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数值</w:t>
                  </w:r>
                </w:p>
              </w:tc>
            </w:tr>
            <w:tr w14:paraId="6E705A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61D52CB9">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w:t>
                  </w:r>
                </w:p>
              </w:tc>
              <w:tc>
                <w:tcPr>
                  <w:tcW w:w="2103" w:type="pct"/>
                  <w:noWrap w:val="0"/>
                  <w:vAlign w:val="center"/>
                </w:tcPr>
                <w:p w14:paraId="1C9685FA">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喷头数量</w:t>
                  </w:r>
                </w:p>
              </w:tc>
              <w:tc>
                <w:tcPr>
                  <w:tcW w:w="1137" w:type="pct"/>
                  <w:noWrap w:val="0"/>
                  <w:vAlign w:val="center"/>
                </w:tcPr>
                <w:p w14:paraId="2535918D">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个/台</w:t>
                  </w:r>
                </w:p>
              </w:tc>
              <w:tc>
                <w:tcPr>
                  <w:tcW w:w="1055" w:type="pct"/>
                  <w:noWrap w:val="0"/>
                  <w:vAlign w:val="center"/>
                </w:tcPr>
                <w:p w14:paraId="13AE1B41">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r>
            <w:tr w14:paraId="6CB379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49132DB7">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2103" w:type="pct"/>
                  <w:noWrap w:val="0"/>
                  <w:vAlign w:val="center"/>
                </w:tcPr>
                <w:p w14:paraId="3CCB98A4">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单喷头流量</w:t>
                  </w:r>
                </w:p>
              </w:tc>
              <w:tc>
                <w:tcPr>
                  <w:tcW w:w="1137" w:type="pct"/>
                  <w:noWrap w:val="0"/>
                  <w:vAlign w:val="center"/>
                </w:tcPr>
                <w:p w14:paraId="7E2AB8D7">
                  <w:pPr>
                    <w:adjustRightInd w:val="0"/>
                    <w:snapToGrid w:val="0"/>
                    <w:spacing w:line="276" w:lineRule="auto"/>
                    <w:jc w:val="center"/>
                    <w:rPr>
                      <w:color w:val="auto"/>
                      <w:highlight w:val="none"/>
                    </w:rPr>
                  </w:pPr>
                  <w:r>
                    <w:rPr>
                      <w:rFonts w:hint="eastAsia" w:ascii="Times New Roman" w:hAnsi="Times New Roman" w:cs="Times New Roman"/>
                      <w:color w:val="auto"/>
                      <w:szCs w:val="21"/>
                      <w:highlight w:val="none"/>
                      <w:lang w:val="en-US" w:eastAsia="zh-CN"/>
                    </w:rPr>
                    <w:t>L/s</w:t>
                  </w:r>
                </w:p>
              </w:tc>
              <w:tc>
                <w:tcPr>
                  <w:tcW w:w="1055" w:type="pct"/>
                  <w:noWrap w:val="0"/>
                  <w:vAlign w:val="center"/>
                </w:tcPr>
                <w:p w14:paraId="58C2DED3">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1.75</w:t>
                  </w:r>
                </w:p>
              </w:tc>
            </w:tr>
            <w:tr w14:paraId="21287D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4AB74C2F">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w:t>
                  </w:r>
                </w:p>
              </w:tc>
              <w:tc>
                <w:tcPr>
                  <w:tcW w:w="2103" w:type="pct"/>
                  <w:noWrap w:val="0"/>
                  <w:vAlign w:val="center"/>
                </w:tcPr>
                <w:p w14:paraId="1C2B83DA">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喷头口径</w:t>
                  </w:r>
                </w:p>
              </w:tc>
              <w:tc>
                <w:tcPr>
                  <w:tcW w:w="1137" w:type="pct"/>
                  <w:noWrap w:val="0"/>
                  <w:vAlign w:val="center"/>
                </w:tcPr>
                <w:p w14:paraId="6E5539B0">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mm</w:t>
                  </w:r>
                </w:p>
              </w:tc>
              <w:tc>
                <w:tcPr>
                  <w:tcW w:w="1055" w:type="pct"/>
                  <w:noWrap w:val="0"/>
                  <w:vAlign w:val="center"/>
                </w:tcPr>
                <w:p w14:paraId="579D5F3B">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Φ8</w:t>
                  </w:r>
                </w:p>
              </w:tc>
            </w:tr>
            <w:tr w14:paraId="407355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2A52A3BC">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2103" w:type="pct"/>
                  <w:noWrap w:val="0"/>
                  <w:vAlign w:val="center"/>
                </w:tcPr>
                <w:p w14:paraId="5D0F7362">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年工作时间</w:t>
                  </w:r>
                </w:p>
              </w:tc>
              <w:tc>
                <w:tcPr>
                  <w:tcW w:w="1137" w:type="pct"/>
                  <w:noWrap w:val="0"/>
                  <w:vAlign w:val="center"/>
                </w:tcPr>
                <w:p w14:paraId="7E3671FA">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h/a</w:t>
                  </w:r>
                </w:p>
              </w:tc>
              <w:tc>
                <w:tcPr>
                  <w:tcW w:w="1055" w:type="pct"/>
                  <w:noWrap w:val="0"/>
                  <w:vAlign w:val="center"/>
                </w:tcPr>
                <w:p w14:paraId="06977013">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7200</w:t>
                  </w:r>
                </w:p>
              </w:tc>
            </w:tr>
            <w:tr w14:paraId="10ADC4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7224EBF5">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w:t>
                  </w:r>
                </w:p>
              </w:tc>
              <w:tc>
                <w:tcPr>
                  <w:tcW w:w="2103" w:type="pct"/>
                  <w:noWrap w:val="0"/>
                  <w:vAlign w:val="center"/>
                </w:tcPr>
                <w:p w14:paraId="4B1E3EBF">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磨边机数量</w:t>
                  </w:r>
                </w:p>
              </w:tc>
              <w:tc>
                <w:tcPr>
                  <w:tcW w:w="1137" w:type="pct"/>
                  <w:noWrap w:val="0"/>
                  <w:vAlign w:val="center"/>
                </w:tcPr>
                <w:p w14:paraId="1B8DA575">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台</w:t>
                  </w:r>
                </w:p>
              </w:tc>
              <w:tc>
                <w:tcPr>
                  <w:tcW w:w="1055" w:type="pct"/>
                  <w:noWrap w:val="0"/>
                  <w:vAlign w:val="center"/>
                </w:tcPr>
                <w:p w14:paraId="0010C033">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r>
            <w:tr w14:paraId="4C8CA4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21E8B812">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p>
              </w:tc>
              <w:tc>
                <w:tcPr>
                  <w:tcW w:w="2103" w:type="pct"/>
                  <w:noWrap w:val="0"/>
                  <w:vAlign w:val="center"/>
                </w:tcPr>
                <w:p w14:paraId="41BB9370">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单台小时用水量</w:t>
                  </w:r>
                </w:p>
              </w:tc>
              <w:tc>
                <w:tcPr>
                  <w:tcW w:w="1137" w:type="pct"/>
                  <w:noWrap w:val="0"/>
                  <w:vAlign w:val="center"/>
                </w:tcPr>
                <w:p w14:paraId="4B30BC9E">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m³/</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台·h</w:t>
                  </w:r>
                  <w:r>
                    <w:rPr>
                      <w:rFonts w:hint="eastAsia" w:ascii="Times New Roman" w:hAnsi="Times New Roman" w:cs="Times New Roman"/>
                      <w:color w:val="auto"/>
                      <w:szCs w:val="21"/>
                      <w:highlight w:val="none"/>
                      <w:lang w:val="en-US" w:eastAsia="zh-CN"/>
                    </w:rPr>
                    <w:t>）</w:t>
                  </w:r>
                </w:p>
              </w:tc>
              <w:tc>
                <w:tcPr>
                  <w:tcW w:w="1055" w:type="pct"/>
                  <w:noWrap w:val="0"/>
                  <w:vAlign w:val="center"/>
                </w:tcPr>
                <w:p w14:paraId="5422F60E">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25.24</w:t>
                  </w:r>
                </w:p>
              </w:tc>
            </w:tr>
          </w:tbl>
          <w:p w14:paraId="433DCDEB">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根据</w:t>
            </w:r>
            <w:r>
              <w:rPr>
                <w:rFonts w:hint="default" w:ascii="Times New Roman" w:hAnsi="Times New Roman" w:cs="Times New Roman"/>
                <w:bCs/>
                <w:color w:val="auto"/>
                <w:sz w:val="24"/>
                <w:szCs w:val="24"/>
                <w:highlight w:val="none"/>
                <w:lang w:val="en-US" w:eastAsia="zh-CN"/>
              </w:rPr>
              <w:t>磨边机参数核算</w:t>
            </w:r>
            <w:r>
              <w:rPr>
                <w:rFonts w:hint="default" w:ascii="Times New Roman" w:hAnsi="Times New Roman" w:cs="Times New Roman"/>
                <w:bCs/>
                <w:color w:val="auto"/>
                <w:sz w:val="24"/>
                <w:szCs w:val="24"/>
                <w:highlight w:val="none"/>
              </w:rPr>
              <w:t>，本项目磨边工序用水量约为</w:t>
            </w:r>
            <w:r>
              <w:rPr>
                <w:rFonts w:hint="default" w:ascii="Times New Roman" w:hAnsi="Times New Roman" w:cs="Times New Roman"/>
                <w:bCs/>
                <w:color w:val="auto"/>
                <w:sz w:val="24"/>
                <w:szCs w:val="24"/>
                <w:highlight w:val="none"/>
                <w:lang w:val="en-US" w:eastAsia="zh-CN"/>
              </w:rPr>
              <w:t>363480</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1211.6m³/d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损耗系数取0.57%，</w:t>
            </w:r>
            <w:r>
              <w:rPr>
                <w:rFonts w:hint="default" w:ascii="Times New Roman" w:hAnsi="Times New Roman" w:cs="Times New Roman"/>
                <w:bCs/>
                <w:color w:val="auto"/>
                <w:sz w:val="24"/>
                <w:szCs w:val="24"/>
                <w:highlight w:val="none"/>
              </w:rPr>
              <w:t>则磨边</w:t>
            </w:r>
            <w:r>
              <w:rPr>
                <w:rFonts w:hint="default" w:ascii="Times New Roman" w:hAnsi="Times New Roman" w:cs="Times New Roman"/>
                <w:bCs/>
                <w:color w:val="auto"/>
                <w:sz w:val="24"/>
                <w:szCs w:val="24"/>
                <w:highlight w:val="none"/>
                <w:lang w:val="en-US" w:eastAsia="zh-CN"/>
              </w:rPr>
              <w:t>废水</w:t>
            </w:r>
            <w:r>
              <w:rPr>
                <w:rFonts w:hint="default" w:ascii="Times New Roman" w:hAnsi="Times New Roman" w:cs="Times New Roman"/>
                <w:bCs/>
                <w:color w:val="auto"/>
                <w:sz w:val="24"/>
                <w:szCs w:val="24"/>
                <w:highlight w:val="none"/>
              </w:rPr>
              <w:t>产生量为</w:t>
            </w:r>
            <w:r>
              <w:rPr>
                <w:rFonts w:hint="default" w:ascii="Times New Roman" w:hAnsi="Times New Roman" w:cs="Times New Roman"/>
                <w:bCs/>
                <w:color w:val="auto"/>
                <w:sz w:val="24"/>
                <w:szCs w:val="24"/>
                <w:highlight w:val="none"/>
                <w:lang w:val="en-US" w:eastAsia="zh-CN"/>
              </w:rPr>
              <w:t>361392</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1204.64m³/d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在沉淀池沉淀后经由一套“物化混凝沉淀”废水</w:t>
            </w:r>
            <w:r>
              <w:rPr>
                <w:rFonts w:hint="default" w:ascii="Times New Roman" w:hAnsi="Times New Roman" w:cs="Times New Roman"/>
                <w:bCs/>
                <w:color w:val="auto"/>
                <w:sz w:val="24"/>
                <w:szCs w:val="24"/>
                <w:highlight w:val="none"/>
              </w:rPr>
              <w:t>处理设施处理</w:t>
            </w:r>
            <w:r>
              <w:rPr>
                <w:rFonts w:hint="default" w:ascii="Times New Roman" w:hAnsi="Times New Roman" w:cs="Times New Roman"/>
                <w:bCs/>
                <w:color w:val="auto"/>
                <w:sz w:val="24"/>
                <w:szCs w:val="24"/>
                <w:highlight w:val="none"/>
                <w:lang w:val="en-US" w:eastAsia="zh-CN"/>
              </w:rPr>
              <w:t>后</w:t>
            </w:r>
            <w:r>
              <w:rPr>
                <w:rFonts w:hint="default" w:ascii="Times New Roman" w:hAnsi="Times New Roman" w:cs="Times New Roman"/>
                <w:bCs/>
                <w:color w:val="auto"/>
                <w:sz w:val="24"/>
                <w:szCs w:val="24"/>
                <w:highlight w:val="none"/>
              </w:rPr>
              <w:t>回用，</w:t>
            </w:r>
            <w:r>
              <w:rPr>
                <w:rFonts w:hint="default" w:ascii="Times New Roman" w:hAnsi="Times New Roman" w:cs="Times New Roman"/>
                <w:bCs/>
                <w:color w:val="auto"/>
                <w:sz w:val="24"/>
                <w:szCs w:val="24"/>
                <w:highlight w:val="none"/>
                <w:lang w:val="en-US" w:eastAsia="zh-CN"/>
              </w:rPr>
              <w:t>损耗部分定期补充（11.6m³/d）</w:t>
            </w:r>
            <w:r>
              <w:rPr>
                <w:rFonts w:hint="default" w:ascii="Times New Roman" w:hAnsi="Times New Roman" w:cs="Times New Roman"/>
                <w:bCs/>
                <w:color w:val="auto"/>
                <w:sz w:val="24"/>
                <w:szCs w:val="24"/>
                <w:highlight w:val="none"/>
              </w:rPr>
              <w:t>。</w:t>
            </w:r>
          </w:p>
          <w:p w14:paraId="2E7BB9EA">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b.打孔用水</w:t>
            </w:r>
          </w:p>
          <w:p w14:paraId="2B084766">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本项目</w:t>
            </w:r>
            <w:r>
              <w:rPr>
                <w:rFonts w:hint="default" w:ascii="Times New Roman" w:hAnsi="Times New Roman" w:cs="Times New Roman"/>
                <w:bCs/>
                <w:color w:val="auto"/>
                <w:sz w:val="24"/>
                <w:szCs w:val="24"/>
                <w:highlight w:val="none"/>
                <w:lang w:val="en-US" w:eastAsia="zh-CN"/>
              </w:rPr>
              <w:t>打孔采取湿法作业</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打孔部位用少量纯水</w:t>
            </w:r>
            <w:r>
              <w:rPr>
                <w:rFonts w:hint="eastAsia" w:ascii="Times New Roman" w:hAnsi="Times New Roman" w:cs="Times New Roman"/>
                <w:bCs/>
                <w:color w:val="auto"/>
                <w:sz w:val="24"/>
                <w:szCs w:val="24"/>
                <w:highlight w:val="none"/>
                <w:lang w:val="en-US" w:eastAsia="zh-CN"/>
              </w:rPr>
              <w:t>人工喷水</w:t>
            </w:r>
            <w:r>
              <w:rPr>
                <w:rFonts w:hint="default" w:ascii="Times New Roman" w:hAnsi="Times New Roman" w:cs="Times New Roman"/>
                <w:bCs/>
                <w:color w:val="auto"/>
                <w:sz w:val="24"/>
                <w:szCs w:val="24"/>
                <w:highlight w:val="none"/>
                <w:lang w:val="en-US" w:eastAsia="zh-CN"/>
              </w:rPr>
              <w:t>润湿</w:t>
            </w:r>
            <w:r>
              <w:rPr>
                <w:rFonts w:hint="default" w:ascii="Times New Roman" w:hAnsi="Times New Roman" w:cs="Times New Roman"/>
                <w:bCs/>
                <w:color w:val="auto"/>
                <w:sz w:val="24"/>
                <w:szCs w:val="24"/>
                <w:highlight w:val="none"/>
              </w:rPr>
              <w:t>。根据建设单位提供</w:t>
            </w:r>
            <w:r>
              <w:rPr>
                <w:rFonts w:hint="eastAsia" w:ascii="Times New Roman" w:hAnsi="Times New Roman" w:cs="Times New Roman"/>
                <w:bCs/>
                <w:color w:val="auto"/>
                <w:sz w:val="24"/>
                <w:szCs w:val="24"/>
                <w:highlight w:val="none"/>
                <w:lang w:val="en-US" w:eastAsia="zh-CN"/>
              </w:rPr>
              <w:t>资料</w:t>
            </w:r>
            <w:r>
              <w:rPr>
                <w:rFonts w:hint="default" w:ascii="Times New Roman" w:hAnsi="Times New Roman" w:cs="Times New Roman"/>
                <w:bCs/>
                <w:color w:val="auto"/>
                <w:sz w:val="24"/>
                <w:szCs w:val="24"/>
                <w:highlight w:val="none"/>
              </w:rPr>
              <w:t>，本项目</w:t>
            </w:r>
            <w:r>
              <w:rPr>
                <w:rFonts w:hint="default" w:ascii="Times New Roman" w:hAnsi="Times New Roman" w:cs="Times New Roman"/>
                <w:bCs/>
                <w:color w:val="auto"/>
                <w:sz w:val="24"/>
                <w:szCs w:val="24"/>
                <w:highlight w:val="none"/>
                <w:lang w:val="en-US" w:eastAsia="zh-CN"/>
              </w:rPr>
              <w:t>打孔</w:t>
            </w:r>
            <w:r>
              <w:rPr>
                <w:rFonts w:hint="default" w:ascii="Times New Roman" w:hAnsi="Times New Roman" w:cs="Times New Roman"/>
                <w:bCs/>
                <w:color w:val="auto"/>
                <w:sz w:val="24"/>
                <w:szCs w:val="24"/>
                <w:highlight w:val="none"/>
              </w:rPr>
              <w:t>工序用水量约为</w:t>
            </w:r>
            <w:r>
              <w:rPr>
                <w:rFonts w:hint="default" w:ascii="Times New Roman" w:hAnsi="Times New Roman" w:cs="Times New Roman"/>
                <w:bCs/>
                <w:color w:val="auto"/>
                <w:sz w:val="24"/>
                <w:szCs w:val="24"/>
                <w:highlight w:val="none"/>
                <w:lang w:val="en-US" w:eastAsia="zh-CN"/>
              </w:rPr>
              <w:t>3</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0.01m³/d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在生产过程中全部损耗</w:t>
            </w:r>
            <w:r>
              <w:rPr>
                <w:rFonts w:hint="default" w:ascii="Times New Roman" w:hAnsi="Times New Roman" w:cs="Times New Roman"/>
                <w:bCs/>
                <w:color w:val="auto"/>
                <w:sz w:val="24"/>
                <w:szCs w:val="24"/>
                <w:highlight w:val="none"/>
              </w:rPr>
              <w:t>。</w:t>
            </w:r>
          </w:p>
          <w:p w14:paraId="1EF916FC">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c.倒角用水</w:t>
            </w:r>
          </w:p>
          <w:p w14:paraId="7829C532">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本项目</w:t>
            </w:r>
            <w:r>
              <w:rPr>
                <w:rFonts w:hint="default" w:ascii="Times New Roman" w:hAnsi="Times New Roman" w:cs="Times New Roman"/>
                <w:bCs/>
                <w:color w:val="auto"/>
                <w:sz w:val="24"/>
                <w:szCs w:val="24"/>
                <w:highlight w:val="none"/>
                <w:lang w:val="en-US" w:eastAsia="zh-CN"/>
              </w:rPr>
              <w:t>倒角采取湿法作业</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倒角部位用少量纯水</w:t>
            </w:r>
            <w:r>
              <w:rPr>
                <w:rFonts w:hint="eastAsia" w:ascii="Times New Roman" w:hAnsi="Times New Roman" w:cs="Times New Roman"/>
                <w:bCs/>
                <w:color w:val="auto"/>
                <w:sz w:val="24"/>
                <w:szCs w:val="24"/>
                <w:highlight w:val="none"/>
                <w:lang w:val="en-US" w:eastAsia="zh-CN"/>
              </w:rPr>
              <w:t>人工喷水</w:t>
            </w:r>
            <w:r>
              <w:rPr>
                <w:rFonts w:hint="default" w:ascii="Times New Roman" w:hAnsi="Times New Roman" w:cs="Times New Roman"/>
                <w:bCs/>
                <w:color w:val="auto"/>
                <w:sz w:val="24"/>
                <w:szCs w:val="24"/>
                <w:highlight w:val="none"/>
                <w:lang w:val="en-US" w:eastAsia="zh-CN"/>
              </w:rPr>
              <w:t>润湿</w:t>
            </w:r>
            <w:r>
              <w:rPr>
                <w:rFonts w:hint="default" w:ascii="Times New Roman" w:hAnsi="Times New Roman" w:cs="Times New Roman"/>
                <w:bCs/>
                <w:color w:val="auto"/>
                <w:sz w:val="24"/>
                <w:szCs w:val="24"/>
                <w:highlight w:val="none"/>
              </w:rPr>
              <w:t>。根据建设单位提供</w:t>
            </w:r>
            <w:r>
              <w:rPr>
                <w:rFonts w:hint="eastAsia" w:ascii="Times New Roman" w:hAnsi="Times New Roman" w:cs="Times New Roman"/>
                <w:bCs/>
                <w:color w:val="auto"/>
                <w:sz w:val="24"/>
                <w:szCs w:val="24"/>
                <w:highlight w:val="none"/>
                <w:lang w:val="en-US" w:eastAsia="zh-CN"/>
              </w:rPr>
              <w:t>资料</w:t>
            </w:r>
            <w:r>
              <w:rPr>
                <w:rFonts w:hint="default" w:ascii="Times New Roman" w:hAnsi="Times New Roman" w:cs="Times New Roman"/>
                <w:bCs/>
                <w:color w:val="auto"/>
                <w:sz w:val="24"/>
                <w:szCs w:val="24"/>
                <w:highlight w:val="none"/>
              </w:rPr>
              <w:t>，本项目</w:t>
            </w:r>
            <w:r>
              <w:rPr>
                <w:rFonts w:hint="default" w:ascii="Times New Roman" w:hAnsi="Times New Roman" w:cs="Times New Roman"/>
                <w:bCs/>
                <w:color w:val="auto"/>
                <w:sz w:val="24"/>
                <w:szCs w:val="24"/>
                <w:highlight w:val="none"/>
                <w:lang w:val="en-US" w:eastAsia="zh-CN"/>
              </w:rPr>
              <w:t>倒角</w:t>
            </w:r>
            <w:r>
              <w:rPr>
                <w:rFonts w:hint="default" w:ascii="Times New Roman" w:hAnsi="Times New Roman" w:cs="Times New Roman"/>
                <w:bCs/>
                <w:color w:val="auto"/>
                <w:sz w:val="24"/>
                <w:szCs w:val="24"/>
                <w:highlight w:val="none"/>
              </w:rPr>
              <w:t>工序用水量约为</w:t>
            </w:r>
            <w:r>
              <w:rPr>
                <w:rFonts w:hint="default" w:ascii="Times New Roman" w:hAnsi="Times New Roman" w:cs="Times New Roman"/>
                <w:bCs/>
                <w:color w:val="auto"/>
                <w:sz w:val="24"/>
                <w:szCs w:val="24"/>
                <w:highlight w:val="none"/>
                <w:lang w:val="en-US" w:eastAsia="zh-CN"/>
              </w:rPr>
              <w:t>3</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0.01m³/d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在生产过程中全部损耗</w:t>
            </w:r>
            <w:r>
              <w:rPr>
                <w:rFonts w:hint="default" w:ascii="Times New Roman" w:hAnsi="Times New Roman" w:cs="Times New Roman"/>
                <w:bCs/>
                <w:color w:val="auto"/>
                <w:sz w:val="24"/>
                <w:szCs w:val="24"/>
                <w:highlight w:val="none"/>
              </w:rPr>
              <w:t>。</w:t>
            </w:r>
          </w:p>
          <w:p w14:paraId="2D1DED12">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d.清洗废水</w:t>
            </w:r>
          </w:p>
          <w:p w14:paraId="418F42ED">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本项目清洗机参数见下表：</w:t>
            </w:r>
          </w:p>
          <w:p w14:paraId="00118FC6">
            <w:pPr>
              <w:spacing w:line="440" w:lineRule="exact"/>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表2-</w:t>
            </w:r>
            <w:r>
              <w:rPr>
                <w:rFonts w:hint="default" w:ascii="Times New Roman" w:hAnsi="Times New Roman" w:eastAsia="黑体" w:cs="Times New Roman"/>
                <w:color w:val="auto"/>
                <w:sz w:val="24"/>
                <w:szCs w:val="24"/>
                <w:highlight w:val="none"/>
                <w:lang w:val="en-US" w:eastAsia="zh-CN"/>
              </w:rPr>
              <w:t>8</w:t>
            </w:r>
            <w:r>
              <w:rPr>
                <w:rFonts w:hint="default" w:ascii="Times New Roman" w:hAnsi="Times New Roman" w:eastAsia="黑体" w:cs="Times New Roman"/>
                <w:color w:val="auto"/>
                <w:sz w:val="24"/>
                <w:szCs w:val="24"/>
                <w:highlight w:val="none"/>
              </w:rPr>
              <w:t xml:space="preserve">  </w:t>
            </w:r>
            <w:r>
              <w:rPr>
                <w:rFonts w:hint="default" w:ascii="Times New Roman" w:hAnsi="Times New Roman" w:eastAsia="黑体" w:cs="Times New Roman"/>
                <w:color w:val="auto"/>
                <w:sz w:val="24"/>
                <w:szCs w:val="24"/>
                <w:highlight w:val="none"/>
                <w:lang w:val="en-US" w:eastAsia="zh-CN"/>
              </w:rPr>
              <w:t>清洗机用水量参数</w:t>
            </w:r>
            <w:r>
              <w:rPr>
                <w:rFonts w:hint="default" w:ascii="Times New Roman" w:hAnsi="Times New Roman" w:eastAsia="黑体" w:cs="Times New Roman"/>
                <w:color w:val="auto"/>
                <w:sz w:val="24"/>
                <w:szCs w:val="24"/>
                <w:highlight w:val="none"/>
              </w:rPr>
              <w:t>一览表</w:t>
            </w:r>
          </w:p>
          <w:tbl>
            <w:tblPr>
              <w:tblStyle w:val="20"/>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3503"/>
              <w:gridCol w:w="1894"/>
              <w:gridCol w:w="1758"/>
            </w:tblGrid>
            <w:tr w14:paraId="0C5081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166DA90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序号</w:t>
                  </w:r>
                </w:p>
              </w:tc>
              <w:tc>
                <w:tcPr>
                  <w:tcW w:w="2103" w:type="pct"/>
                  <w:noWrap w:val="0"/>
                  <w:vAlign w:val="center"/>
                </w:tcPr>
                <w:p w14:paraId="06C5C229">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参数名称</w:t>
                  </w:r>
                </w:p>
              </w:tc>
              <w:tc>
                <w:tcPr>
                  <w:tcW w:w="1137" w:type="pct"/>
                  <w:noWrap w:val="0"/>
                  <w:vAlign w:val="center"/>
                </w:tcPr>
                <w:p w14:paraId="799B10F5">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单位</w:t>
                  </w:r>
                </w:p>
              </w:tc>
              <w:tc>
                <w:tcPr>
                  <w:tcW w:w="1055" w:type="pct"/>
                  <w:noWrap w:val="0"/>
                  <w:vAlign w:val="center"/>
                </w:tcPr>
                <w:p w14:paraId="2AF121AF">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数值</w:t>
                  </w:r>
                </w:p>
              </w:tc>
            </w:tr>
            <w:tr w14:paraId="007104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7FB1D587">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w:t>
                  </w:r>
                </w:p>
              </w:tc>
              <w:tc>
                <w:tcPr>
                  <w:tcW w:w="3503" w:type="dxa"/>
                  <w:noWrap w:val="0"/>
                  <w:vAlign w:val="center"/>
                </w:tcPr>
                <w:p w14:paraId="2FB107A6">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喷淋管数量</w:t>
                  </w:r>
                </w:p>
              </w:tc>
              <w:tc>
                <w:tcPr>
                  <w:tcW w:w="1894" w:type="dxa"/>
                  <w:noWrap w:val="0"/>
                  <w:vAlign w:val="center"/>
                </w:tcPr>
                <w:p w14:paraId="5BC65E26">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根/台</w:t>
                  </w:r>
                </w:p>
              </w:tc>
              <w:tc>
                <w:tcPr>
                  <w:tcW w:w="1758" w:type="dxa"/>
                  <w:noWrap w:val="0"/>
                  <w:vAlign w:val="center"/>
                </w:tcPr>
                <w:p w14:paraId="1D29ADAF">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r>
            <w:tr w14:paraId="47233D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10C09DB6">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3503" w:type="dxa"/>
                  <w:noWrap w:val="0"/>
                  <w:vAlign w:val="center"/>
                </w:tcPr>
                <w:p w14:paraId="64E23CFC">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喷头数量</w:t>
                  </w:r>
                </w:p>
              </w:tc>
              <w:tc>
                <w:tcPr>
                  <w:tcW w:w="1894" w:type="dxa"/>
                  <w:noWrap w:val="0"/>
                  <w:vAlign w:val="center"/>
                </w:tcPr>
                <w:p w14:paraId="10265168">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个/台</w:t>
                  </w:r>
                </w:p>
              </w:tc>
              <w:tc>
                <w:tcPr>
                  <w:tcW w:w="1758" w:type="dxa"/>
                  <w:noWrap w:val="0"/>
                  <w:vAlign w:val="center"/>
                </w:tcPr>
                <w:p w14:paraId="30B3402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24</w:t>
                  </w:r>
                </w:p>
              </w:tc>
            </w:tr>
            <w:tr w14:paraId="379FA7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795CBD2A">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w:t>
                  </w:r>
                </w:p>
              </w:tc>
              <w:tc>
                <w:tcPr>
                  <w:tcW w:w="3503" w:type="dxa"/>
                  <w:noWrap w:val="0"/>
                  <w:vAlign w:val="center"/>
                </w:tcPr>
                <w:p w14:paraId="0F01D97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单喷头流量</w:t>
                  </w:r>
                </w:p>
              </w:tc>
              <w:tc>
                <w:tcPr>
                  <w:tcW w:w="1894" w:type="dxa"/>
                  <w:noWrap w:val="0"/>
                  <w:vAlign w:val="center"/>
                </w:tcPr>
                <w:p w14:paraId="63F745CE">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L/min</w:t>
                  </w:r>
                </w:p>
              </w:tc>
              <w:tc>
                <w:tcPr>
                  <w:tcW w:w="1758" w:type="dxa"/>
                  <w:noWrap w:val="0"/>
                  <w:vAlign w:val="center"/>
                </w:tcPr>
                <w:p w14:paraId="35FE993C">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0.81</w:t>
                  </w:r>
                </w:p>
              </w:tc>
            </w:tr>
            <w:tr w14:paraId="0B3340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569C4259">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3503" w:type="dxa"/>
                  <w:noWrap w:val="0"/>
                  <w:vAlign w:val="center"/>
                </w:tcPr>
                <w:p w14:paraId="7B4F4785">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喷淋母管尺寸</w:t>
                  </w:r>
                </w:p>
              </w:tc>
              <w:tc>
                <w:tcPr>
                  <w:tcW w:w="1894" w:type="dxa"/>
                  <w:noWrap w:val="0"/>
                  <w:vAlign w:val="center"/>
                </w:tcPr>
                <w:p w14:paraId="79E5290F">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mm</w:t>
                  </w:r>
                </w:p>
              </w:tc>
              <w:tc>
                <w:tcPr>
                  <w:tcW w:w="1758" w:type="dxa"/>
                  <w:noWrap w:val="0"/>
                  <w:vAlign w:val="center"/>
                </w:tcPr>
                <w:p w14:paraId="446D5839">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dn25×2.8</w:t>
                  </w:r>
                </w:p>
              </w:tc>
            </w:tr>
            <w:tr w14:paraId="3606CF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4109CB54">
                  <w:pPr>
                    <w:adjustRightInd w:val="0"/>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w:t>
                  </w:r>
                </w:p>
              </w:tc>
              <w:tc>
                <w:tcPr>
                  <w:tcW w:w="3503" w:type="dxa"/>
                  <w:noWrap w:val="0"/>
                  <w:vAlign w:val="center"/>
                </w:tcPr>
                <w:p w14:paraId="21253E3F">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母管流速</w:t>
                  </w:r>
                </w:p>
              </w:tc>
              <w:tc>
                <w:tcPr>
                  <w:tcW w:w="1894" w:type="dxa"/>
                  <w:noWrap w:val="0"/>
                  <w:vAlign w:val="center"/>
                </w:tcPr>
                <w:p w14:paraId="00BEEDC9">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m/s</w:t>
                  </w:r>
                </w:p>
              </w:tc>
              <w:tc>
                <w:tcPr>
                  <w:tcW w:w="1758" w:type="dxa"/>
                  <w:noWrap w:val="0"/>
                  <w:vAlign w:val="center"/>
                </w:tcPr>
                <w:p w14:paraId="6BA90BC6">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0.27</w:t>
                  </w:r>
                </w:p>
              </w:tc>
            </w:tr>
            <w:tr w14:paraId="0EE95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785DBE19">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p>
              </w:tc>
              <w:tc>
                <w:tcPr>
                  <w:tcW w:w="3503" w:type="dxa"/>
                  <w:noWrap w:val="0"/>
                  <w:vAlign w:val="center"/>
                </w:tcPr>
                <w:p w14:paraId="074A3CB3">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支管尺寸</w:t>
                  </w:r>
                </w:p>
              </w:tc>
              <w:tc>
                <w:tcPr>
                  <w:tcW w:w="1894" w:type="dxa"/>
                  <w:noWrap w:val="0"/>
                  <w:vAlign w:val="center"/>
                </w:tcPr>
                <w:p w14:paraId="5BDDFBD5">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mm</w:t>
                  </w:r>
                </w:p>
              </w:tc>
              <w:tc>
                <w:tcPr>
                  <w:tcW w:w="1758" w:type="dxa"/>
                  <w:noWrap w:val="0"/>
                  <w:vAlign w:val="center"/>
                </w:tcPr>
                <w:p w14:paraId="04E09FB5">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dn20×2.3</w:t>
                  </w:r>
                </w:p>
              </w:tc>
            </w:tr>
            <w:tr w14:paraId="0CE498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5426C95A">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w:t>
                  </w:r>
                </w:p>
              </w:tc>
              <w:tc>
                <w:tcPr>
                  <w:tcW w:w="3503" w:type="dxa"/>
                  <w:noWrap w:val="0"/>
                  <w:vAlign w:val="center"/>
                </w:tcPr>
                <w:p w14:paraId="329B31D8">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支管流速</w:t>
                  </w:r>
                </w:p>
              </w:tc>
              <w:tc>
                <w:tcPr>
                  <w:tcW w:w="1894" w:type="dxa"/>
                  <w:noWrap w:val="0"/>
                  <w:vAlign w:val="center"/>
                </w:tcPr>
                <w:p w14:paraId="04E697B8">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m/s</w:t>
                  </w:r>
                </w:p>
              </w:tc>
              <w:tc>
                <w:tcPr>
                  <w:tcW w:w="1758" w:type="dxa"/>
                  <w:noWrap w:val="0"/>
                  <w:vAlign w:val="center"/>
                </w:tcPr>
                <w:p w14:paraId="7DFD0CA2">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0.10</w:t>
                  </w:r>
                </w:p>
              </w:tc>
            </w:tr>
            <w:tr w14:paraId="74D2D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5A02288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w:t>
                  </w:r>
                </w:p>
              </w:tc>
              <w:tc>
                <w:tcPr>
                  <w:tcW w:w="3503" w:type="dxa"/>
                  <w:noWrap w:val="0"/>
                  <w:vAlign w:val="center"/>
                </w:tcPr>
                <w:p w14:paraId="35D0AC9E">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喷头出口孔径</w:t>
                  </w:r>
                </w:p>
              </w:tc>
              <w:tc>
                <w:tcPr>
                  <w:tcW w:w="1894" w:type="dxa"/>
                  <w:noWrap w:val="0"/>
                  <w:vAlign w:val="center"/>
                </w:tcPr>
                <w:p w14:paraId="4B2DEC5D">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mm</w:t>
                  </w:r>
                </w:p>
              </w:tc>
              <w:tc>
                <w:tcPr>
                  <w:tcW w:w="1758" w:type="dxa"/>
                  <w:noWrap w:val="0"/>
                  <w:vAlign w:val="center"/>
                </w:tcPr>
                <w:p w14:paraId="628E6E1E">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Φ2</w:t>
                  </w:r>
                </w:p>
              </w:tc>
            </w:tr>
            <w:tr w14:paraId="18EB79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263B4363">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w:t>
                  </w:r>
                </w:p>
              </w:tc>
              <w:tc>
                <w:tcPr>
                  <w:tcW w:w="3503" w:type="dxa"/>
                  <w:noWrap w:val="0"/>
                  <w:vAlign w:val="center"/>
                </w:tcPr>
                <w:p w14:paraId="31CE456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喷头出口流速</w:t>
                  </w:r>
                </w:p>
              </w:tc>
              <w:tc>
                <w:tcPr>
                  <w:tcW w:w="1894" w:type="dxa"/>
                  <w:noWrap w:val="0"/>
                  <w:vAlign w:val="center"/>
                </w:tcPr>
                <w:p w14:paraId="523F6CAA">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m/s</w:t>
                  </w:r>
                </w:p>
              </w:tc>
              <w:tc>
                <w:tcPr>
                  <w:tcW w:w="1758" w:type="dxa"/>
                  <w:noWrap w:val="0"/>
                  <w:vAlign w:val="center"/>
                </w:tcPr>
                <w:p w14:paraId="2DF0ED7A">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r>
            <w:tr w14:paraId="381CB8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11147249">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p>
              </w:tc>
              <w:tc>
                <w:tcPr>
                  <w:tcW w:w="3503" w:type="dxa"/>
                  <w:noWrap w:val="0"/>
                  <w:vAlign w:val="center"/>
                </w:tcPr>
                <w:p w14:paraId="375F1AEC">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供水压力</w:t>
                  </w:r>
                </w:p>
              </w:tc>
              <w:tc>
                <w:tcPr>
                  <w:tcW w:w="1894" w:type="dxa"/>
                  <w:noWrap w:val="0"/>
                  <w:vAlign w:val="center"/>
                </w:tcPr>
                <w:p w14:paraId="7ED703A0">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bar</w:t>
                  </w:r>
                </w:p>
              </w:tc>
              <w:tc>
                <w:tcPr>
                  <w:tcW w:w="1758" w:type="dxa"/>
                  <w:noWrap w:val="0"/>
                  <w:vAlign w:val="center"/>
                </w:tcPr>
                <w:p w14:paraId="2624E881">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r>
            <w:tr w14:paraId="2A3492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46FE4283">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11</w:t>
                  </w:r>
                </w:p>
              </w:tc>
              <w:tc>
                <w:tcPr>
                  <w:tcW w:w="3503" w:type="dxa"/>
                  <w:noWrap w:val="0"/>
                  <w:vAlign w:val="center"/>
                </w:tcPr>
                <w:p w14:paraId="641524A1">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清洗机数量</w:t>
                  </w:r>
                </w:p>
              </w:tc>
              <w:tc>
                <w:tcPr>
                  <w:tcW w:w="1894" w:type="dxa"/>
                  <w:noWrap w:val="0"/>
                  <w:vAlign w:val="center"/>
                </w:tcPr>
                <w:p w14:paraId="755598C4">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台</w:t>
                  </w:r>
                </w:p>
              </w:tc>
              <w:tc>
                <w:tcPr>
                  <w:tcW w:w="1758" w:type="dxa"/>
                  <w:noWrap w:val="0"/>
                  <w:vAlign w:val="center"/>
                </w:tcPr>
                <w:p w14:paraId="2886C42E">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r>
            <w:tr w14:paraId="364FB5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47C889F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w:t>
                  </w:r>
                </w:p>
              </w:tc>
              <w:tc>
                <w:tcPr>
                  <w:tcW w:w="3503" w:type="dxa"/>
                  <w:noWrap w:val="0"/>
                  <w:vAlign w:val="center"/>
                </w:tcPr>
                <w:p w14:paraId="6D690A9F">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年工作时间</w:t>
                  </w:r>
                </w:p>
              </w:tc>
              <w:tc>
                <w:tcPr>
                  <w:tcW w:w="1894" w:type="dxa"/>
                  <w:noWrap w:val="0"/>
                  <w:vAlign w:val="center"/>
                </w:tcPr>
                <w:p w14:paraId="59C1C584">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h/a</w:t>
                  </w:r>
                </w:p>
              </w:tc>
              <w:tc>
                <w:tcPr>
                  <w:tcW w:w="1758" w:type="dxa"/>
                  <w:noWrap w:val="0"/>
                  <w:vAlign w:val="center"/>
                </w:tcPr>
                <w:p w14:paraId="0072F8B7">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7200</w:t>
                  </w:r>
                </w:p>
              </w:tc>
            </w:tr>
            <w:tr w14:paraId="51F02B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noWrap w:val="0"/>
                  <w:vAlign w:val="center"/>
                </w:tcPr>
                <w:p w14:paraId="1AC44506">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w:t>
                  </w:r>
                </w:p>
              </w:tc>
              <w:tc>
                <w:tcPr>
                  <w:tcW w:w="3503" w:type="dxa"/>
                  <w:noWrap w:val="0"/>
                  <w:vAlign w:val="center"/>
                </w:tcPr>
                <w:p w14:paraId="504A2984">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单台用水量</w:t>
                  </w:r>
                </w:p>
              </w:tc>
              <w:tc>
                <w:tcPr>
                  <w:tcW w:w="1894" w:type="dxa"/>
                  <w:noWrap w:val="0"/>
                  <w:vAlign w:val="center"/>
                </w:tcPr>
                <w:p w14:paraId="08F9FB85">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m³/</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台·h</w:t>
                  </w:r>
                  <w:r>
                    <w:rPr>
                      <w:rFonts w:hint="eastAsia" w:ascii="Times New Roman" w:hAnsi="Times New Roman" w:cs="Times New Roman"/>
                      <w:color w:val="auto"/>
                      <w:szCs w:val="21"/>
                      <w:highlight w:val="none"/>
                      <w:lang w:val="en-US" w:eastAsia="zh-CN"/>
                    </w:rPr>
                    <w:t>）</w:t>
                  </w:r>
                </w:p>
              </w:tc>
              <w:tc>
                <w:tcPr>
                  <w:tcW w:w="1758" w:type="dxa"/>
                  <w:noWrap w:val="0"/>
                  <w:vAlign w:val="center"/>
                </w:tcPr>
                <w:p w14:paraId="0CA7F898">
                  <w:pPr>
                    <w:adjustRightInd w:val="0"/>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1.16</w:t>
                  </w:r>
                </w:p>
              </w:tc>
            </w:tr>
          </w:tbl>
          <w:p w14:paraId="476D75D1">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根据上表参数核算</w:t>
            </w:r>
            <w:r>
              <w:rPr>
                <w:rFonts w:hint="default" w:ascii="Times New Roman" w:hAnsi="Times New Roman" w:cs="Times New Roman"/>
                <w:bCs/>
                <w:color w:val="auto"/>
                <w:sz w:val="24"/>
                <w:szCs w:val="24"/>
                <w:highlight w:val="none"/>
              </w:rPr>
              <w:t>，</w:t>
            </w:r>
            <w:r>
              <w:rPr>
                <w:rFonts w:hint="eastAsia" w:ascii="Times New Roman" w:hAnsi="Times New Roman" w:cs="Times New Roman"/>
                <w:bCs/>
                <w:color w:val="auto"/>
                <w:sz w:val="24"/>
                <w:szCs w:val="24"/>
                <w:highlight w:val="none"/>
                <w:lang w:val="en-US" w:eastAsia="zh-CN"/>
              </w:rPr>
              <w:t>本项目所有清洗</w:t>
            </w:r>
            <w:r>
              <w:rPr>
                <w:rFonts w:hint="default" w:ascii="Times New Roman" w:hAnsi="Times New Roman" w:cs="Times New Roman"/>
                <w:bCs/>
                <w:color w:val="auto"/>
                <w:sz w:val="24"/>
                <w:szCs w:val="24"/>
                <w:highlight w:val="none"/>
              </w:rPr>
              <w:t>工序用水量约为</w:t>
            </w:r>
            <w:r>
              <w:rPr>
                <w:rFonts w:hint="eastAsia" w:ascii="Times New Roman" w:hAnsi="Times New Roman" w:cs="Times New Roman"/>
                <w:bCs/>
                <w:color w:val="auto"/>
                <w:sz w:val="24"/>
                <w:szCs w:val="24"/>
                <w:highlight w:val="none"/>
                <w:lang w:val="en-US" w:eastAsia="zh-CN"/>
              </w:rPr>
              <w:t>41760</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139.2</w:t>
            </w:r>
            <w:r>
              <w:rPr>
                <w:rFonts w:hint="default" w:ascii="Times New Roman" w:hAnsi="Times New Roman" w:cs="Times New Roman"/>
                <w:bCs/>
                <w:color w:val="auto"/>
                <w:sz w:val="24"/>
                <w:szCs w:val="24"/>
                <w:highlight w:val="none"/>
                <w:lang w:val="en-US" w:eastAsia="zh-CN"/>
              </w:rPr>
              <w:t>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损耗系数取</w:t>
            </w:r>
            <w:r>
              <w:rPr>
                <w:rFonts w:hint="eastAsia" w:ascii="Times New Roman" w:hAnsi="Times New Roman" w:cs="Times New Roman"/>
                <w:bCs/>
                <w:color w:val="auto"/>
                <w:sz w:val="24"/>
                <w:szCs w:val="24"/>
                <w:highlight w:val="none"/>
                <w:lang w:val="en-US" w:eastAsia="zh-CN"/>
              </w:rPr>
              <w:t>11</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rPr>
              <w:t>则</w:t>
            </w:r>
            <w:r>
              <w:rPr>
                <w:rFonts w:hint="eastAsia" w:ascii="Times New Roman" w:hAnsi="Times New Roman" w:cs="Times New Roman"/>
                <w:bCs/>
                <w:color w:val="auto"/>
                <w:sz w:val="24"/>
                <w:szCs w:val="24"/>
                <w:highlight w:val="none"/>
                <w:lang w:val="en-US" w:eastAsia="zh-CN"/>
              </w:rPr>
              <w:t>清洗</w:t>
            </w:r>
            <w:r>
              <w:rPr>
                <w:rFonts w:hint="default" w:ascii="Times New Roman" w:hAnsi="Times New Roman" w:cs="Times New Roman"/>
                <w:bCs/>
                <w:color w:val="auto"/>
                <w:sz w:val="24"/>
                <w:szCs w:val="24"/>
                <w:highlight w:val="none"/>
                <w:lang w:val="en-US" w:eastAsia="zh-CN"/>
              </w:rPr>
              <w:t>废水</w:t>
            </w:r>
            <w:r>
              <w:rPr>
                <w:rFonts w:hint="default" w:ascii="Times New Roman" w:hAnsi="Times New Roman" w:cs="Times New Roman"/>
                <w:bCs/>
                <w:color w:val="auto"/>
                <w:sz w:val="24"/>
                <w:szCs w:val="24"/>
                <w:highlight w:val="none"/>
              </w:rPr>
              <w:t>产生量为</w:t>
            </w:r>
            <w:r>
              <w:rPr>
                <w:rFonts w:hint="eastAsia" w:ascii="Times New Roman" w:hAnsi="Times New Roman" w:cs="Times New Roman"/>
                <w:bCs/>
                <w:color w:val="auto"/>
                <w:sz w:val="24"/>
                <w:szCs w:val="24"/>
                <w:highlight w:val="none"/>
                <w:lang w:val="en-US" w:eastAsia="zh-CN"/>
              </w:rPr>
              <w:t>37152</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123.84</w:t>
            </w:r>
            <w:r>
              <w:rPr>
                <w:rFonts w:hint="default" w:ascii="Times New Roman" w:hAnsi="Times New Roman" w:cs="Times New Roman"/>
                <w:bCs/>
                <w:color w:val="auto"/>
                <w:sz w:val="24"/>
                <w:szCs w:val="24"/>
                <w:highlight w:val="none"/>
                <w:lang w:val="en-US" w:eastAsia="zh-CN"/>
              </w:rPr>
              <w:t>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，清洗废水</w:t>
            </w:r>
            <w:r>
              <w:rPr>
                <w:rFonts w:hint="default" w:ascii="Times New Roman" w:hAnsi="Times New Roman" w:cs="Times New Roman"/>
                <w:bCs/>
                <w:color w:val="auto"/>
                <w:sz w:val="24"/>
                <w:szCs w:val="24"/>
                <w:highlight w:val="none"/>
                <w:lang w:val="en-US" w:eastAsia="zh-CN"/>
              </w:rPr>
              <w:t>在沉淀池沉淀后经由一套“</w:t>
            </w:r>
            <w:r>
              <w:rPr>
                <w:rFonts w:hint="eastAsia" w:ascii="Times New Roman" w:hAnsi="Times New Roman" w:cs="Times New Roman"/>
                <w:bCs/>
                <w:color w:val="auto"/>
                <w:sz w:val="24"/>
                <w:szCs w:val="24"/>
                <w:highlight w:val="none"/>
                <w:lang w:val="en-US" w:eastAsia="zh-CN"/>
              </w:rPr>
              <w:t>反渗透+RO</w:t>
            </w:r>
            <w:r>
              <w:rPr>
                <w:rFonts w:hint="default" w:ascii="Times New Roman" w:hAnsi="Times New Roman" w:cs="Times New Roman"/>
                <w:bCs/>
                <w:color w:val="auto"/>
                <w:sz w:val="24"/>
                <w:szCs w:val="24"/>
                <w:highlight w:val="none"/>
                <w:lang w:val="en-US" w:eastAsia="zh-CN"/>
              </w:rPr>
              <w:t>”废水</w:t>
            </w:r>
            <w:r>
              <w:rPr>
                <w:rFonts w:hint="default" w:ascii="Times New Roman" w:hAnsi="Times New Roman" w:cs="Times New Roman"/>
                <w:bCs/>
                <w:color w:val="auto"/>
                <w:sz w:val="24"/>
                <w:szCs w:val="24"/>
                <w:highlight w:val="none"/>
              </w:rPr>
              <w:t>处理设施处理</w:t>
            </w:r>
            <w:r>
              <w:rPr>
                <w:rFonts w:hint="default" w:ascii="Times New Roman" w:hAnsi="Times New Roman" w:cs="Times New Roman"/>
                <w:bCs/>
                <w:color w:val="auto"/>
                <w:sz w:val="24"/>
                <w:szCs w:val="24"/>
                <w:highlight w:val="none"/>
                <w:lang w:val="en-US" w:eastAsia="zh-CN"/>
              </w:rPr>
              <w:t>后</w:t>
            </w:r>
            <w:r>
              <w:rPr>
                <w:rFonts w:hint="default" w:ascii="Times New Roman" w:hAnsi="Times New Roman" w:cs="Times New Roman"/>
                <w:bCs/>
                <w:color w:val="auto"/>
                <w:sz w:val="24"/>
                <w:szCs w:val="24"/>
                <w:highlight w:val="none"/>
              </w:rPr>
              <w:t>回用</w:t>
            </w:r>
            <w:r>
              <w:rPr>
                <w:rFonts w:hint="default" w:ascii="Times New Roman" w:hAnsi="Times New Roman" w:cs="Times New Roman"/>
                <w:bCs/>
                <w:color w:val="auto"/>
                <w:sz w:val="24"/>
                <w:szCs w:val="24"/>
                <w:highlight w:val="none"/>
                <w:lang w:val="en-US" w:eastAsia="zh-CN"/>
              </w:rPr>
              <w:t>至清洗工序</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损耗部分定期补充（</w:t>
            </w:r>
            <w:r>
              <w:rPr>
                <w:rFonts w:hint="eastAsia" w:ascii="Times New Roman" w:hAnsi="Times New Roman" w:cs="Times New Roman"/>
                <w:bCs/>
                <w:color w:val="auto"/>
                <w:sz w:val="24"/>
                <w:szCs w:val="24"/>
                <w:highlight w:val="none"/>
                <w:lang w:val="en-US" w:eastAsia="zh-CN"/>
              </w:rPr>
              <w:t>19.2</w:t>
            </w:r>
            <w:r>
              <w:rPr>
                <w:rFonts w:hint="default" w:ascii="Times New Roman" w:hAnsi="Times New Roman" w:cs="Times New Roman"/>
                <w:bCs/>
                <w:color w:val="auto"/>
                <w:sz w:val="24"/>
                <w:szCs w:val="24"/>
                <w:highlight w:val="none"/>
                <w:lang w:val="en-US" w:eastAsia="zh-CN"/>
              </w:rPr>
              <w:t>m³/</w:t>
            </w:r>
            <w:r>
              <w:rPr>
                <w:rFonts w:hint="eastAsia" w:ascii="Times New Roman" w:hAnsi="Times New Roman" w:cs="Times New Roman"/>
                <w:bCs/>
                <w:color w:val="auto"/>
                <w:sz w:val="24"/>
                <w:szCs w:val="24"/>
                <w:highlight w:val="none"/>
                <w:lang w:val="en-US" w:eastAsia="zh-CN"/>
              </w:rPr>
              <w:t>d</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rPr>
              <w:t>。</w:t>
            </w:r>
            <w:r>
              <w:rPr>
                <w:rFonts w:hint="eastAsia" w:ascii="Times New Roman" w:hAnsi="Times New Roman" w:cs="Times New Roman"/>
                <w:bCs/>
                <w:color w:val="auto"/>
                <w:sz w:val="24"/>
                <w:szCs w:val="24"/>
                <w:highlight w:val="none"/>
                <w:lang w:val="en-US" w:eastAsia="zh-CN"/>
              </w:rPr>
              <w:t>废水处理设施</w:t>
            </w:r>
            <w:r>
              <w:rPr>
                <w:rFonts w:hint="default" w:ascii="Times New Roman" w:hAnsi="Times New Roman" w:cs="Times New Roman"/>
                <w:bCs/>
                <w:color w:val="auto"/>
                <w:sz w:val="24"/>
                <w:szCs w:val="24"/>
                <w:highlight w:val="none"/>
                <w:lang w:val="en-US" w:eastAsia="zh-CN"/>
              </w:rPr>
              <w:t>处理过程中会产生超浓水639</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2.13m³/d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，超浓水和纯水制备产生的浓水、生活污水一起经园区管网接入凤台经开区污水处理厂处理后排放。</w:t>
            </w:r>
          </w:p>
          <w:p w14:paraId="73A00E0A">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eastAsia="宋体" w:cs="Times New Roman"/>
                <w:bCs/>
                <w:color w:val="auto"/>
                <w:sz w:val="24"/>
                <w:szCs w:val="24"/>
                <w:highlight w:val="none"/>
              </w:rPr>
              <w:t>③</w:t>
            </w:r>
            <w:r>
              <w:rPr>
                <w:rFonts w:hint="default" w:ascii="Times New Roman" w:hAnsi="Times New Roman" w:cs="Times New Roman"/>
                <w:bCs/>
                <w:color w:val="auto"/>
                <w:sz w:val="24"/>
                <w:szCs w:val="24"/>
                <w:highlight w:val="none"/>
              </w:rPr>
              <w:t>纯水制备</w:t>
            </w:r>
          </w:p>
          <w:p w14:paraId="300B6DED">
            <w:pPr>
              <w:widowControl/>
              <w:tabs>
                <w:tab w:val="left" w:pos="3617"/>
              </w:tabs>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根据</w:t>
            </w:r>
            <w:r>
              <w:rPr>
                <w:rFonts w:hint="default" w:ascii="Times New Roman" w:hAnsi="Times New Roman" w:cs="Times New Roman"/>
                <w:bCs/>
                <w:color w:val="auto"/>
                <w:sz w:val="24"/>
                <w:szCs w:val="24"/>
                <w:highlight w:val="none"/>
                <w:lang w:val="en-US" w:eastAsia="zh-CN"/>
              </w:rPr>
              <w:t>上述工序用水量核算，</w:t>
            </w:r>
            <w:r>
              <w:rPr>
                <w:rFonts w:hint="default" w:ascii="Times New Roman" w:hAnsi="Times New Roman" w:cs="Times New Roman"/>
                <w:bCs/>
                <w:color w:val="auto"/>
                <w:sz w:val="24"/>
                <w:szCs w:val="24"/>
                <w:highlight w:val="none"/>
              </w:rPr>
              <w:t>本项目</w:t>
            </w:r>
            <w:r>
              <w:rPr>
                <w:rFonts w:hint="default" w:ascii="Times New Roman" w:hAnsi="Times New Roman" w:cs="Times New Roman"/>
                <w:bCs/>
                <w:color w:val="auto"/>
                <w:sz w:val="24"/>
                <w:szCs w:val="24"/>
                <w:highlight w:val="none"/>
                <w:lang w:val="en-US" w:eastAsia="zh-CN"/>
              </w:rPr>
              <w:t>磨边、打孔、倒角以及</w:t>
            </w:r>
            <w:r>
              <w:rPr>
                <w:rFonts w:hint="default" w:ascii="Times New Roman" w:hAnsi="Times New Roman" w:cs="Times New Roman"/>
                <w:bCs/>
                <w:color w:val="auto"/>
                <w:sz w:val="24"/>
                <w:szCs w:val="24"/>
                <w:highlight w:val="none"/>
              </w:rPr>
              <w:t>清洗工序需用到纯水</w:t>
            </w:r>
            <w:r>
              <w:rPr>
                <w:rFonts w:hint="default" w:ascii="Times New Roman" w:hAnsi="Times New Roman" w:cs="Times New Roman"/>
                <w:bCs/>
                <w:color w:val="auto"/>
                <w:sz w:val="24"/>
                <w:szCs w:val="24"/>
                <w:highlight w:val="none"/>
                <w:lang w:val="en-US" w:eastAsia="zh-CN"/>
              </w:rPr>
              <w:t>9246</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30.82m³/d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，纯水制备率</w:t>
            </w:r>
            <w:r>
              <w:rPr>
                <w:rFonts w:hint="default" w:ascii="Times New Roman" w:hAnsi="Times New Roman" w:cs="Times New Roman"/>
                <w:bCs/>
                <w:color w:val="auto"/>
                <w:sz w:val="24"/>
                <w:szCs w:val="24"/>
                <w:highlight w:val="none"/>
                <w:lang w:val="en-US" w:eastAsia="zh-CN"/>
              </w:rPr>
              <w:t>75</w:t>
            </w:r>
            <w:r>
              <w:rPr>
                <w:rFonts w:hint="default" w:ascii="Times New Roman" w:hAnsi="Times New Roman" w:cs="Times New Roman"/>
                <w:bCs/>
                <w:color w:val="auto"/>
                <w:sz w:val="24"/>
                <w:szCs w:val="24"/>
                <w:highlight w:val="none"/>
              </w:rPr>
              <w:t>% ，则消耗新鲜水</w:t>
            </w:r>
            <w:r>
              <w:rPr>
                <w:rFonts w:hint="default" w:ascii="Times New Roman" w:hAnsi="Times New Roman" w:cs="Times New Roman"/>
                <w:bCs/>
                <w:color w:val="auto"/>
                <w:sz w:val="24"/>
                <w:szCs w:val="24"/>
                <w:highlight w:val="none"/>
                <w:lang w:val="en-US" w:eastAsia="zh-CN"/>
              </w:rPr>
              <w:t>12328</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41.09m³/d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，产生浓水</w:t>
            </w:r>
            <w:r>
              <w:rPr>
                <w:rFonts w:hint="default" w:ascii="Times New Roman" w:hAnsi="Times New Roman" w:cs="Times New Roman"/>
                <w:bCs/>
                <w:color w:val="auto"/>
                <w:sz w:val="24"/>
                <w:szCs w:val="24"/>
                <w:highlight w:val="none"/>
                <w:lang w:val="en-US" w:eastAsia="zh-CN"/>
              </w:rPr>
              <w:t>3082</w:t>
            </w:r>
            <w:r>
              <w:rPr>
                <w:rFonts w:hint="default" w:ascii="Times New Roman" w:hAnsi="Times New Roman" w:cs="Times New Roman"/>
                <w:bCs/>
                <w:color w:val="auto"/>
                <w:sz w:val="24"/>
                <w:szCs w:val="24"/>
                <w:highlight w:val="none"/>
                <w:lang w:eastAsia="zh-CN"/>
              </w:rPr>
              <w:t>m³</w:t>
            </w:r>
            <w:r>
              <w:rPr>
                <w:rFonts w:hint="default" w:ascii="Times New Roman" w:hAnsi="Times New Roman" w:cs="Times New Roman"/>
                <w:bCs/>
                <w:color w:val="auto"/>
                <w:sz w:val="24"/>
                <w:szCs w:val="24"/>
                <w:highlight w:val="none"/>
              </w:rPr>
              <w:t>/a</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10.27m³/d</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和废水处理设施产生的超浓水、生活污水一起经园区管网接入凤台经开区污水处理厂处理后排放</w:t>
            </w:r>
            <w:r>
              <w:rPr>
                <w:rFonts w:hint="default" w:ascii="Times New Roman" w:hAnsi="Times New Roman" w:cs="Times New Roman"/>
                <w:bCs/>
                <w:color w:val="auto"/>
                <w:sz w:val="24"/>
                <w:szCs w:val="24"/>
                <w:highlight w:val="none"/>
              </w:rPr>
              <w:t>。</w:t>
            </w:r>
          </w:p>
          <w:p w14:paraId="13B2A794">
            <w:pPr>
              <w:widowControl/>
              <w:tabs>
                <w:tab w:val="left" w:pos="3617"/>
              </w:tabs>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本项目水平衡图见</w:t>
            </w:r>
            <w:r>
              <w:rPr>
                <w:rFonts w:hint="default" w:ascii="Times New Roman" w:hAnsi="Times New Roman" w:cs="Times New Roman"/>
                <w:bCs/>
                <w:color w:val="auto"/>
                <w:sz w:val="24"/>
                <w:szCs w:val="24"/>
                <w:highlight w:val="none"/>
                <w:lang w:val="en-US" w:eastAsia="zh-CN"/>
              </w:rPr>
              <w:t>图2-1。</w:t>
            </w:r>
          </w:p>
          <w:p w14:paraId="3F8C077A">
            <w:pPr>
              <w:adjustRightInd w:val="0"/>
              <w:spacing w:line="360" w:lineRule="auto"/>
              <w:ind w:firstLine="480" w:firstLineChars="200"/>
              <w:jc w:val="left"/>
              <w:rPr>
                <w:rFonts w:ascii="Times New Roman" w:hAnsi="Times New Roman"/>
                <w:color w:val="auto"/>
                <w:sz w:val="24"/>
                <w:szCs w:val="24"/>
                <w:highlight w:val="none"/>
              </w:rPr>
            </w:pPr>
            <w:r>
              <w:rPr>
                <w:rFonts w:ascii="Times New Roman" w:hAnsi="Times New Roman"/>
                <w:color w:val="auto"/>
                <w:sz w:val="24"/>
                <w:szCs w:val="24"/>
                <w:highlight w:val="none"/>
              </w:rPr>
              <w:t>（3）供电</w:t>
            </w:r>
          </w:p>
          <w:p w14:paraId="78641F81">
            <w:pPr>
              <w:spacing w:line="360" w:lineRule="auto"/>
              <w:ind w:firstLine="480" w:firstLineChars="200"/>
              <w:jc w:val="left"/>
              <w:rPr>
                <w:rFonts w:ascii="Times New Roman" w:hAnsi="Times New Roman"/>
                <w:bCs/>
                <w:color w:val="auto"/>
                <w:sz w:val="24"/>
                <w:szCs w:val="24"/>
                <w:highlight w:val="none"/>
              </w:rPr>
            </w:pPr>
            <w:r>
              <w:rPr>
                <w:rFonts w:ascii="Times New Roman" w:hAnsi="Times New Roman"/>
                <w:bCs/>
                <w:color w:val="auto"/>
                <w:sz w:val="24"/>
                <w:szCs w:val="24"/>
                <w:highlight w:val="none"/>
              </w:rPr>
              <w:t>本项目用电由</w:t>
            </w:r>
            <w:r>
              <w:rPr>
                <w:rFonts w:hint="eastAsia" w:ascii="Times New Roman" w:hAnsi="Times New Roman"/>
                <w:bCs/>
                <w:color w:val="auto"/>
                <w:sz w:val="24"/>
                <w:szCs w:val="24"/>
                <w:highlight w:val="none"/>
              </w:rPr>
              <w:t>市政</w:t>
            </w:r>
            <w:r>
              <w:rPr>
                <w:rFonts w:ascii="Times New Roman" w:hAnsi="Times New Roman"/>
                <w:bCs/>
                <w:color w:val="auto"/>
                <w:sz w:val="24"/>
                <w:szCs w:val="24"/>
                <w:highlight w:val="none"/>
              </w:rPr>
              <w:t>电网供电，</w:t>
            </w:r>
            <w:r>
              <w:rPr>
                <w:rFonts w:hint="eastAsia" w:ascii="Times New Roman" w:hAnsi="Times New Roman"/>
                <w:bCs/>
                <w:color w:val="auto"/>
                <w:sz w:val="24"/>
                <w:szCs w:val="24"/>
                <w:highlight w:val="none"/>
              </w:rPr>
              <w:t>能满足本项目生产和生活用电需求，用电量为</w:t>
            </w:r>
            <w:r>
              <w:rPr>
                <w:rFonts w:hint="eastAsia" w:ascii="Times New Roman" w:hAnsi="Times New Roman"/>
                <w:bCs/>
                <w:color w:val="auto"/>
                <w:sz w:val="24"/>
                <w:szCs w:val="24"/>
                <w:highlight w:val="none"/>
                <w:lang w:val="en-US" w:eastAsia="zh-CN"/>
              </w:rPr>
              <w:t>100</w:t>
            </w:r>
            <w:r>
              <w:rPr>
                <w:rFonts w:ascii="Times New Roman" w:hAnsi="宋体"/>
                <w:bCs/>
                <w:color w:val="auto"/>
                <w:sz w:val="24"/>
                <w:szCs w:val="24"/>
                <w:highlight w:val="none"/>
              </w:rPr>
              <w:t>万</w:t>
            </w:r>
            <w:r>
              <w:rPr>
                <w:rFonts w:hint="eastAsia" w:ascii="Times New Roman" w:hAnsi="宋体"/>
                <w:bCs/>
                <w:color w:val="auto"/>
                <w:sz w:val="24"/>
                <w:szCs w:val="24"/>
                <w:highlight w:val="none"/>
              </w:rPr>
              <w:t>kW</w:t>
            </w:r>
            <w:r>
              <w:rPr>
                <w:rFonts w:ascii="Times New Roman" w:hAnsi="Times New Roman"/>
                <w:bCs/>
                <w:color w:val="auto"/>
                <w:sz w:val="24"/>
                <w:szCs w:val="24"/>
                <w:highlight w:val="none"/>
              </w:rPr>
              <w:t>·h/a</w:t>
            </w:r>
            <w:r>
              <w:rPr>
                <w:rFonts w:ascii="Times New Roman" w:hAnsi="宋体"/>
                <w:bCs/>
                <w:color w:val="auto"/>
                <w:sz w:val="24"/>
                <w:szCs w:val="24"/>
                <w:highlight w:val="none"/>
              </w:rPr>
              <w:t>。</w:t>
            </w:r>
          </w:p>
          <w:p w14:paraId="6CA35704">
            <w:pPr>
              <w:spacing w:line="360" w:lineRule="auto"/>
              <w:ind w:firstLine="482" w:firstLineChars="200"/>
              <w:jc w:val="left"/>
              <w:rPr>
                <w:rFonts w:ascii="Times New Roman" w:hAnsi="宋体"/>
                <w:b/>
                <w:bCs/>
                <w:color w:val="auto"/>
                <w:sz w:val="24"/>
                <w:szCs w:val="24"/>
                <w:highlight w:val="none"/>
              </w:rPr>
            </w:pPr>
            <w:r>
              <w:rPr>
                <w:rFonts w:hint="eastAsia" w:ascii="Times New Roman" w:hAnsi="Times New Roman"/>
                <w:b/>
                <w:bCs/>
                <w:color w:val="auto"/>
                <w:sz w:val="24"/>
                <w:szCs w:val="24"/>
                <w:highlight w:val="none"/>
              </w:rPr>
              <w:t>7</w:t>
            </w:r>
            <w:r>
              <w:rPr>
                <w:rFonts w:ascii="Times New Roman" w:hAnsi="宋体"/>
                <w:b/>
                <w:bCs/>
                <w:color w:val="auto"/>
                <w:sz w:val="24"/>
                <w:szCs w:val="24"/>
                <w:highlight w:val="none"/>
              </w:rPr>
              <w:t>、劳动定员及工作制度</w:t>
            </w:r>
          </w:p>
          <w:p w14:paraId="6FA183B7">
            <w:pPr>
              <w:spacing w:line="360" w:lineRule="auto"/>
              <w:ind w:firstLine="480" w:firstLineChars="200"/>
              <w:rPr>
                <w:rFonts w:ascii="Times New Roman" w:hAnsi="Times New Roman"/>
                <w:bCs/>
                <w:color w:val="auto"/>
                <w:sz w:val="24"/>
                <w:szCs w:val="24"/>
                <w:highlight w:val="none"/>
              </w:rPr>
            </w:pPr>
            <w:r>
              <w:rPr>
                <w:rFonts w:ascii="Times New Roman"/>
                <w:color w:val="auto"/>
                <w:sz w:val="24"/>
                <w:highlight w:val="none"/>
              </w:rPr>
              <w:t>本项目拟定员</w:t>
            </w:r>
            <w:r>
              <w:rPr>
                <w:rFonts w:hint="eastAsia" w:ascii="Times New Roman"/>
                <w:color w:val="auto"/>
                <w:sz w:val="24"/>
                <w:highlight w:val="none"/>
                <w:lang w:val="en-US" w:eastAsia="zh-CN"/>
              </w:rPr>
              <w:t>60</w:t>
            </w:r>
            <w:r>
              <w:rPr>
                <w:rFonts w:ascii="Times New Roman"/>
                <w:color w:val="auto"/>
                <w:sz w:val="24"/>
                <w:highlight w:val="none"/>
              </w:rPr>
              <w:t>人，工作制度为</w:t>
            </w:r>
            <w:r>
              <w:rPr>
                <w:rFonts w:hint="eastAsia" w:ascii="Times New Roman" w:hAnsi="Times New Roman"/>
                <w:color w:val="auto"/>
                <w:sz w:val="24"/>
                <w:highlight w:val="none"/>
              </w:rPr>
              <w:t>8</w:t>
            </w:r>
            <w:r>
              <w:rPr>
                <w:rFonts w:ascii="Times New Roman"/>
                <w:color w:val="auto"/>
                <w:sz w:val="24"/>
                <w:highlight w:val="none"/>
              </w:rPr>
              <w:t>小时一班，</w:t>
            </w:r>
            <w:r>
              <w:rPr>
                <w:rFonts w:hint="eastAsia" w:ascii="Times New Roman"/>
                <w:color w:val="auto"/>
                <w:sz w:val="24"/>
                <w:highlight w:val="none"/>
                <w:lang w:val="en-US" w:eastAsia="zh-CN"/>
              </w:rPr>
              <w:t>实行三班制</w:t>
            </w:r>
            <w:r>
              <w:rPr>
                <w:rFonts w:ascii="Times New Roman"/>
                <w:color w:val="auto"/>
                <w:sz w:val="24"/>
                <w:highlight w:val="none"/>
              </w:rPr>
              <w:t>，年工作日</w:t>
            </w:r>
            <w:r>
              <w:rPr>
                <w:rFonts w:hint="eastAsia" w:ascii="Times New Roman" w:hAnsi="Times New Roman"/>
                <w:color w:val="auto"/>
                <w:sz w:val="24"/>
                <w:highlight w:val="none"/>
              </w:rPr>
              <w:t>300</w:t>
            </w:r>
            <w:r>
              <w:rPr>
                <w:rFonts w:ascii="Times New Roman"/>
                <w:color w:val="auto"/>
                <w:sz w:val="24"/>
                <w:highlight w:val="none"/>
              </w:rPr>
              <w:t>天（</w:t>
            </w:r>
            <w:r>
              <w:rPr>
                <w:rFonts w:hint="eastAsia" w:ascii="Times New Roman" w:hAnsi="Times New Roman"/>
                <w:color w:val="auto"/>
                <w:sz w:val="24"/>
                <w:highlight w:val="none"/>
              </w:rPr>
              <w:t>7200</w:t>
            </w:r>
            <w:r>
              <w:rPr>
                <w:rFonts w:ascii="Times New Roman" w:hAnsi="Times New Roman"/>
                <w:color w:val="auto"/>
                <w:sz w:val="24"/>
                <w:highlight w:val="none"/>
              </w:rPr>
              <w:t>h/a</w:t>
            </w:r>
            <w:r>
              <w:rPr>
                <w:rFonts w:ascii="Times New Roman"/>
                <w:color w:val="auto"/>
                <w:sz w:val="24"/>
                <w:highlight w:val="none"/>
              </w:rPr>
              <w:t>）。厂区内</w:t>
            </w:r>
            <w:r>
              <w:rPr>
                <w:rFonts w:hint="eastAsia" w:ascii="Times New Roman"/>
                <w:color w:val="auto"/>
                <w:sz w:val="24"/>
                <w:highlight w:val="none"/>
              </w:rPr>
              <w:t>不设食宿。</w:t>
            </w:r>
          </w:p>
          <w:p w14:paraId="002BF52D">
            <w:pPr>
              <w:spacing w:line="360" w:lineRule="auto"/>
              <w:ind w:firstLine="482" w:firstLineChars="200"/>
              <w:jc w:val="left"/>
              <w:rPr>
                <w:rFonts w:ascii="Times New Roman" w:hAnsi="宋体"/>
                <w:b/>
                <w:bCs/>
                <w:color w:val="auto"/>
                <w:sz w:val="24"/>
                <w:szCs w:val="24"/>
                <w:highlight w:val="none"/>
              </w:rPr>
            </w:pPr>
            <w:r>
              <w:rPr>
                <w:rFonts w:hint="eastAsia" w:ascii="Times New Roman" w:hAnsi="Times New Roman"/>
                <w:b/>
                <w:bCs/>
                <w:color w:val="auto"/>
                <w:sz w:val="24"/>
                <w:szCs w:val="24"/>
                <w:highlight w:val="none"/>
              </w:rPr>
              <w:t>8</w:t>
            </w:r>
            <w:r>
              <w:rPr>
                <w:rFonts w:ascii="Times New Roman" w:hAnsi="宋体"/>
                <w:b/>
                <w:bCs/>
                <w:color w:val="auto"/>
                <w:sz w:val="24"/>
                <w:szCs w:val="24"/>
                <w:highlight w:val="none"/>
              </w:rPr>
              <w:t>、厂区总平面布置</w:t>
            </w:r>
          </w:p>
          <w:p w14:paraId="4643E85B">
            <w:pPr>
              <w:spacing w:line="360" w:lineRule="auto"/>
              <w:ind w:firstLine="480" w:firstLineChars="200"/>
              <w:rPr>
                <w:rFonts w:ascii="Times New Roman" w:hAnsi="宋体"/>
                <w:color w:val="auto"/>
                <w:sz w:val="24"/>
                <w:highlight w:val="none"/>
              </w:rPr>
            </w:pPr>
            <w:r>
              <w:rPr>
                <w:rFonts w:hint="eastAsia" w:ascii="Times New Roman" w:hAnsi="Times New Roman"/>
                <w:color w:val="auto"/>
                <w:sz w:val="24"/>
                <w:szCs w:val="24"/>
                <w:highlight w:val="none"/>
                <w:lang w:eastAsia="zh-CN"/>
              </w:rPr>
              <w:t>淮南无双新能源科技有限公司</w:t>
            </w:r>
            <w:r>
              <w:rPr>
                <w:rFonts w:ascii="Times New Roman" w:hAnsi="Times New Roman"/>
                <w:color w:val="auto"/>
                <w:sz w:val="24"/>
                <w:szCs w:val="24"/>
                <w:highlight w:val="none"/>
              </w:rPr>
              <w:t>位于</w:t>
            </w:r>
            <w:r>
              <w:rPr>
                <w:rFonts w:hint="eastAsia" w:ascii="Times New Roman" w:hAnsi="宋体"/>
                <w:color w:val="auto"/>
                <w:sz w:val="24"/>
                <w:highlight w:val="none"/>
                <w:lang w:eastAsia="zh-CN"/>
              </w:rPr>
              <w:t>安徽省淮南市凤台经济开发区国晟（凤台）异质结双碳产业园</w:t>
            </w:r>
            <w:r>
              <w:rPr>
                <w:rFonts w:hint="eastAsia" w:ascii="Times New Roman" w:hAnsi="宋体"/>
                <w:color w:val="auto"/>
                <w:sz w:val="24"/>
                <w:highlight w:val="none"/>
              </w:rPr>
              <w:t>，租赁</w:t>
            </w:r>
            <w:r>
              <w:rPr>
                <w:rFonts w:hint="eastAsia" w:ascii="Times New Roman" w:hAnsi="宋体"/>
                <w:color w:val="auto"/>
                <w:sz w:val="24"/>
                <w:highlight w:val="none"/>
                <w:lang w:val="en-US" w:eastAsia="zh-CN"/>
              </w:rPr>
              <w:t>11</w:t>
            </w:r>
            <w:r>
              <w:rPr>
                <w:rFonts w:hint="eastAsia" w:ascii="Times New Roman" w:hAnsi="宋体"/>
                <w:color w:val="auto"/>
                <w:sz w:val="24"/>
                <w:highlight w:val="none"/>
              </w:rPr>
              <w:t>#、</w:t>
            </w:r>
            <w:r>
              <w:rPr>
                <w:rFonts w:hint="eastAsia" w:ascii="Times New Roman" w:hAnsi="宋体"/>
                <w:color w:val="auto"/>
                <w:sz w:val="24"/>
                <w:highlight w:val="none"/>
                <w:lang w:val="en-US" w:eastAsia="zh-CN"/>
              </w:rPr>
              <w:t>12</w:t>
            </w:r>
            <w:r>
              <w:rPr>
                <w:rFonts w:hint="eastAsia" w:ascii="Times New Roman" w:hAnsi="宋体"/>
                <w:color w:val="auto"/>
                <w:sz w:val="24"/>
                <w:highlight w:val="none"/>
              </w:rPr>
              <w:t>#标准化厂房进行生产，本项目生产区域设置在</w:t>
            </w:r>
            <w:r>
              <w:rPr>
                <w:rFonts w:hint="eastAsia" w:ascii="Times New Roman" w:hAnsi="宋体"/>
                <w:color w:val="auto"/>
                <w:sz w:val="24"/>
                <w:highlight w:val="none"/>
                <w:lang w:val="en-US" w:eastAsia="zh-CN"/>
              </w:rPr>
              <w:t>11</w:t>
            </w:r>
            <w:r>
              <w:rPr>
                <w:rFonts w:hint="eastAsia" w:ascii="Times New Roman" w:hAnsi="宋体"/>
                <w:color w:val="auto"/>
                <w:sz w:val="24"/>
                <w:highlight w:val="none"/>
              </w:rPr>
              <w:t>#厂房的中间位置，</w:t>
            </w:r>
            <w:r>
              <w:rPr>
                <w:rFonts w:hint="eastAsia" w:ascii="Times New Roman" w:hAnsi="宋体"/>
                <w:color w:val="auto"/>
                <w:sz w:val="24"/>
                <w:highlight w:val="none"/>
                <w:lang w:val="en-US" w:eastAsia="zh-CN"/>
              </w:rPr>
              <w:t>原料堆放区和成品堆放区设置在12#厂房的东南部和西南部</w:t>
            </w:r>
            <w:r>
              <w:rPr>
                <w:rFonts w:hint="eastAsia" w:ascii="Times New Roman" w:hAnsi="宋体"/>
                <w:color w:val="auto"/>
                <w:sz w:val="24"/>
                <w:highlight w:val="none"/>
              </w:rPr>
              <w:t>，本项目各生产单元布置合理，整个厂区功能分区明确，各个区域之间能够满足生产和运输要求；运输不选在清晨、中午午休和夜间休息时间，可以减少运输噪声对周边居民影响，综上本项目总图布置较为合理。</w:t>
            </w:r>
          </w:p>
          <w:p w14:paraId="11CBE1BB">
            <w:pPr>
              <w:spacing w:line="360" w:lineRule="auto"/>
              <w:ind w:firstLine="480" w:firstLineChars="200"/>
              <w:rPr>
                <w:rFonts w:ascii="Times New Roman" w:hAnsi="宋体"/>
                <w:color w:val="auto"/>
                <w:sz w:val="24"/>
                <w:highlight w:val="none"/>
              </w:rPr>
            </w:pPr>
          </w:p>
          <w:p w14:paraId="1A1D8D54">
            <w:pPr>
              <w:spacing w:line="360" w:lineRule="auto"/>
              <w:ind w:firstLine="480" w:firstLineChars="200"/>
              <w:rPr>
                <w:rFonts w:ascii="Times New Roman" w:hAnsi="宋体"/>
                <w:color w:val="auto"/>
                <w:sz w:val="24"/>
                <w:highlight w:val="none"/>
              </w:rPr>
            </w:pPr>
          </w:p>
          <w:p w14:paraId="144BD9BD">
            <w:pPr>
              <w:spacing w:line="360" w:lineRule="auto"/>
              <w:rPr>
                <w:rFonts w:ascii="Times New Roman" w:hAnsi="宋体"/>
                <w:color w:val="auto"/>
                <w:sz w:val="24"/>
                <w:highlight w:val="none"/>
              </w:rPr>
            </w:pPr>
          </w:p>
        </w:tc>
      </w:tr>
    </w:tbl>
    <w:p w14:paraId="14CBE4B6">
      <w:pPr>
        <w:ind w:firstLine="480"/>
        <w:rPr>
          <w:color w:val="auto"/>
          <w:highlight w:val="none"/>
        </w:rPr>
        <w:sectPr>
          <w:headerReference r:id="rId5" w:type="default"/>
          <w:footerReference r:id="rId6" w:type="default"/>
          <w:pgSz w:w="11906" w:h="16838"/>
          <w:pgMar w:top="1701" w:right="1531" w:bottom="1701" w:left="153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4316"/>
      </w:tblGrid>
      <w:tr w14:paraId="4D19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noWrap w:val="0"/>
            <w:vAlign w:val="top"/>
          </w:tcPr>
          <w:p w14:paraId="51F82736">
            <w:pPr>
              <w:rPr>
                <w:color w:val="auto"/>
                <w:highlight w:val="none"/>
                <w:vertAlign w:val="baseline"/>
              </w:rPr>
            </w:pPr>
          </w:p>
        </w:tc>
        <w:tc>
          <w:tcPr>
            <w:tcW w:w="14265" w:type="dxa"/>
            <w:noWrap w:val="0"/>
            <w:vAlign w:val="top"/>
          </w:tcPr>
          <w:p w14:paraId="439A7FF1">
            <w:pPr>
              <w:widowControl/>
              <w:spacing w:line="360" w:lineRule="auto"/>
              <w:rPr>
                <w:rFonts w:hint="eastAsia" w:ascii="Times New Roman" w:hAnsi="宋体" w:eastAsia="宋体"/>
                <w:bCs/>
                <w:color w:val="auto"/>
                <w:sz w:val="24"/>
                <w:szCs w:val="24"/>
                <w:highlight w:val="none"/>
                <w:lang w:eastAsia="zh-CN"/>
              </w:rPr>
            </w:pPr>
            <w:r>
              <w:rPr>
                <w:rFonts w:hint="eastAsia" w:ascii="Times New Roman" w:hAnsi="宋体" w:eastAsia="宋体"/>
                <w:bCs/>
                <w:color w:val="auto"/>
                <w:sz w:val="24"/>
                <w:szCs w:val="24"/>
                <w:highlight w:val="none"/>
                <w:lang w:eastAsia="zh-CN"/>
              </w:rPr>
              <w:drawing>
                <wp:inline distT="0" distB="0" distL="114300" distR="114300">
                  <wp:extent cx="8940165" cy="3850005"/>
                  <wp:effectExtent l="0" t="0" r="13335" b="17145"/>
                  <wp:docPr id="12" name="图片 67" descr="3e31b404346f3943426999572c41f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descr="3e31b404346f3943426999572c41f400"/>
                          <pic:cNvPicPr>
                            <a:picLocks noChangeAspect="1"/>
                          </pic:cNvPicPr>
                        </pic:nvPicPr>
                        <pic:blipFill>
                          <a:blip r:embed="rId16"/>
                          <a:stretch>
                            <a:fillRect/>
                          </a:stretch>
                        </pic:blipFill>
                        <pic:spPr>
                          <a:xfrm>
                            <a:off x="0" y="0"/>
                            <a:ext cx="8940165" cy="3850005"/>
                          </a:xfrm>
                          <a:prstGeom prst="rect">
                            <a:avLst/>
                          </a:prstGeom>
                          <a:noFill/>
                          <a:ln>
                            <a:noFill/>
                          </a:ln>
                        </pic:spPr>
                      </pic:pic>
                    </a:graphicData>
                  </a:graphic>
                </wp:inline>
              </w:drawing>
            </w:r>
          </w:p>
          <w:p w14:paraId="09FCA5EB">
            <w:pPr>
              <w:spacing w:line="360" w:lineRule="auto"/>
              <w:jc w:val="center"/>
              <w:rPr>
                <w:rFonts w:ascii="Times New Roman" w:hAnsi="黑体" w:eastAsia="黑体"/>
                <w:bCs/>
                <w:color w:val="auto"/>
                <w:sz w:val="24"/>
                <w:szCs w:val="24"/>
                <w:highlight w:val="none"/>
              </w:rPr>
            </w:pPr>
            <w:r>
              <w:rPr>
                <w:rFonts w:hint="eastAsia" w:ascii="Times New Roman" w:hAnsi="Times New Roman" w:eastAsia="黑体"/>
                <w:bCs/>
                <w:color w:val="auto"/>
                <w:sz w:val="24"/>
                <w:szCs w:val="24"/>
                <w:highlight w:val="none"/>
              </w:rPr>
              <w:t xml:space="preserve"> </w:t>
            </w:r>
            <w:r>
              <w:rPr>
                <w:rFonts w:hint="eastAsia" w:ascii="Times New Roman" w:hAnsi="黑体" w:eastAsia="黑体"/>
                <w:bCs/>
                <w:color w:val="auto"/>
                <w:sz w:val="24"/>
                <w:szCs w:val="24"/>
                <w:highlight w:val="none"/>
              </w:rPr>
              <w:t xml:space="preserve"> </w:t>
            </w:r>
            <w:r>
              <w:rPr>
                <w:rFonts w:ascii="Times New Roman" w:hAnsi="黑体" w:eastAsia="黑体"/>
                <w:bCs/>
                <w:color w:val="auto"/>
                <w:sz w:val="24"/>
                <w:szCs w:val="24"/>
                <w:highlight w:val="none"/>
              </w:rPr>
              <w:t>图</w:t>
            </w:r>
            <w:r>
              <w:rPr>
                <w:rFonts w:ascii="Times New Roman" w:hAnsi="Times New Roman" w:eastAsia="黑体"/>
                <w:bCs/>
                <w:color w:val="auto"/>
                <w:sz w:val="24"/>
                <w:szCs w:val="24"/>
                <w:highlight w:val="none"/>
              </w:rPr>
              <w:t>2</w:t>
            </w:r>
            <w:r>
              <w:rPr>
                <w:rFonts w:hint="eastAsia" w:ascii="Times New Roman" w:hAnsi="Times New Roman" w:eastAsia="黑体"/>
                <w:bCs/>
                <w:color w:val="auto"/>
                <w:sz w:val="24"/>
                <w:szCs w:val="24"/>
                <w:highlight w:val="none"/>
              </w:rPr>
              <w:t xml:space="preserve">-1  </w:t>
            </w:r>
            <w:r>
              <w:rPr>
                <w:rFonts w:hint="eastAsia" w:ascii="Times New Roman" w:hAnsi="黑体" w:eastAsia="黑体"/>
                <w:bCs/>
                <w:color w:val="auto"/>
                <w:sz w:val="24"/>
                <w:szCs w:val="24"/>
                <w:highlight w:val="none"/>
              </w:rPr>
              <w:t>本项目水</w:t>
            </w:r>
            <w:r>
              <w:rPr>
                <w:rFonts w:ascii="Times New Roman" w:hAnsi="黑体" w:eastAsia="黑体"/>
                <w:bCs/>
                <w:color w:val="auto"/>
                <w:sz w:val="24"/>
                <w:szCs w:val="24"/>
                <w:highlight w:val="none"/>
              </w:rPr>
              <w:t>平衡图</w:t>
            </w:r>
            <w:r>
              <w:rPr>
                <w:rFonts w:hint="eastAsia" w:ascii="Times New Roman" w:hAnsi="黑体" w:eastAsia="黑体"/>
                <w:bCs/>
                <w:color w:val="auto"/>
                <w:sz w:val="24"/>
                <w:szCs w:val="24"/>
                <w:highlight w:val="none"/>
              </w:rPr>
              <w:t xml:space="preserve">  单位：m</w:t>
            </w:r>
            <w:r>
              <w:rPr>
                <w:rFonts w:hint="eastAsia" w:ascii="Times New Roman" w:hAnsi="黑体" w:eastAsia="黑体"/>
                <w:bCs/>
                <w:color w:val="auto"/>
                <w:sz w:val="24"/>
                <w:szCs w:val="24"/>
                <w:highlight w:val="none"/>
                <w:vertAlign w:val="superscript"/>
              </w:rPr>
              <w:t>3</w:t>
            </w:r>
            <w:r>
              <w:rPr>
                <w:rFonts w:hint="eastAsia" w:ascii="Times New Roman" w:hAnsi="黑体" w:eastAsia="黑体"/>
                <w:bCs/>
                <w:color w:val="auto"/>
                <w:sz w:val="24"/>
                <w:szCs w:val="24"/>
                <w:highlight w:val="none"/>
              </w:rPr>
              <w:t>/d</w:t>
            </w:r>
          </w:p>
          <w:p w14:paraId="7DA49F9A">
            <w:pPr>
              <w:rPr>
                <w:color w:val="auto"/>
                <w:highlight w:val="none"/>
                <w:vertAlign w:val="baseline"/>
              </w:rPr>
            </w:pPr>
          </w:p>
        </w:tc>
      </w:tr>
    </w:tbl>
    <w:p w14:paraId="3E526805">
      <w:pPr>
        <w:ind w:firstLine="480"/>
        <w:rPr>
          <w:color w:val="auto"/>
          <w:highlight w:val="none"/>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92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14"/>
      </w:tblGrid>
      <w:tr w14:paraId="3CFF8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6" w:hRule="atLeast"/>
          <w:jc w:val="center"/>
        </w:trPr>
        <w:tc>
          <w:tcPr>
            <w:tcW w:w="456" w:type="dxa"/>
            <w:noWrap w:val="0"/>
            <w:vAlign w:val="center"/>
          </w:tcPr>
          <w:p w14:paraId="343EF45C">
            <w:pPr>
              <w:widowControl/>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工艺流程和产排污环节</w:t>
            </w:r>
          </w:p>
        </w:tc>
        <w:tc>
          <w:tcPr>
            <w:tcW w:w="8814" w:type="dxa"/>
            <w:noWrap w:val="0"/>
            <w:vAlign w:val="top"/>
          </w:tcPr>
          <w:p w14:paraId="536E9BBA">
            <w:pPr>
              <w:spacing w:line="360" w:lineRule="auto"/>
              <w:ind w:firstLine="482" w:firstLineChars="200"/>
              <w:rPr>
                <w:rFonts w:ascii="Times New Roman" w:hAnsi="Times New Roman"/>
                <w:b/>
                <w:bCs/>
                <w:color w:val="auto"/>
                <w:sz w:val="24"/>
                <w:szCs w:val="24"/>
                <w:highlight w:val="none"/>
              </w:rPr>
            </w:pPr>
            <w:r>
              <w:rPr>
                <w:rFonts w:hint="eastAsia" w:ascii="Times New Roman" w:hAnsi="宋体"/>
                <w:b/>
                <w:bCs/>
                <w:color w:val="auto"/>
                <w:sz w:val="24"/>
                <w:szCs w:val="24"/>
                <w:highlight w:val="none"/>
              </w:rPr>
              <w:t>1</w:t>
            </w:r>
            <w:r>
              <w:rPr>
                <w:rFonts w:ascii="Times New Roman" w:hAnsi="宋体"/>
                <w:b/>
                <w:bCs/>
                <w:color w:val="auto"/>
                <w:sz w:val="24"/>
                <w:szCs w:val="24"/>
                <w:highlight w:val="none"/>
              </w:rPr>
              <w:t>、施工期工艺流程和产排污环节</w:t>
            </w:r>
          </w:p>
          <w:p w14:paraId="5784652A">
            <w:pPr>
              <w:widowControl/>
              <w:spacing w:line="360" w:lineRule="auto"/>
              <w:ind w:firstLine="480" w:firstLineChars="200"/>
              <w:jc w:val="left"/>
              <w:rPr>
                <w:rFonts w:ascii="Times New Roman" w:hAnsi="宋体"/>
                <w:bCs/>
                <w:color w:val="auto"/>
                <w:sz w:val="24"/>
                <w:szCs w:val="24"/>
                <w:highlight w:val="none"/>
              </w:rPr>
            </w:pPr>
            <w:r>
              <w:rPr>
                <w:rFonts w:hint="eastAsia" w:ascii="Times New Roman" w:hAnsi="Times New Roman"/>
                <w:color w:val="auto"/>
                <w:sz w:val="24"/>
                <w:highlight w:val="none"/>
              </w:rPr>
              <w:t>本项目位于</w:t>
            </w:r>
            <w:r>
              <w:rPr>
                <w:rFonts w:hint="eastAsia" w:ascii="Times New Roman" w:hAnsi="宋体"/>
                <w:color w:val="auto"/>
                <w:sz w:val="24"/>
                <w:highlight w:val="none"/>
                <w:lang w:eastAsia="zh-CN"/>
              </w:rPr>
              <w:t>安徽省淮南市凤台经济开发区国晟（凤台）异质结双碳产业园</w:t>
            </w:r>
            <w:r>
              <w:rPr>
                <w:rFonts w:hint="eastAsia" w:ascii="Times New Roman" w:hAnsi="宋体"/>
                <w:color w:val="auto"/>
                <w:sz w:val="24"/>
                <w:highlight w:val="none"/>
              </w:rPr>
              <w:t>，租赁园区中</w:t>
            </w:r>
            <w:r>
              <w:rPr>
                <w:rFonts w:hint="eastAsia" w:ascii="Times New Roman" w:hAnsi="宋体"/>
                <w:color w:val="auto"/>
                <w:sz w:val="24"/>
                <w:highlight w:val="none"/>
                <w:lang w:val="en-US" w:eastAsia="zh-CN"/>
              </w:rPr>
              <w:t>11</w:t>
            </w:r>
            <w:r>
              <w:rPr>
                <w:rFonts w:hint="eastAsia" w:ascii="Times New Roman" w:hAnsi="宋体"/>
                <w:color w:val="auto"/>
                <w:sz w:val="24"/>
                <w:highlight w:val="none"/>
              </w:rPr>
              <w:t>#、</w:t>
            </w:r>
            <w:r>
              <w:rPr>
                <w:rFonts w:hint="eastAsia" w:ascii="Times New Roman" w:hAnsi="宋体"/>
                <w:color w:val="auto"/>
                <w:sz w:val="24"/>
                <w:highlight w:val="none"/>
                <w:lang w:val="en-US" w:eastAsia="zh-CN"/>
              </w:rPr>
              <w:t>12</w:t>
            </w:r>
            <w:r>
              <w:rPr>
                <w:rFonts w:hint="eastAsia" w:ascii="Times New Roman" w:hAnsi="宋体"/>
                <w:color w:val="auto"/>
                <w:sz w:val="24"/>
                <w:highlight w:val="none"/>
              </w:rPr>
              <w:t>#标准化厂房进行生产</w:t>
            </w:r>
            <w:r>
              <w:rPr>
                <w:rFonts w:hint="eastAsia" w:ascii="Times New Roman" w:hAnsi="Times New Roman"/>
                <w:color w:val="auto"/>
                <w:sz w:val="24"/>
                <w:highlight w:val="none"/>
              </w:rPr>
              <w:t>，项目施工期主要是在原有建筑基础上进行适当改造装修及设备安装，无需土建施工，</w:t>
            </w:r>
            <w:r>
              <w:rPr>
                <w:rFonts w:hint="eastAsia" w:ascii="Times New Roman" w:hAnsi="宋体"/>
                <w:bCs/>
                <w:color w:val="auto"/>
                <w:sz w:val="24"/>
                <w:szCs w:val="24"/>
                <w:highlight w:val="none"/>
              </w:rPr>
              <w:t>且工期较短，不进行评价。</w:t>
            </w:r>
          </w:p>
          <w:p w14:paraId="621BD0F6">
            <w:pPr>
              <w:widowControl/>
              <w:spacing w:line="360" w:lineRule="auto"/>
              <w:ind w:firstLine="482" w:firstLineChars="200"/>
              <w:jc w:val="left"/>
              <w:rPr>
                <w:rFonts w:ascii="Times New Roman" w:hAnsi="宋体"/>
                <w:b/>
                <w:bCs/>
                <w:color w:val="auto"/>
                <w:sz w:val="24"/>
                <w:szCs w:val="24"/>
                <w:highlight w:val="none"/>
              </w:rPr>
            </w:pPr>
            <w:r>
              <w:rPr>
                <w:rFonts w:ascii="Times New Roman" w:hAnsi="Times New Roman"/>
                <w:b/>
                <w:bCs/>
                <w:color w:val="auto"/>
                <w:sz w:val="24"/>
                <w:szCs w:val="24"/>
                <w:highlight w:val="none"/>
              </w:rPr>
              <w:t>2</w:t>
            </w:r>
            <w:r>
              <w:rPr>
                <w:rFonts w:ascii="Times New Roman" w:hAnsi="宋体"/>
                <w:b/>
                <w:bCs/>
                <w:color w:val="auto"/>
                <w:sz w:val="24"/>
                <w:szCs w:val="24"/>
                <w:highlight w:val="none"/>
              </w:rPr>
              <w:t>、运营期工艺流程和产排污环节</w:t>
            </w:r>
          </w:p>
          <w:p w14:paraId="6D095DB6">
            <w:pPr>
              <w:widowControl/>
              <w:spacing w:line="360" w:lineRule="auto"/>
              <w:ind w:firstLine="480" w:firstLineChars="200"/>
              <w:jc w:val="left"/>
              <w:rPr>
                <w:rFonts w:hint="eastAsia" w:ascii="Times New Roman" w:hAnsi="宋体"/>
                <w:bCs/>
                <w:color w:val="auto"/>
                <w:sz w:val="24"/>
                <w:szCs w:val="24"/>
                <w:highlight w:val="none"/>
                <w:lang w:val="en-US" w:eastAsia="zh-CN"/>
              </w:rPr>
            </w:pPr>
            <w:r>
              <w:rPr>
                <w:rFonts w:hint="eastAsia" w:ascii="宋体" w:hAnsi="宋体" w:eastAsia="宋体" w:cs="宋体"/>
                <w:bCs/>
                <w:color w:val="auto"/>
                <w:sz w:val="24"/>
                <w:szCs w:val="24"/>
                <w:highlight w:val="none"/>
                <w:lang w:eastAsia="zh-CN"/>
              </w:rPr>
              <w:t>①</w:t>
            </w:r>
            <w:r>
              <w:rPr>
                <w:rFonts w:hint="eastAsia" w:ascii="Times New Roman" w:hAnsi="宋体" w:eastAsia="宋体"/>
                <w:bCs/>
                <w:color w:val="auto"/>
                <w:sz w:val="24"/>
                <w:szCs w:val="24"/>
                <w:highlight w:val="none"/>
                <w:lang w:eastAsia="zh-CN"/>
              </w:rPr>
              <w:t>钢化玻璃加工生产工艺流程及产污节点</w:t>
            </w:r>
            <w:r>
              <w:rPr>
                <w:rFonts w:hint="eastAsia" w:ascii="Times New Roman" w:hAnsi="宋体"/>
                <w:bCs/>
                <w:color w:val="auto"/>
                <w:sz w:val="24"/>
                <w:szCs w:val="24"/>
                <w:highlight w:val="none"/>
                <w:lang w:val="en-US" w:eastAsia="zh-CN"/>
              </w:rPr>
              <w:t>见下图：</w:t>
            </w:r>
          </w:p>
          <w:p w14:paraId="3D12D528">
            <w:pPr>
              <w:widowControl/>
              <w:spacing w:line="360" w:lineRule="auto"/>
              <w:jc w:val="left"/>
              <w:rPr>
                <w:rFonts w:hint="eastAsia" w:ascii="Times New Roman" w:hAnsi="宋体" w:eastAsia="宋体"/>
                <w:bCs/>
                <w:color w:val="auto"/>
                <w:sz w:val="24"/>
                <w:szCs w:val="24"/>
                <w:highlight w:val="none"/>
                <w:lang w:eastAsia="zh-CN"/>
              </w:rPr>
            </w:pPr>
            <w:r>
              <w:rPr>
                <w:rFonts w:hint="eastAsia" w:ascii="Times New Roman" w:hAnsi="宋体" w:eastAsia="宋体"/>
                <w:bCs/>
                <w:color w:val="auto"/>
                <w:sz w:val="24"/>
                <w:szCs w:val="24"/>
                <w:highlight w:val="none"/>
                <w:lang w:eastAsia="zh-CN"/>
              </w:rPr>
              <w:drawing>
                <wp:inline distT="0" distB="0" distL="114300" distR="114300">
                  <wp:extent cx="5450205" cy="5450205"/>
                  <wp:effectExtent l="0" t="0" r="7620" b="7620"/>
                  <wp:docPr id="35" name="图片 35" descr="88b5760faf0e7b85c62edc27477d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8b5760faf0e7b85c62edc27477d7466"/>
                          <pic:cNvPicPr>
                            <a:picLocks noChangeAspect="1"/>
                          </pic:cNvPicPr>
                        </pic:nvPicPr>
                        <pic:blipFill>
                          <a:blip r:embed="rId17"/>
                          <a:stretch>
                            <a:fillRect/>
                          </a:stretch>
                        </pic:blipFill>
                        <pic:spPr>
                          <a:xfrm>
                            <a:off x="0" y="0"/>
                            <a:ext cx="5450205" cy="5450205"/>
                          </a:xfrm>
                          <a:prstGeom prst="rect">
                            <a:avLst/>
                          </a:prstGeom>
                        </pic:spPr>
                      </pic:pic>
                    </a:graphicData>
                  </a:graphic>
                </wp:inline>
              </w:drawing>
            </w:r>
          </w:p>
          <w:p w14:paraId="0C8F95B0">
            <w:pPr>
              <w:widowControl/>
              <w:spacing w:line="360" w:lineRule="auto"/>
              <w:jc w:val="center"/>
              <w:rPr>
                <w:rFonts w:ascii="Times New Roman" w:hAnsi="宋体"/>
                <w:bCs/>
                <w:color w:val="auto"/>
                <w:sz w:val="24"/>
                <w:szCs w:val="24"/>
                <w:highlight w:val="none"/>
              </w:rPr>
            </w:pPr>
            <w:r>
              <w:rPr>
                <w:rFonts w:ascii="黑体" w:hAnsi="黑体" w:eastAsia="黑体"/>
                <w:bCs/>
                <w:color w:val="auto"/>
                <w:sz w:val="24"/>
                <w:szCs w:val="24"/>
                <w:highlight w:val="none"/>
              </w:rPr>
              <w:t>图</w:t>
            </w:r>
            <w:r>
              <w:rPr>
                <w:rFonts w:ascii="Times New Roman" w:hAnsi="Times New Roman"/>
                <w:bCs/>
                <w:color w:val="auto"/>
                <w:sz w:val="24"/>
                <w:szCs w:val="24"/>
                <w:highlight w:val="none"/>
              </w:rPr>
              <w:t>2-</w:t>
            </w:r>
            <w:r>
              <w:rPr>
                <w:rFonts w:hint="eastAsia" w:ascii="Times New Roman" w:hAnsi="Times New Roman"/>
                <w:bCs/>
                <w:color w:val="auto"/>
                <w:sz w:val="24"/>
                <w:szCs w:val="24"/>
                <w:highlight w:val="none"/>
              </w:rPr>
              <w:t xml:space="preserve">3  </w:t>
            </w:r>
            <w:r>
              <w:rPr>
                <w:rFonts w:ascii="黑体" w:hAnsi="黑体" w:eastAsia="黑体"/>
                <w:bCs/>
                <w:color w:val="auto"/>
                <w:sz w:val="24"/>
                <w:szCs w:val="24"/>
                <w:highlight w:val="none"/>
              </w:rPr>
              <w:t>工</w:t>
            </w:r>
            <w:r>
              <w:rPr>
                <w:rFonts w:ascii="Times New Roman" w:hAnsi="黑体" w:eastAsia="黑体"/>
                <w:bCs/>
                <w:color w:val="auto"/>
                <w:sz w:val="24"/>
                <w:szCs w:val="24"/>
                <w:highlight w:val="none"/>
              </w:rPr>
              <w:t>艺流程和产排污环</w:t>
            </w:r>
            <w:r>
              <w:rPr>
                <w:rFonts w:hint="eastAsia" w:ascii="Times New Roman" w:hAnsi="黑体" w:eastAsia="黑体"/>
                <w:bCs/>
                <w:color w:val="auto"/>
                <w:sz w:val="24"/>
                <w:szCs w:val="24"/>
                <w:highlight w:val="none"/>
              </w:rPr>
              <w:t>节节点</w:t>
            </w:r>
            <w:r>
              <w:rPr>
                <w:rFonts w:ascii="Times New Roman" w:hAnsi="黑体" w:eastAsia="黑体"/>
                <w:bCs/>
                <w:color w:val="auto"/>
                <w:sz w:val="24"/>
                <w:szCs w:val="24"/>
                <w:highlight w:val="none"/>
              </w:rPr>
              <w:t>图</w:t>
            </w:r>
          </w:p>
          <w:p w14:paraId="49B47590">
            <w:pPr>
              <w:widowControl/>
              <w:spacing w:line="360" w:lineRule="auto"/>
              <w:ind w:firstLine="479" w:firstLineChars="199"/>
              <w:rPr>
                <w:color w:val="auto"/>
                <w:sz w:val="24"/>
                <w:szCs w:val="28"/>
                <w:highlight w:val="none"/>
              </w:rPr>
            </w:pPr>
            <w:r>
              <w:rPr>
                <w:rFonts w:ascii="Times New Roman"/>
                <w:b/>
                <w:color w:val="auto"/>
                <w:sz w:val="24"/>
                <w:szCs w:val="28"/>
                <w:highlight w:val="none"/>
              </w:rPr>
              <w:t>生产</w:t>
            </w:r>
            <w:r>
              <w:rPr>
                <w:rFonts w:hint="eastAsia" w:ascii="Times New Roman" w:hAnsi="Times New Roman"/>
                <w:b/>
                <w:bCs/>
                <w:color w:val="auto"/>
                <w:kern w:val="0"/>
                <w:sz w:val="24"/>
                <w:szCs w:val="24"/>
                <w:highlight w:val="none"/>
              </w:rPr>
              <w:t>工艺流程简述：</w:t>
            </w:r>
          </w:p>
          <w:p w14:paraId="6E269214">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1</w:t>
            </w:r>
            <w:r>
              <w:rPr>
                <w:rFonts w:hint="eastAsia" w:ascii="Times New Roman" w:hAnsi="Times New Roman"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磨边</w:t>
            </w:r>
          </w:p>
          <w:p w14:paraId="738DD54C">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用磨边机将玻璃原片的四周进行打磨，</w:t>
            </w:r>
            <w:r>
              <w:rPr>
                <w:rFonts w:hint="default" w:ascii="Times New Roman" w:hAnsi="Times New Roman" w:eastAsia="宋体" w:cs="Times New Roman"/>
                <w:bCs/>
                <w:color w:val="auto"/>
                <w:highlight w:val="none"/>
              </w:rPr>
              <w:t>去除锋利的玻璃边缘，磨边过程为湿法作业，</w:t>
            </w:r>
            <w:r>
              <w:rPr>
                <w:rFonts w:hint="eastAsia" w:ascii="Times New Roman" w:hAnsi="Times New Roman" w:cs="Times New Roman"/>
                <w:bCs/>
                <w:color w:val="auto"/>
                <w:highlight w:val="none"/>
                <w:lang w:val="en-US" w:eastAsia="zh-CN"/>
              </w:rPr>
              <w:t>使用制备的纯水</w:t>
            </w:r>
            <w:r>
              <w:rPr>
                <w:rFonts w:hint="default" w:ascii="Times New Roman" w:hAnsi="Times New Roman" w:eastAsia="宋体" w:cs="Times New Roman"/>
                <w:color w:val="auto"/>
                <w:kern w:val="2"/>
                <w:sz w:val="24"/>
                <w:szCs w:val="22"/>
                <w:highlight w:val="none"/>
                <w:lang w:val="en-US" w:eastAsia="zh-CN" w:bidi="ar-SA"/>
              </w:rPr>
              <w:t>在磨边的同时，对</w:t>
            </w:r>
            <w:r>
              <w:rPr>
                <w:rFonts w:hint="default" w:ascii="Times New Roman" w:hAnsi="Times New Roman" w:eastAsia="宋体" w:cs="Times New Roman"/>
                <w:bCs/>
                <w:color w:val="auto"/>
                <w:highlight w:val="none"/>
              </w:rPr>
              <w:t>磨边机的磨轮与玻璃接触部位处</w:t>
            </w:r>
            <w:r>
              <w:rPr>
                <w:rFonts w:hint="default" w:ascii="Times New Roman" w:hAnsi="Times New Roman" w:eastAsia="宋体" w:cs="Times New Roman"/>
                <w:color w:val="auto"/>
                <w:kern w:val="2"/>
                <w:sz w:val="24"/>
                <w:szCs w:val="22"/>
                <w:highlight w:val="none"/>
                <w:lang w:val="en-US" w:eastAsia="zh-CN" w:bidi="ar-SA"/>
              </w:rPr>
              <w:t>喷水冲洗，避免在磨边过程中导致玻璃局部温度过高，影响质量。</w:t>
            </w:r>
            <w:r>
              <w:rPr>
                <w:rFonts w:hint="default" w:ascii="Times New Roman" w:hAnsi="Times New Roman" w:eastAsia="宋体" w:cs="Times New Roman"/>
                <w:bCs/>
                <w:color w:val="auto"/>
                <w:sz w:val="24"/>
                <w:highlight w:val="none"/>
              </w:rPr>
              <w:t>由于磨边过程采用湿法作业，故不产生粉尘。磨边过程中产生的磨边废水</w:t>
            </w:r>
            <w:r>
              <w:rPr>
                <w:rFonts w:hint="default" w:ascii="Times New Roman" w:hAnsi="Times New Roman" w:eastAsia="宋体" w:cs="Times New Roman"/>
                <w:bCs/>
                <w:color w:val="auto"/>
                <w:sz w:val="24"/>
                <w:highlight w:val="none"/>
                <w:lang w:val="en-US" w:eastAsia="zh-CN"/>
              </w:rPr>
              <w:t>经沉淀池沉淀后</w:t>
            </w:r>
            <w:r>
              <w:rPr>
                <w:rFonts w:hint="default" w:ascii="Times New Roman" w:hAnsi="Times New Roman" w:eastAsia="宋体" w:cs="Times New Roman"/>
                <w:bCs/>
                <w:color w:val="auto"/>
                <w:sz w:val="24"/>
                <w:highlight w:val="none"/>
              </w:rPr>
              <w:t>进入</w:t>
            </w:r>
            <w:r>
              <w:rPr>
                <w:rFonts w:hint="default" w:ascii="Times New Roman" w:hAnsi="Times New Roman" w:eastAsia="宋体" w:cs="Times New Roman"/>
                <w:bCs/>
                <w:color w:val="auto"/>
                <w:sz w:val="24"/>
                <w:highlight w:val="none"/>
                <w:lang w:val="en-US" w:eastAsia="zh-CN"/>
              </w:rPr>
              <w:t>车间内设置的废水</w:t>
            </w:r>
            <w:r>
              <w:rPr>
                <w:rFonts w:hint="default" w:ascii="Times New Roman" w:hAnsi="Times New Roman" w:eastAsia="宋体" w:cs="Times New Roman"/>
                <w:bCs/>
                <w:color w:val="auto"/>
                <w:sz w:val="24"/>
                <w:highlight w:val="none"/>
              </w:rPr>
              <w:t>处理设施进行处理，处理后的废水回用于磨边工序。</w:t>
            </w:r>
            <w:r>
              <w:rPr>
                <w:rFonts w:hint="default" w:ascii="Times New Roman" w:hAnsi="Times New Roman" w:eastAsia="宋体" w:cs="Times New Roman"/>
                <w:color w:val="auto"/>
                <w:kern w:val="2"/>
                <w:sz w:val="24"/>
                <w:szCs w:val="22"/>
                <w:highlight w:val="none"/>
                <w:lang w:val="en-US" w:eastAsia="zh-CN" w:bidi="ar-SA"/>
              </w:rPr>
              <w:t>此工序中产生W1磨边废水、S1玻璃屑和N1设备噪声。</w:t>
            </w:r>
          </w:p>
          <w:p w14:paraId="12589350">
            <w:pPr>
              <w:keepNext w:val="0"/>
              <w:keepLines w:val="0"/>
              <w:pageBreakBefore w:val="0"/>
              <w:widowControl w:val="0"/>
              <w:tabs>
                <w:tab w:val="center" w:pos="4456"/>
                <w:tab w:val="left" w:pos="7350"/>
              </w:tabs>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2</w:t>
            </w:r>
            <w:r>
              <w:rPr>
                <w:rFonts w:hint="eastAsia" w:ascii="Times New Roman" w:hAnsi="Times New Roman" w:eastAsia="宋体"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清洗</w:t>
            </w:r>
          </w:p>
          <w:p w14:paraId="59AB7827">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磨边后的玻璃需要清洗，清洗采用纯水，利用清洗机将玻璃表面的杂质、灰尘等清洗干净，清洗机自带风干功能，清洗完后立即将玻璃表面的水分吹干。此工序会产生W2清洗废水。清洗</w:t>
            </w:r>
            <w:r>
              <w:rPr>
                <w:rFonts w:hint="default" w:ascii="Times New Roman" w:hAnsi="Times New Roman" w:eastAsia="宋体" w:cs="Times New Roman"/>
                <w:bCs/>
                <w:color w:val="auto"/>
                <w:sz w:val="24"/>
                <w:highlight w:val="none"/>
              </w:rPr>
              <w:t>废水</w:t>
            </w:r>
            <w:r>
              <w:rPr>
                <w:rFonts w:hint="default" w:ascii="Times New Roman" w:hAnsi="Times New Roman" w:eastAsia="宋体" w:cs="Times New Roman"/>
                <w:bCs/>
                <w:color w:val="auto"/>
                <w:sz w:val="24"/>
                <w:highlight w:val="none"/>
                <w:lang w:val="en-US" w:eastAsia="zh-CN"/>
              </w:rPr>
              <w:t>与二次清洗和三次清洗产生的清洗废水一并经沉淀池沉淀后</w:t>
            </w:r>
            <w:r>
              <w:rPr>
                <w:rFonts w:hint="default" w:ascii="Times New Roman" w:hAnsi="Times New Roman" w:eastAsia="宋体" w:cs="Times New Roman"/>
                <w:bCs/>
                <w:color w:val="auto"/>
                <w:sz w:val="24"/>
                <w:highlight w:val="none"/>
              </w:rPr>
              <w:t>进入</w:t>
            </w:r>
            <w:r>
              <w:rPr>
                <w:rFonts w:hint="default" w:ascii="Times New Roman" w:hAnsi="Times New Roman" w:eastAsia="宋体" w:cs="Times New Roman"/>
                <w:bCs/>
                <w:color w:val="auto"/>
                <w:sz w:val="24"/>
                <w:highlight w:val="none"/>
                <w:lang w:val="en-US" w:eastAsia="zh-CN"/>
              </w:rPr>
              <w:t>车间内设置的废水</w:t>
            </w:r>
            <w:r>
              <w:rPr>
                <w:rFonts w:hint="default" w:ascii="Times New Roman" w:hAnsi="Times New Roman" w:eastAsia="宋体" w:cs="Times New Roman"/>
                <w:bCs/>
                <w:color w:val="auto"/>
                <w:sz w:val="24"/>
                <w:highlight w:val="none"/>
              </w:rPr>
              <w:t>处理设施进行处理，处理后的废水回用于</w:t>
            </w:r>
            <w:r>
              <w:rPr>
                <w:rFonts w:hint="default" w:ascii="Times New Roman" w:hAnsi="Times New Roman" w:eastAsia="宋体" w:cs="Times New Roman"/>
                <w:bCs/>
                <w:color w:val="auto"/>
                <w:sz w:val="24"/>
                <w:highlight w:val="none"/>
                <w:lang w:val="en-US" w:eastAsia="zh-CN"/>
              </w:rPr>
              <w:t>清洗</w:t>
            </w:r>
            <w:r>
              <w:rPr>
                <w:rFonts w:hint="default" w:ascii="Times New Roman" w:hAnsi="Times New Roman" w:eastAsia="宋体" w:cs="Times New Roman"/>
                <w:bCs/>
                <w:color w:val="auto"/>
                <w:sz w:val="24"/>
                <w:highlight w:val="none"/>
              </w:rPr>
              <w:t>工序</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废水处理设施产生的超浓水和纯水制备浓水以及生活污水一并排放，</w:t>
            </w:r>
            <w:r>
              <w:rPr>
                <w:rFonts w:hint="default" w:ascii="Times New Roman" w:hAnsi="Times New Roman" w:eastAsia="宋体" w:cs="Times New Roman"/>
                <w:bCs/>
                <w:color w:val="auto"/>
                <w:sz w:val="24"/>
                <w:highlight w:val="none"/>
                <w:lang w:val="en-US" w:eastAsia="zh-CN"/>
              </w:rPr>
              <w:t>此工序产生S2玻璃屑</w:t>
            </w:r>
            <w:r>
              <w:rPr>
                <w:rFonts w:hint="eastAsia" w:ascii="Times New Roman" w:hAnsi="Times New Roman" w:cs="Times New Roman"/>
                <w:bCs/>
                <w:color w:val="auto"/>
                <w:sz w:val="24"/>
                <w:highlight w:val="none"/>
                <w:lang w:val="en-US" w:eastAsia="zh-CN"/>
              </w:rPr>
              <w:t>、</w:t>
            </w:r>
            <w:r>
              <w:rPr>
                <w:rFonts w:hint="eastAsia" w:ascii="Times New Roman" w:hAnsi="Times New Roman" w:cs="Times New Roman"/>
                <w:color w:val="auto"/>
                <w:kern w:val="2"/>
                <w:sz w:val="24"/>
                <w:szCs w:val="22"/>
                <w:highlight w:val="none"/>
                <w:lang w:val="en-US" w:eastAsia="zh-CN" w:bidi="ar-SA"/>
              </w:rPr>
              <w:t>W5超浓水</w:t>
            </w:r>
            <w:r>
              <w:rPr>
                <w:rFonts w:hint="default" w:ascii="Times New Roman" w:hAnsi="Times New Roman" w:eastAsia="宋体" w:cs="Times New Roman"/>
                <w:bCs/>
                <w:color w:val="auto"/>
                <w:sz w:val="24"/>
                <w:highlight w:val="none"/>
                <w:lang w:val="en-US" w:eastAsia="zh-CN"/>
              </w:rPr>
              <w:t>和W2</w:t>
            </w:r>
            <w:r>
              <w:rPr>
                <w:rFonts w:hint="default" w:ascii="Times New Roman" w:hAnsi="Times New Roman" w:eastAsia="宋体" w:cs="Times New Roman"/>
                <w:color w:val="auto"/>
                <w:kern w:val="2"/>
                <w:sz w:val="24"/>
                <w:szCs w:val="22"/>
                <w:highlight w:val="none"/>
                <w:lang w:val="en-US" w:eastAsia="zh-CN" w:bidi="ar-SA"/>
              </w:rPr>
              <w:t>清洗废水。</w:t>
            </w:r>
          </w:p>
          <w:p w14:paraId="7F3DE530">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（3）打孔</w:t>
            </w:r>
          </w:p>
          <w:p w14:paraId="3EBD6481">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用打孔机将清洗后的玻璃进行打孔，打孔为湿法作业，</w:t>
            </w:r>
            <w:r>
              <w:rPr>
                <w:rFonts w:hint="eastAsia" w:ascii="Times New Roman" w:hAnsi="Times New Roman" w:cs="Times New Roman"/>
                <w:color w:val="auto"/>
                <w:kern w:val="2"/>
                <w:sz w:val="24"/>
                <w:szCs w:val="22"/>
                <w:highlight w:val="none"/>
                <w:lang w:val="en-US" w:eastAsia="zh-CN" w:bidi="ar-SA"/>
              </w:rPr>
              <w:t>仅用少量水将打孔位置</w:t>
            </w:r>
            <w:r>
              <w:rPr>
                <w:rFonts w:hint="eastAsia" w:ascii="Times New Roman" w:hAnsi="Times New Roman" w:cs="Times New Roman"/>
                <w:bCs/>
                <w:color w:val="auto"/>
                <w:sz w:val="24"/>
                <w:szCs w:val="24"/>
                <w:highlight w:val="none"/>
                <w:lang w:val="en-US" w:eastAsia="zh-CN"/>
              </w:rPr>
              <w:t>人工喷水</w:t>
            </w:r>
            <w:r>
              <w:rPr>
                <w:rFonts w:hint="eastAsia" w:ascii="Times New Roman" w:hAnsi="Times New Roman" w:cs="Times New Roman"/>
                <w:color w:val="auto"/>
                <w:kern w:val="2"/>
                <w:sz w:val="24"/>
                <w:szCs w:val="22"/>
                <w:highlight w:val="none"/>
                <w:lang w:val="en-US" w:eastAsia="zh-CN" w:bidi="ar-SA"/>
              </w:rPr>
              <w:t>润湿</w:t>
            </w:r>
            <w:r>
              <w:rPr>
                <w:rFonts w:hint="default" w:ascii="Times New Roman" w:hAnsi="Times New Roman" w:eastAsia="宋体" w:cs="Times New Roman"/>
                <w:color w:val="auto"/>
                <w:kern w:val="2"/>
                <w:sz w:val="24"/>
                <w:szCs w:val="22"/>
                <w:highlight w:val="none"/>
                <w:lang w:val="en-US" w:eastAsia="zh-CN" w:bidi="ar-SA"/>
              </w:rPr>
              <w:t>。</w:t>
            </w:r>
            <w:r>
              <w:rPr>
                <w:rFonts w:hint="default" w:ascii="Times New Roman" w:hAnsi="Times New Roman" w:eastAsia="宋体" w:cs="Times New Roman"/>
                <w:bCs/>
                <w:color w:val="auto"/>
                <w:sz w:val="24"/>
                <w:highlight w:val="none"/>
              </w:rPr>
              <w:t>由于打孔过程采用湿法作业，故不产生粉尘。</w:t>
            </w:r>
            <w:r>
              <w:rPr>
                <w:rFonts w:hint="default" w:ascii="Times New Roman" w:hAnsi="Times New Roman" w:eastAsia="宋体" w:cs="Times New Roman"/>
                <w:bCs/>
                <w:color w:val="auto"/>
                <w:sz w:val="24"/>
                <w:highlight w:val="none"/>
                <w:lang w:val="en-US" w:eastAsia="zh-CN"/>
              </w:rPr>
              <w:t>打孔</w:t>
            </w:r>
            <w:r>
              <w:rPr>
                <w:rFonts w:hint="default" w:ascii="Times New Roman" w:hAnsi="Times New Roman" w:eastAsia="宋体" w:cs="Times New Roman"/>
                <w:bCs/>
                <w:color w:val="auto"/>
                <w:sz w:val="24"/>
                <w:highlight w:val="none"/>
              </w:rPr>
              <w:t>过程中</w:t>
            </w:r>
            <w:r>
              <w:rPr>
                <w:rFonts w:hint="eastAsia" w:ascii="Times New Roman" w:hAnsi="Times New Roman" w:cs="Times New Roman"/>
                <w:bCs/>
                <w:color w:val="auto"/>
                <w:sz w:val="24"/>
                <w:highlight w:val="none"/>
                <w:lang w:val="en-US" w:eastAsia="zh-CN"/>
              </w:rPr>
              <w:t>用水在生产过程中全部挥发。</w:t>
            </w:r>
            <w:r>
              <w:rPr>
                <w:rFonts w:hint="default" w:ascii="Times New Roman" w:hAnsi="Times New Roman" w:eastAsia="宋体" w:cs="Times New Roman"/>
                <w:color w:val="auto"/>
                <w:kern w:val="2"/>
                <w:sz w:val="24"/>
                <w:szCs w:val="22"/>
                <w:highlight w:val="none"/>
                <w:lang w:val="en-US" w:eastAsia="zh-CN" w:bidi="ar-SA"/>
              </w:rPr>
              <w:t>此工序中产生N2设备噪声。</w:t>
            </w:r>
          </w:p>
          <w:p w14:paraId="68D6311F">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（4）倒角</w:t>
            </w:r>
          </w:p>
          <w:p w14:paraId="6A020E94">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用倒角机将打孔后的玻璃的四角进行处理，倒角为湿法作业，</w:t>
            </w:r>
            <w:r>
              <w:rPr>
                <w:rFonts w:hint="eastAsia" w:ascii="Times New Roman" w:hAnsi="Times New Roman" w:cs="Times New Roman"/>
                <w:color w:val="auto"/>
                <w:kern w:val="2"/>
                <w:sz w:val="24"/>
                <w:szCs w:val="22"/>
                <w:highlight w:val="none"/>
                <w:lang w:val="en-US" w:eastAsia="zh-CN" w:bidi="ar-SA"/>
              </w:rPr>
              <w:t>仅用少量水将倒角位置</w:t>
            </w:r>
            <w:r>
              <w:rPr>
                <w:rFonts w:hint="eastAsia" w:ascii="Times New Roman" w:hAnsi="Times New Roman" w:cs="Times New Roman"/>
                <w:bCs/>
                <w:color w:val="auto"/>
                <w:sz w:val="24"/>
                <w:szCs w:val="24"/>
                <w:highlight w:val="none"/>
                <w:lang w:val="en-US" w:eastAsia="zh-CN"/>
              </w:rPr>
              <w:t>人工喷水</w:t>
            </w:r>
            <w:r>
              <w:rPr>
                <w:rFonts w:hint="eastAsia" w:ascii="Times New Roman" w:hAnsi="Times New Roman" w:cs="Times New Roman"/>
                <w:color w:val="auto"/>
                <w:kern w:val="2"/>
                <w:sz w:val="24"/>
                <w:szCs w:val="22"/>
                <w:highlight w:val="none"/>
                <w:lang w:val="en-US" w:eastAsia="zh-CN" w:bidi="ar-SA"/>
              </w:rPr>
              <w:t>润湿，</w:t>
            </w:r>
            <w:r>
              <w:rPr>
                <w:rFonts w:hint="default" w:ascii="Times New Roman" w:hAnsi="Times New Roman" w:eastAsia="宋体" w:cs="Times New Roman"/>
                <w:bCs/>
                <w:color w:val="auto"/>
                <w:sz w:val="24"/>
                <w:highlight w:val="none"/>
              </w:rPr>
              <w:t>故不产生粉尘。</w:t>
            </w:r>
            <w:r>
              <w:rPr>
                <w:rFonts w:hint="default" w:ascii="Times New Roman" w:hAnsi="Times New Roman" w:eastAsia="宋体" w:cs="Times New Roman"/>
                <w:color w:val="auto"/>
                <w:kern w:val="2"/>
                <w:sz w:val="24"/>
                <w:szCs w:val="22"/>
                <w:highlight w:val="none"/>
                <w:lang w:val="en-US" w:eastAsia="zh-CN" w:bidi="ar-SA"/>
              </w:rPr>
              <w:t>此工序产生N</w:t>
            </w:r>
            <w:r>
              <w:rPr>
                <w:rFonts w:hint="eastAsia" w:ascii="Times New Roman" w:hAnsi="Times New Roman" w:cs="Times New Roman"/>
                <w:color w:val="auto"/>
                <w:kern w:val="2"/>
                <w:sz w:val="24"/>
                <w:szCs w:val="22"/>
                <w:highlight w:val="none"/>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设备噪声。</w:t>
            </w:r>
          </w:p>
          <w:p w14:paraId="6F2649E2">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（5）二次清洗</w:t>
            </w:r>
          </w:p>
          <w:p w14:paraId="468F1822">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cs="Times New Roman"/>
                <w:color w:val="auto"/>
                <w:kern w:val="2"/>
                <w:sz w:val="24"/>
                <w:szCs w:val="22"/>
                <w:highlight w:val="none"/>
                <w:lang w:val="en-US" w:eastAsia="zh-CN" w:bidi="ar-SA"/>
              </w:rPr>
              <w:t>打孔倒角</w:t>
            </w:r>
            <w:r>
              <w:rPr>
                <w:rFonts w:hint="default" w:ascii="Times New Roman" w:hAnsi="Times New Roman" w:eastAsia="宋体" w:cs="Times New Roman"/>
                <w:color w:val="auto"/>
                <w:kern w:val="2"/>
                <w:sz w:val="24"/>
                <w:szCs w:val="22"/>
                <w:highlight w:val="none"/>
                <w:lang w:val="en-US" w:eastAsia="zh-CN" w:bidi="ar-SA"/>
              </w:rPr>
              <w:t>后的玻璃需要清洗，清洗采用纯水，利用清洗机将玻璃表面的杂质、灰尘等清洗干净，清洗机自带风干功能，清洗完后即将玻璃表面的水分吹干。此工序会产生W</w:t>
            </w:r>
            <w:r>
              <w:rPr>
                <w:rFonts w:hint="eastAsia" w:ascii="Times New Roman" w:hAnsi="Times New Roman" w:cs="Times New Roman"/>
                <w:color w:val="auto"/>
                <w:kern w:val="2"/>
                <w:sz w:val="24"/>
                <w:szCs w:val="22"/>
                <w:highlight w:val="none"/>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清洗废水。清洗</w:t>
            </w:r>
            <w:r>
              <w:rPr>
                <w:rFonts w:hint="default" w:ascii="Times New Roman" w:hAnsi="Times New Roman" w:eastAsia="宋体" w:cs="Times New Roman"/>
                <w:bCs/>
                <w:color w:val="auto"/>
                <w:sz w:val="24"/>
                <w:highlight w:val="none"/>
              </w:rPr>
              <w:t>废水</w:t>
            </w:r>
            <w:r>
              <w:rPr>
                <w:rFonts w:hint="default" w:ascii="Times New Roman" w:hAnsi="Times New Roman" w:eastAsia="宋体" w:cs="Times New Roman"/>
                <w:bCs/>
                <w:color w:val="auto"/>
                <w:sz w:val="24"/>
                <w:highlight w:val="none"/>
                <w:lang w:val="en-US" w:eastAsia="zh-CN"/>
              </w:rPr>
              <w:t>与二次清洗和三次清洗产生的清洗废水一并经沉淀池沉淀后</w:t>
            </w:r>
            <w:r>
              <w:rPr>
                <w:rFonts w:hint="default" w:ascii="Times New Roman" w:hAnsi="Times New Roman" w:eastAsia="宋体" w:cs="Times New Roman"/>
                <w:bCs/>
                <w:color w:val="auto"/>
                <w:sz w:val="24"/>
                <w:highlight w:val="none"/>
              </w:rPr>
              <w:t>进入</w:t>
            </w:r>
            <w:r>
              <w:rPr>
                <w:rFonts w:hint="default" w:ascii="Times New Roman" w:hAnsi="Times New Roman" w:eastAsia="宋体" w:cs="Times New Roman"/>
                <w:bCs/>
                <w:color w:val="auto"/>
                <w:sz w:val="24"/>
                <w:highlight w:val="none"/>
                <w:lang w:val="en-US" w:eastAsia="zh-CN"/>
              </w:rPr>
              <w:t>车间内设置的废水</w:t>
            </w:r>
            <w:r>
              <w:rPr>
                <w:rFonts w:hint="default" w:ascii="Times New Roman" w:hAnsi="Times New Roman" w:eastAsia="宋体" w:cs="Times New Roman"/>
                <w:bCs/>
                <w:color w:val="auto"/>
                <w:sz w:val="24"/>
                <w:highlight w:val="none"/>
              </w:rPr>
              <w:t>处理设施进行处理，处理后的废水回用于</w:t>
            </w:r>
            <w:r>
              <w:rPr>
                <w:rFonts w:hint="default" w:ascii="Times New Roman" w:hAnsi="Times New Roman" w:eastAsia="宋体" w:cs="Times New Roman"/>
                <w:bCs/>
                <w:color w:val="auto"/>
                <w:sz w:val="24"/>
                <w:highlight w:val="none"/>
                <w:lang w:val="en-US" w:eastAsia="zh-CN"/>
              </w:rPr>
              <w:t>清洗</w:t>
            </w:r>
            <w:r>
              <w:rPr>
                <w:rFonts w:hint="default" w:ascii="Times New Roman" w:hAnsi="Times New Roman" w:eastAsia="宋体" w:cs="Times New Roman"/>
                <w:bCs/>
                <w:color w:val="auto"/>
                <w:sz w:val="24"/>
                <w:highlight w:val="none"/>
              </w:rPr>
              <w:t>工序</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产生的超浓水和纯水制备浓水以及生活污水一并排放，</w:t>
            </w:r>
            <w:r>
              <w:rPr>
                <w:rFonts w:hint="default" w:ascii="Times New Roman" w:hAnsi="Times New Roman" w:eastAsia="宋体" w:cs="Times New Roman"/>
                <w:bCs/>
                <w:color w:val="auto"/>
                <w:sz w:val="24"/>
                <w:highlight w:val="none"/>
                <w:lang w:val="en-US" w:eastAsia="zh-CN"/>
              </w:rPr>
              <w:t>此工序产生</w:t>
            </w:r>
            <w:r>
              <w:rPr>
                <w:rFonts w:hint="default" w:ascii="Times New Roman" w:hAnsi="Times New Roman" w:eastAsia="宋体" w:cs="Times New Roman"/>
                <w:color w:val="auto"/>
                <w:kern w:val="2"/>
                <w:sz w:val="24"/>
                <w:szCs w:val="22"/>
                <w:highlight w:val="none"/>
                <w:lang w:val="en-US" w:eastAsia="zh-CN" w:bidi="ar-SA"/>
              </w:rPr>
              <w:t>W</w:t>
            </w:r>
            <w:r>
              <w:rPr>
                <w:rFonts w:hint="eastAsia" w:ascii="Times New Roman" w:hAnsi="Times New Roman" w:cs="Times New Roman"/>
                <w:color w:val="auto"/>
                <w:kern w:val="2"/>
                <w:sz w:val="24"/>
                <w:szCs w:val="22"/>
                <w:highlight w:val="none"/>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清洗废水</w:t>
            </w:r>
            <w:r>
              <w:rPr>
                <w:rFonts w:hint="eastAsia" w:ascii="Times New Roman" w:hAnsi="Times New Roman" w:cs="Times New Roman"/>
                <w:color w:val="auto"/>
                <w:kern w:val="2"/>
                <w:sz w:val="24"/>
                <w:szCs w:val="22"/>
                <w:highlight w:val="none"/>
                <w:lang w:val="en-US" w:eastAsia="zh-CN" w:bidi="ar-SA"/>
              </w:rPr>
              <w:t>、W5超浓水</w:t>
            </w:r>
            <w:r>
              <w:rPr>
                <w:rFonts w:hint="default" w:ascii="Times New Roman" w:hAnsi="Times New Roman" w:eastAsia="宋体" w:cs="Times New Roman"/>
                <w:color w:val="auto"/>
                <w:kern w:val="2"/>
                <w:sz w:val="24"/>
                <w:szCs w:val="22"/>
                <w:highlight w:val="none"/>
                <w:lang w:val="en-US" w:eastAsia="zh-CN" w:bidi="ar-SA"/>
              </w:rPr>
              <w:t>和</w:t>
            </w:r>
            <w:r>
              <w:rPr>
                <w:rFonts w:hint="default" w:ascii="Times New Roman" w:hAnsi="Times New Roman" w:eastAsia="宋体" w:cs="Times New Roman"/>
                <w:bCs/>
                <w:color w:val="auto"/>
                <w:sz w:val="24"/>
                <w:highlight w:val="none"/>
                <w:lang w:val="en-US" w:eastAsia="zh-CN"/>
              </w:rPr>
              <w:t>S</w:t>
            </w:r>
            <w:r>
              <w:rPr>
                <w:rFonts w:hint="eastAsia" w:ascii="Times New Roman" w:hAnsi="Times New Roman"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玻璃屑</w:t>
            </w:r>
            <w:r>
              <w:rPr>
                <w:rFonts w:hint="default" w:ascii="Times New Roman" w:hAnsi="Times New Roman" w:eastAsia="宋体" w:cs="Times New Roman"/>
                <w:color w:val="auto"/>
                <w:kern w:val="2"/>
                <w:sz w:val="24"/>
                <w:szCs w:val="22"/>
                <w:highlight w:val="none"/>
                <w:lang w:val="en-US" w:eastAsia="zh-CN" w:bidi="ar-SA"/>
              </w:rPr>
              <w:t>。</w:t>
            </w:r>
          </w:p>
          <w:p w14:paraId="289AA40C">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（6）丝印</w:t>
            </w:r>
          </w:p>
          <w:p w14:paraId="36A3A3A0">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打孔后的玻璃根据客户需要通过丝印机利用</w:t>
            </w:r>
            <w:r>
              <w:rPr>
                <w:rFonts w:hint="eastAsia" w:ascii="Times New Roman" w:hAnsi="Times New Roman" w:cs="Times New Roman"/>
                <w:color w:val="auto"/>
                <w:kern w:val="2"/>
                <w:sz w:val="24"/>
                <w:szCs w:val="22"/>
                <w:highlight w:val="none"/>
                <w:lang w:val="en-US" w:eastAsia="zh-CN" w:bidi="ar-SA"/>
              </w:rPr>
              <w:t>高反射膜材料</w:t>
            </w:r>
            <w:r>
              <w:rPr>
                <w:rFonts w:hint="default" w:ascii="Times New Roman" w:hAnsi="Times New Roman" w:eastAsia="宋体" w:cs="Times New Roman"/>
                <w:color w:val="auto"/>
                <w:kern w:val="2"/>
                <w:sz w:val="24"/>
                <w:szCs w:val="22"/>
                <w:highlight w:val="none"/>
                <w:lang w:val="en-US" w:eastAsia="zh-CN" w:bidi="ar-SA"/>
              </w:rPr>
              <w:t>在玻璃上绘制图案。本项目印刷</w:t>
            </w:r>
            <w:r>
              <w:rPr>
                <w:rFonts w:hint="eastAsia" w:ascii="Times New Roman" w:hAnsi="Times New Roman" w:cs="Times New Roman"/>
                <w:color w:val="auto"/>
                <w:kern w:val="2"/>
                <w:sz w:val="24"/>
                <w:szCs w:val="22"/>
                <w:highlight w:val="none"/>
                <w:lang w:val="en-US" w:eastAsia="zh-CN" w:bidi="ar-SA"/>
              </w:rPr>
              <w:t>高反射膜材料</w:t>
            </w:r>
            <w:r>
              <w:rPr>
                <w:rFonts w:hint="default" w:ascii="Times New Roman" w:hAnsi="Times New Roman" w:eastAsia="宋体" w:cs="Times New Roman"/>
                <w:color w:val="auto"/>
                <w:kern w:val="2"/>
                <w:sz w:val="24"/>
                <w:szCs w:val="22"/>
                <w:highlight w:val="none"/>
                <w:lang w:val="en-US" w:eastAsia="zh-CN" w:bidi="ar-SA"/>
              </w:rPr>
              <w:t>不需调配，需要时送入丝印区。印时</w:t>
            </w:r>
            <w:r>
              <w:rPr>
                <w:rFonts w:hint="eastAsia" w:ascii="Times New Roman" w:hAnsi="Times New Roman" w:cs="Times New Roman"/>
                <w:color w:val="auto"/>
                <w:kern w:val="2"/>
                <w:sz w:val="24"/>
                <w:szCs w:val="22"/>
                <w:highlight w:val="none"/>
                <w:lang w:val="en-US" w:eastAsia="zh-CN" w:bidi="ar-SA"/>
              </w:rPr>
              <w:t>高反射膜材料</w:t>
            </w:r>
            <w:r>
              <w:rPr>
                <w:rFonts w:hint="default" w:ascii="Times New Roman" w:hAnsi="Times New Roman" w:eastAsia="宋体" w:cs="Times New Roman"/>
                <w:color w:val="auto"/>
                <w:kern w:val="2"/>
                <w:sz w:val="24"/>
                <w:szCs w:val="22"/>
                <w:highlight w:val="none"/>
                <w:lang w:val="en-US" w:eastAsia="zh-CN" w:bidi="ar-SA"/>
              </w:rPr>
              <w:t>直接注入网版，固着于网版上。厂内不进行制版。丝印机不使用清洗剂清洗，定期用抹布擦拭清洁。该工序产生G1丝印废气（以非甲烷总烃计）、S</w:t>
            </w:r>
            <w:r>
              <w:rPr>
                <w:rFonts w:hint="eastAsia" w:ascii="Times New Roman" w:hAnsi="Times New Roman" w:cs="Times New Roman"/>
                <w:color w:val="auto"/>
                <w:kern w:val="2"/>
                <w:sz w:val="24"/>
                <w:szCs w:val="22"/>
                <w:highlight w:val="none"/>
                <w:lang w:val="en-US" w:eastAsia="zh-CN" w:bidi="ar-SA"/>
              </w:rPr>
              <w:t>4</w:t>
            </w:r>
            <w:r>
              <w:rPr>
                <w:rFonts w:hint="default" w:ascii="Times New Roman" w:hAnsi="Times New Roman" w:eastAsia="宋体" w:cs="Times New Roman"/>
                <w:color w:val="auto"/>
                <w:kern w:val="2"/>
                <w:sz w:val="24"/>
                <w:szCs w:val="22"/>
                <w:highlight w:val="none"/>
                <w:lang w:val="en-US" w:eastAsia="zh-CN" w:bidi="ar-SA"/>
              </w:rPr>
              <w:t>废</w:t>
            </w:r>
            <w:r>
              <w:rPr>
                <w:rFonts w:hint="eastAsia" w:ascii="Times New Roman" w:hAnsi="Times New Roman" w:cs="Times New Roman"/>
                <w:color w:val="auto"/>
                <w:kern w:val="2"/>
                <w:sz w:val="24"/>
                <w:szCs w:val="22"/>
                <w:highlight w:val="none"/>
                <w:lang w:val="en-US" w:eastAsia="zh-CN" w:bidi="ar-SA"/>
              </w:rPr>
              <w:t>高反射膜材料</w:t>
            </w:r>
            <w:r>
              <w:rPr>
                <w:rFonts w:hint="default" w:ascii="Times New Roman" w:hAnsi="Times New Roman" w:eastAsia="宋体" w:cs="Times New Roman"/>
                <w:color w:val="auto"/>
                <w:kern w:val="2"/>
                <w:sz w:val="24"/>
                <w:szCs w:val="22"/>
                <w:highlight w:val="none"/>
                <w:lang w:val="en-US" w:eastAsia="zh-CN" w:bidi="ar-SA"/>
              </w:rPr>
              <w:t>桶、S</w:t>
            </w:r>
            <w:r>
              <w:rPr>
                <w:rFonts w:hint="eastAsia" w:ascii="Times New Roman" w:hAnsi="Times New Roman" w:cs="Times New Roman"/>
                <w:color w:val="auto"/>
                <w:kern w:val="2"/>
                <w:sz w:val="24"/>
                <w:szCs w:val="22"/>
                <w:highlight w:val="none"/>
                <w:lang w:val="en-US" w:eastAsia="zh-CN" w:bidi="ar-SA"/>
              </w:rPr>
              <w:t>5</w:t>
            </w:r>
            <w:r>
              <w:rPr>
                <w:rFonts w:hint="default" w:ascii="Times New Roman" w:hAnsi="Times New Roman" w:eastAsia="宋体" w:cs="Times New Roman"/>
                <w:color w:val="auto"/>
                <w:kern w:val="2"/>
                <w:sz w:val="24"/>
                <w:szCs w:val="22"/>
                <w:highlight w:val="none"/>
                <w:lang w:val="en-US" w:eastAsia="zh-CN" w:bidi="ar-SA"/>
              </w:rPr>
              <w:t>废含</w:t>
            </w:r>
            <w:r>
              <w:rPr>
                <w:rFonts w:hint="eastAsia" w:ascii="Times New Roman" w:hAnsi="Times New Roman" w:cs="Times New Roman"/>
                <w:color w:val="auto"/>
                <w:kern w:val="2"/>
                <w:sz w:val="24"/>
                <w:szCs w:val="22"/>
                <w:highlight w:val="none"/>
                <w:lang w:val="en-US" w:eastAsia="zh-CN" w:bidi="ar-SA"/>
              </w:rPr>
              <w:t>高反射膜材料</w:t>
            </w:r>
            <w:r>
              <w:rPr>
                <w:rFonts w:hint="default" w:ascii="Times New Roman" w:hAnsi="Times New Roman" w:eastAsia="宋体" w:cs="Times New Roman"/>
                <w:color w:val="auto"/>
                <w:kern w:val="2"/>
                <w:sz w:val="24"/>
                <w:szCs w:val="22"/>
                <w:highlight w:val="none"/>
                <w:lang w:val="en-US" w:eastAsia="zh-CN" w:bidi="ar-SA"/>
              </w:rPr>
              <w:t>抹布和S</w:t>
            </w:r>
            <w:r>
              <w:rPr>
                <w:rFonts w:hint="eastAsia" w:ascii="Times New Roman" w:hAnsi="Times New Roman" w:cs="Times New Roman"/>
                <w:color w:val="auto"/>
                <w:kern w:val="2"/>
                <w:sz w:val="24"/>
                <w:szCs w:val="22"/>
                <w:highlight w:val="none"/>
                <w:lang w:val="en-US" w:eastAsia="zh-CN" w:bidi="ar-SA"/>
              </w:rPr>
              <w:t>6</w:t>
            </w:r>
            <w:r>
              <w:rPr>
                <w:rFonts w:hint="default" w:ascii="Times New Roman" w:hAnsi="Times New Roman" w:eastAsia="宋体" w:cs="Times New Roman"/>
                <w:color w:val="auto"/>
                <w:kern w:val="2"/>
                <w:sz w:val="24"/>
                <w:szCs w:val="22"/>
                <w:highlight w:val="none"/>
                <w:lang w:val="en-US" w:eastAsia="zh-CN" w:bidi="ar-SA"/>
              </w:rPr>
              <w:t>废印版。</w:t>
            </w:r>
          </w:p>
          <w:p w14:paraId="6A308DA1">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（7）固化</w:t>
            </w:r>
          </w:p>
          <w:p w14:paraId="4242FDC1">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丝印后的玻璃表面的</w:t>
            </w:r>
            <w:r>
              <w:rPr>
                <w:rFonts w:hint="eastAsia" w:ascii="Times New Roman" w:hAnsi="Times New Roman" w:cs="Times New Roman"/>
                <w:color w:val="auto"/>
                <w:kern w:val="2"/>
                <w:sz w:val="24"/>
                <w:szCs w:val="22"/>
                <w:highlight w:val="none"/>
                <w:lang w:val="en-US" w:eastAsia="zh-CN" w:bidi="ar-SA"/>
              </w:rPr>
              <w:t>高反射膜材料</w:t>
            </w:r>
            <w:r>
              <w:rPr>
                <w:rFonts w:hint="default" w:ascii="Times New Roman" w:hAnsi="Times New Roman" w:eastAsia="宋体" w:cs="Times New Roman"/>
                <w:color w:val="auto"/>
                <w:kern w:val="2"/>
                <w:sz w:val="24"/>
                <w:szCs w:val="22"/>
                <w:highlight w:val="none"/>
                <w:lang w:val="en-US" w:eastAsia="zh-CN" w:bidi="ar-SA"/>
              </w:rPr>
              <w:t>在丝印机内进行电烘干</w:t>
            </w:r>
            <w:r>
              <w:rPr>
                <w:rFonts w:hint="eastAsia" w:ascii="Times New Roman" w:hAnsi="Times New Roman" w:cs="Times New Roman"/>
                <w:color w:val="auto"/>
                <w:kern w:val="2"/>
                <w:sz w:val="24"/>
                <w:szCs w:val="22"/>
                <w:highlight w:val="none"/>
                <w:lang w:val="en-US" w:eastAsia="zh-CN" w:bidi="ar-SA"/>
              </w:rPr>
              <w:t>，温度为180℃，持续5分钟</w:t>
            </w:r>
            <w:r>
              <w:rPr>
                <w:rFonts w:hint="default" w:ascii="Times New Roman" w:hAnsi="Times New Roman" w:eastAsia="宋体" w:cs="Times New Roman"/>
                <w:color w:val="auto"/>
                <w:kern w:val="2"/>
                <w:sz w:val="24"/>
                <w:szCs w:val="22"/>
                <w:highlight w:val="none"/>
                <w:lang w:val="en-US" w:eastAsia="zh-CN" w:bidi="ar-SA"/>
              </w:rPr>
              <w:t>。该工序产生G2固化废气。</w:t>
            </w:r>
          </w:p>
          <w:p w14:paraId="5639F45E">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（8）钢化</w:t>
            </w:r>
          </w:p>
          <w:p w14:paraId="0094BAFD">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对丝印固化后的玻璃进行钢化处理。玻璃进入钢化炉，加热约15~30分钟，加热温度约600℃ , 采用电加热，刚好达到玻璃软化点，然后出钢化炉后经高压风机、中压风机、低压风机向玻璃两面喷吹空气，使之迅速、均匀的冷却，当冷却至室温后，就形成了高强度的钢化玻璃。该工序产生设备噪声N4。</w:t>
            </w:r>
          </w:p>
          <w:p w14:paraId="556A6420">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（9）三次清洗</w:t>
            </w:r>
          </w:p>
          <w:p w14:paraId="41C58052">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钢化后的玻璃需要清洗，利用清洗机将玻璃表面的杂质、灰尘等清洗干净，清洗机自带风干功能，清洗完后即将玻璃表面的水分吹干。三次清洗</w:t>
            </w:r>
            <w:r>
              <w:rPr>
                <w:rFonts w:hint="default" w:ascii="Times New Roman" w:hAnsi="Times New Roman" w:eastAsia="宋体" w:cs="Times New Roman"/>
                <w:bCs/>
                <w:color w:val="auto"/>
                <w:sz w:val="24"/>
                <w:highlight w:val="none"/>
              </w:rPr>
              <w:t>废水</w:t>
            </w:r>
            <w:r>
              <w:rPr>
                <w:rFonts w:hint="default" w:ascii="Times New Roman" w:hAnsi="Times New Roman" w:eastAsia="宋体" w:cs="Times New Roman"/>
                <w:bCs/>
                <w:color w:val="auto"/>
                <w:sz w:val="24"/>
                <w:highlight w:val="none"/>
                <w:lang w:val="en-US" w:eastAsia="zh-CN"/>
              </w:rPr>
              <w:t>与一次清洗和二次清洗产生的清洗废水一并经沉淀池沉淀后</w:t>
            </w:r>
            <w:r>
              <w:rPr>
                <w:rFonts w:hint="default" w:ascii="Times New Roman" w:hAnsi="Times New Roman" w:eastAsia="宋体" w:cs="Times New Roman"/>
                <w:bCs/>
                <w:color w:val="auto"/>
                <w:sz w:val="24"/>
                <w:highlight w:val="none"/>
              </w:rPr>
              <w:t>进入</w:t>
            </w:r>
            <w:r>
              <w:rPr>
                <w:rFonts w:hint="default" w:ascii="Times New Roman" w:hAnsi="Times New Roman" w:eastAsia="宋体" w:cs="Times New Roman"/>
                <w:bCs/>
                <w:color w:val="auto"/>
                <w:sz w:val="24"/>
                <w:highlight w:val="none"/>
                <w:lang w:val="en-US" w:eastAsia="zh-CN"/>
              </w:rPr>
              <w:t>车间内设置的废水</w:t>
            </w:r>
            <w:r>
              <w:rPr>
                <w:rFonts w:hint="default" w:ascii="Times New Roman" w:hAnsi="Times New Roman" w:eastAsia="宋体" w:cs="Times New Roman"/>
                <w:bCs/>
                <w:color w:val="auto"/>
                <w:sz w:val="24"/>
                <w:highlight w:val="none"/>
              </w:rPr>
              <w:t>处理设施进行处理，处理后的废水回用于</w:t>
            </w:r>
            <w:r>
              <w:rPr>
                <w:rFonts w:hint="default" w:ascii="Times New Roman" w:hAnsi="Times New Roman" w:eastAsia="宋体" w:cs="Times New Roman"/>
                <w:bCs/>
                <w:color w:val="auto"/>
                <w:sz w:val="24"/>
                <w:highlight w:val="none"/>
                <w:lang w:val="en-US" w:eastAsia="zh-CN"/>
              </w:rPr>
              <w:t>清洗</w:t>
            </w:r>
            <w:r>
              <w:rPr>
                <w:rFonts w:hint="default" w:ascii="Times New Roman" w:hAnsi="Times New Roman" w:eastAsia="宋体" w:cs="Times New Roman"/>
                <w:bCs/>
                <w:color w:val="auto"/>
                <w:sz w:val="24"/>
                <w:highlight w:val="none"/>
              </w:rPr>
              <w:t>工序</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产生的超浓水和纯水制备浓水以及生活污水一并排放，</w:t>
            </w:r>
            <w:r>
              <w:rPr>
                <w:rFonts w:hint="default" w:ascii="Times New Roman" w:hAnsi="Times New Roman" w:eastAsia="宋体" w:cs="Times New Roman"/>
                <w:color w:val="auto"/>
                <w:kern w:val="2"/>
                <w:sz w:val="24"/>
                <w:szCs w:val="22"/>
                <w:highlight w:val="none"/>
                <w:lang w:val="en-US" w:eastAsia="zh-CN" w:bidi="ar-SA"/>
              </w:rPr>
              <w:t>此工序中产生W</w:t>
            </w:r>
            <w:r>
              <w:rPr>
                <w:rFonts w:hint="eastAsia" w:ascii="Times New Roman" w:hAnsi="Times New Roman" w:eastAsia="宋体" w:cs="Times New Roman"/>
                <w:color w:val="auto"/>
                <w:kern w:val="2"/>
                <w:sz w:val="24"/>
                <w:szCs w:val="22"/>
                <w:highlight w:val="none"/>
                <w:lang w:val="en-US" w:eastAsia="zh-CN" w:bidi="ar-SA"/>
              </w:rPr>
              <w:t>4</w:t>
            </w:r>
            <w:r>
              <w:rPr>
                <w:rFonts w:hint="default" w:ascii="Times New Roman" w:hAnsi="Times New Roman" w:eastAsia="宋体" w:cs="Times New Roman"/>
                <w:color w:val="auto"/>
                <w:kern w:val="2"/>
                <w:sz w:val="24"/>
                <w:szCs w:val="22"/>
                <w:highlight w:val="none"/>
                <w:lang w:val="en-US" w:eastAsia="zh-CN" w:bidi="ar-SA"/>
              </w:rPr>
              <w:t>清洗废水</w:t>
            </w:r>
            <w:r>
              <w:rPr>
                <w:rFonts w:hint="eastAsia" w:ascii="Times New Roman" w:hAnsi="Times New Roman" w:cs="Times New Roman"/>
                <w:color w:val="auto"/>
                <w:kern w:val="2"/>
                <w:sz w:val="24"/>
                <w:szCs w:val="22"/>
                <w:highlight w:val="none"/>
                <w:lang w:val="en-US" w:eastAsia="zh-CN" w:bidi="ar-SA"/>
              </w:rPr>
              <w:t>、W5超浓水和</w:t>
            </w:r>
            <w:r>
              <w:rPr>
                <w:rFonts w:hint="default" w:ascii="Times New Roman" w:hAnsi="Times New Roman" w:eastAsia="宋体" w:cs="Times New Roman"/>
                <w:bCs/>
                <w:color w:val="auto"/>
                <w:sz w:val="24"/>
                <w:highlight w:val="none"/>
                <w:lang w:val="en-US" w:eastAsia="zh-CN"/>
              </w:rPr>
              <w:t>S</w:t>
            </w:r>
            <w:r>
              <w:rPr>
                <w:rFonts w:hint="eastAsia" w:ascii="Times New Roman" w:hAnsi="Times New Roman" w:eastAsia="宋体" w:cs="Times New Roman"/>
                <w:bCs/>
                <w:color w:val="auto"/>
                <w:sz w:val="24"/>
                <w:highlight w:val="none"/>
                <w:lang w:val="en-US" w:eastAsia="zh-CN"/>
              </w:rPr>
              <w:t>7</w:t>
            </w:r>
            <w:r>
              <w:rPr>
                <w:rFonts w:hint="default" w:ascii="Times New Roman" w:hAnsi="Times New Roman" w:eastAsia="宋体" w:cs="Times New Roman"/>
                <w:bCs/>
                <w:color w:val="auto"/>
                <w:sz w:val="24"/>
                <w:highlight w:val="none"/>
                <w:lang w:val="en-US" w:eastAsia="zh-CN"/>
              </w:rPr>
              <w:t>玻璃屑</w:t>
            </w:r>
            <w:r>
              <w:rPr>
                <w:rFonts w:hint="default" w:ascii="Times New Roman" w:hAnsi="Times New Roman" w:eastAsia="宋体" w:cs="Times New Roman"/>
                <w:color w:val="auto"/>
                <w:kern w:val="2"/>
                <w:sz w:val="24"/>
                <w:szCs w:val="22"/>
                <w:highlight w:val="none"/>
                <w:lang w:val="en-US" w:eastAsia="zh-CN" w:bidi="ar-SA"/>
              </w:rPr>
              <w:t>。</w:t>
            </w:r>
          </w:p>
          <w:p w14:paraId="304E354B">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（10）检验</w:t>
            </w:r>
          </w:p>
          <w:p w14:paraId="6533CBBD">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清洗完后的玻璃进行人工检验，合格即为成品。此工序产生S</w:t>
            </w:r>
            <w:r>
              <w:rPr>
                <w:rFonts w:hint="eastAsia" w:ascii="Times New Roman" w:hAnsi="Times New Roman" w:cs="Times New Roman"/>
                <w:color w:val="auto"/>
                <w:kern w:val="2"/>
                <w:sz w:val="24"/>
                <w:szCs w:val="22"/>
                <w:highlight w:val="none"/>
                <w:lang w:val="en-US" w:eastAsia="zh-CN" w:bidi="ar-SA"/>
              </w:rPr>
              <w:t>8</w:t>
            </w:r>
            <w:r>
              <w:rPr>
                <w:rFonts w:hint="default" w:ascii="Times New Roman" w:hAnsi="Times New Roman" w:eastAsia="宋体" w:cs="Times New Roman"/>
                <w:color w:val="auto"/>
                <w:kern w:val="2"/>
                <w:sz w:val="24"/>
                <w:szCs w:val="22"/>
                <w:highlight w:val="none"/>
                <w:lang w:val="en-US" w:eastAsia="zh-CN" w:bidi="ar-SA"/>
              </w:rPr>
              <w:t>不合格品。</w:t>
            </w:r>
          </w:p>
          <w:p w14:paraId="5C0EA0A8">
            <w:pPr>
              <w:keepNext w:val="0"/>
              <w:keepLines w:val="0"/>
              <w:pageBreakBefore w:val="0"/>
              <w:widowControl w:val="0"/>
              <w:tabs>
                <w:tab w:val="center" w:pos="4456"/>
                <w:tab w:val="left" w:pos="735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（11）包装</w:t>
            </w:r>
          </w:p>
          <w:p w14:paraId="03B03858">
            <w:pPr>
              <w:keepNext w:val="0"/>
              <w:keepLines w:val="0"/>
              <w:pageBreakBefore w:val="0"/>
              <w:widowControl w:val="0"/>
              <w:tabs>
                <w:tab w:val="center" w:pos="4456"/>
                <w:tab w:val="left" w:pos="7350"/>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检验合格的产品进行包装后即得到成品。此工序产生S</w:t>
            </w:r>
            <w:r>
              <w:rPr>
                <w:rFonts w:hint="eastAsia" w:ascii="Times New Roman" w:hAnsi="Times New Roman" w:eastAsia="宋体" w:cs="Times New Roman"/>
                <w:color w:val="auto"/>
                <w:kern w:val="2"/>
                <w:sz w:val="24"/>
                <w:szCs w:val="22"/>
                <w:highlight w:val="none"/>
                <w:lang w:val="en-US" w:eastAsia="zh-CN" w:bidi="ar-SA"/>
              </w:rPr>
              <w:t>9</w:t>
            </w:r>
            <w:r>
              <w:rPr>
                <w:rFonts w:hint="default" w:ascii="Times New Roman" w:hAnsi="Times New Roman" w:eastAsia="宋体" w:cs="Times New Roman"/>
                <w:color w:val="auto"/>
                <w:kern w:val="2"/>
                <w:sz w:val="24"/>
                <w:szCs w:val="22"/>
                <w:highlight w:val="none"/>
                <w:lang w:val="en-US" w:eastAsia="zh-CN" w:bidi="ar-SA"/>
              </w:rPr>
              <w:t>废包装材料。</w:t>
            </w:r>
          </w:p>
          <w:p w14:paraId="77786C69">
            <w:pPr>
              <w:keepNext w:val="0"/>
              <w:keepLines w:val="0"/>
              <w:pageBreakBefore w:val="0"/>
              <w:widowControl w:val="0"/>
              <w:tabs>
                <w:tab w:val="center" w:pos="4456"/>
                <w:tab w:val="left" w:pos="735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②纯水制备工艺流程及产污节点：</w:t>
            </w:r>
          </w:p>
          <w:p w14:paraId="77827328">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drawing>
                <wp:inline distT="0" distB="0" distL="114300" distR="114300">
                  <wp:extent cx="2206625" cy="2176780"/>
                  <wp:effectExtent l="0" t="0" r="3175" b="13970"/>
                  <wp:docPr id="14" name="图片 66" descr="39cd950475e8a9e2d353bc7460300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6" descr="39cd950475e8a9e2d353bc7460300c60"/>
                          <pic:cNvPicPr>
                            <a:picLocks noChangeAspect="1"/>
                          </pic:cNvPicPr>
                        </pic:nvPicPr>
                        <pic:blipFill>
                          <a:blip r:embed="rId18"/>
                          <a:stretch>
                            <a:fillRect/>
                          </a:stretch>
                        </pic:blipFill>
                        <pic:spPr>
                          <a:xfrm>
                            <a:off x="0" y="0"/>
                            <a:ext cx="2206625" cy="2176780"/>
                          </a:xfrm>
                          <a:prstGeom prst="rect">
                            <a:avLst/>
                          </a:prstGeom>
                          <a:noFill/>
                          <a:ln>
                            <a:noFill/>
                          </a:ln>
                        </pic:spPr>
                      </pic:pic>
                    </a:graphicData>
                  </a:graphic>
                </wp:inline>
              </w:drawing>
            </w:r>
          </w:p>
          <w:p w14:paraId="24E14A13">
            <w:pPr>
              <w:widowControl/>
              <w:spacing w:line="360" w:lineRule="auto"/>
              <w:jc w:val="center"/>
              <w:rPr>
                <w:rFonts w:ascii="Times New Roman" w:hAnsi="宋体"/>
                <w:bCs/>
                <w:color w:val="auto"/>
                <w:sz w:val="24"/>
                <w:szCs w:val="24"/>
                <w:highlight w:val="none"/>
              </w:rPr>
            </w:pPr>
            <w:r>
              <w:rPr>
                <w:rFonts w:ascii="黑体" w:hAnsi="黑体" w:eastAsia="黑体"/>
                <w:bCs/>
                <w:color w:val="auto"/>
                <w:sz w:val="24"/>
                <w:szCs w:val="24"/>
                <w:highlight w:val="none"/>
              </w:rPr>
              <w:t>图</w:t>
            </w:r>
            <w:r>
              <w:rPr>
                <w:rFonts w:ascii="Times New Roman" w:hAnsi="Times New Roman"/>
                <w:bCs/>
                <w:color w:val="auto"/>
                <w:sz w:val="24"/>
                <w:szCs w:val="24"/>
                <w:highlight w:val="none"/>
              </w:rPr>
              <w:t>2-</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 xml:space="preserve">  </w:t>
            </w:r>
            <w:r>
              <w:rPr>
                <w:rFonts w:hint="eastAsia" w:ascii="黑体" w:hAnsi="黑体" w:eastAsia="黑体" w:cs="Times New Roman"/>
                <w:bCs/>
                <w:color w:val="auto"/>
                <w:sz w:val="24"/>
                <w:szCs w:val="24"/>
                <w:highlight w:val="none"/>
                <w:lang w:val="en-US" w:eastAsia="zh-CN"/>
              </w:rPr>
              <w:t>纯水制备</w:t>
            </w:r>
            <w:r>
              <w:rPr>
                <w:rFonts w:ascii="黑体" w:hAnsi="黑体" w:eastAsia="黑体"/>
                <w:bCs/>
                <w:color w:val="auto"/>
                <w:sz w:val="24"/>
                <w:szCs w:val="24"/>
                <w:highlight w:val="none"/>
              </w:rPr>
              <w:t>工</w:t>
            </w:r>
            <w:r>
              <w:rPr>
                <w:rFonts w:ascii="Times New Roman" w:hAnsi="黑体" w:eastAsia="黑体"/>
                <w:bCs/>
                <w:color w:val="auto"/>
                <w:sz w:val="24"/>
                <w:szCs w:val="24"/>
                <w:highlight w:val="none"/>
              </w:rPr>
              <w:t>艺流程和产排污环</w:t>
            </w:r>
            <w:r>
              <w:rPr>
                <w:rFonts w:hint="eastAsia" w:ascii="Times New Roman" w:hAnsi="黑体" w:eastAsia="黑体"/>
                <w:bCs/>
                <w:color w:val="auto"/>
                <w:sz w:val="24"/>
                <w:szCs w:val="24"/>
                <w:highlight w:val="none"/>
              </w:rPr>
              <w:t>节节点</w:t>
            </w:r>
            <w:r>
              <w:rPr>
                <w:rFonts w:ascii="Times New Roman" w:hAnsi="黑体" w:eastAsia="黑体"/>
                <w:bCs/>
                <w:color w:val="auto"/>
                <w:sz w:val="24"/>
                <w:szCs w:val="24"/>
                <w:highlight w:val="none"/>
              </w:rPr>
              <w:t>图</w:t>
            </w:r>
          </w:p>
          <w:p w14:paraId="3DE95E19">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工艺流程简述：</w:t>
            </w:r>
          </w:p>
          <w:p w14:paraId="5AF73C27">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（1）除垢过滤</w:t>
            </w:r>
          </w:p>
          <w:p w14:paraId="7ED914D6">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滤除水中的泥沙、</w:t>
            </w:r>
            <w:r>
              <w:rPr>
                <w:rFonts w:hint="eastAsia" w:ascii="Times New Roman" w:hAnsi="Times New Roman" w:cs="Times New Roman"/>
                <w:color w:val="auto"/>
                <w:kern w:val="2"/>
                <w:sz w:val="24"/>
                <w:szCs w:val="22"/>
                <w:highlight w:val="none"/>
                <w:lang w:val="en-US" w:eastAsia="zh-CN" w:bidi="ar-SA"/>
              </w:rPr>
              <w:t>杂质</w:t>
            </w:r>
            <w:r>
              <w:rPr>
                <w:rFonts w:hint="default" w:ascii="Times New Roman" w:hAnsi="Times New Roman" w:eastAsia="宋体" w:cs="Times New Roman"/>
                <w:color w:val="auto"/>
                <w:kern w:val="2"/>
                <w:sz w:val="24"/>
                <w:szCs w:val="22"/>
                <w:highlight w:val="none"/>
                <w:lang w:val="en-US" w:eastAsia="zh-CN" w:bidi="ar-SA"/>
              </w:rPr>
              <w:t>、悬浮物、降低原水的污染指数密度值。</w:t>
            </w:r>
          </w:p>
          <w:p w14:paraId="63A91E68">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保安</w:t>
            </w:r>
            <w:r>
              <w:rPr>
                <w:rFonts w:hint="eastAsia" w:ascii="Times New Roman" w:hAnsi="Times New Roman" w:eastAsia="宋体" w:cs="Times New Roman"/>
                <w:color w:val="auto"/>
                <w:kern w:val="2"/>
                <w:sz w:val="24"/>
                <w:szCs w:val="22"/>
                <w:highlight w:val="none"/>
                <w:lang w:val="en-US" w:eastAsia="zh-CN" w:bidi="ar-SA"/>
              </w:rPr>
              <w:t>过</w:t>
            </w:r>
            <w:r>
              <w:rPr>
                <w:rFonts w:hint="default" w:ascii="Times New Roman" w:hAnsi="Times New Roman" w:eastAsia="宋体" w:cs="Times New Roman"/>
                <w:color w:val="auto"/>
                <w:kern w:val="2"/>
                <w:sz w:val="24"/>
                <w:szCs w:val="22"/>
                <w:highlight w:val="none"/>
                <w:lang w:val="en-US" w:eastAsia="zh-CN" w:bidi="ar-SA"/>
              </w:rPr>
              <w:t>滤</w:t>
            </w:r>
          </w:p>
          <w:p w14:paraId="15A7438A">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保安过滤器以5 μm PPF 滤芯进一步拦截水体中大于 5 μm的物体。</w:t>
            </w:r>
          </w:p>
          <w:p w14:paraId="66E304D8">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反渗透</w:t>
            </w:r>
          </w:p>
          <w:p w14:paraId="16F8DF0B">
            <w:pPr>
              <w:pStyle w:val="66"/>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经过预处理单元处理后的原水，经过精滤器进一步滤除水中大于5 μm的微粒，然后进入高压泵，经高压泵增压后进入逆渗透膜组件，由于RO膜的选择透过性能，水在高压下可以透过RO膜进入淡水侧，而各种</w:t>
            </w:r>
            <w:r>
              <w:rPr>
                <w:rFonts w:hint="eastAsia" w:ascii="Times New Roman" w:hAnsi="Times New Roman" w:cs="Times New Roman"/>
                <w:color w:val="auto"/>
                <w:kern w:val="2"/>
                <w:sz w:val="24"/>
                <w:szCs w:val="22"/>
                <w:highlight w:val="none"/>
                <w:lang w:val="en-US" w:eastAsia="zh-CN" w:bidi="ar-SA"/>
              </w:rPr>
              <w:t>盐分</w:t>
            </w:r>
            <w:r>
              <w:rPr>
                <w:rFonts w:hint="default" w:ascii="Times New Roman" w:hAnsi="Times New Roman" w:eastAsia="宋体" w:cs="Times New Roman"/>
                <w:color w:val="auto"/>
                <w:kern w:val="2"/>
                <w:sz w:val="24"/>
                <w:szCs w:val="22"/>
                <w:highlight w:val="none"/>
                <w:lang w:val="en-US" w:eastAsia="zh-CN" w:bidi="ar-SA"/>
              </w:rPr>
              <w:t>则随高压水流冲出，使水一分为二，从而达到盐与水分离的目的，生产出纯水进入纯水箱。此工序产生</w:t>
            </w:r>
            <w:r>
              <w:rPr>
                <w:rFonts w:hint="eastAsia" w:ascii="Times New Roman" w:hAnsi="Times New Roman" w:eastAsia="宋体" w:cs="Times New Roman"/>
                <w:color w:val="auto"/>
                <w:kern w:val="2"/>
                <w:sz w:val="24"/>
                <w:szCs w:val="22"/>
                <w:highlight w:val="none"/>
                <w:lang w:val="en-US" w:eastAsia="zh-CN" w:bidi="ar-SA"/>
              </w:rPr>
              <w:t>W6</w:t>
            </w:r>
            <w:r>
              <w:rPr>
                <w:rFonts w:hint="default" w:ascii="Times New Roman" w:hAnsi="Times New Roman" w:eastAsia="宋体" w:cs="Times New Roman"/>
                <w:color w:val="auto"/>
                <w:kern w:val="2"/>
                <w:sz w:val="24"/>
                <w:szCs w:val="22"/>
                <w:highlight w:val="none"/>
                <w:lang w:val="en-US" w:eastAsia="zh-CN" w:bidi="ar-SA"/>
              </w:rPr>
              <w:t>浓水</w:t>
            </w:r>
            <w:r>
              <w:rPr>
                <w:rFonts w:hint="eastAsia" w:ascii="Times New Roman" w:hAnsi="Times New Roman" w:eastAsia="宋体" w:cs="Times New Roman"/>
                <w:color w:val="auto"/>
                <w:kern w:val="2"/>
                <w:sz w:val="24"/>
                <w:szCs w:val="22"/>
                <w:highlight w:val="none"/>
                <w:lang w:val="en-US" w:eastAsia="zh-CN" w:bidi="ar-SA"/>
              </w:rPr>
              <w:t>，</w:t>
            </w:r>
            <w:r>
              <w:rPr>
                <w:rFonts w:hint="default" w:ascii="Times New Roman" w:hAnsi="Times New Roman" w:eastAsia="宋体" w:cs="Times New Roman"/>
                <w:color w:val="auto"/>
                <w:kern w:val="2"/>
                <w:sz w:val="24"/>
                <w:szCs w:val="22"/>
                <w:highlight w:val="none"/>
                <w:lang w:val="en-US" w:eastAsia="zh-CN" w:bidi="ar-SA"/>
              </w:rPr>
              <w:t>浓水</w:t>
            </w:r>
            <w:r>
              <w:rPr>
                <w:rFonts w:hint="eastAsia" w:ascii="Times New Roman" w:hAnsi="Times New Roman" w:cs="Times New Roman"/>
                <w:bCs/>
                <w:color w:val="auto"/>
                <w:sz w:val="24"/>
                <w:highlight w:val="none"/>
                <w:lang w:val="en-US" w:eastAsia="zh-CN"/>
              </w:rPr>
              <w:t>和废水处理设施产生的超浓水以及生活污水一并排放</w:t>
            </w:r>
            <w:r>
              <w:rPr>
                <w:rFonts w:hint="default" w:ascii="Times New Roman" w:hAnsi="Times New Roman" w:eastAsia="宋体" w:cs="Times New Roman"/>
                <w:color w:val="auto"/>
                <w:kern w:val="2"/>
                <w:sz w:val="24"/>
                <w:szCs w:val="22"/>
                <w:highlight w:val="none"/>
                <w:lang w:val="en-US" w:eastAsia="zh-CN" w:bidi="ar-SA"/>
              </w:rPr>
              <w:t>。</w:t>
            </w:r>
          </w:p>
          <w:p w14:paraId="544E92E5">
            <w:pPr>
              <w:tabs>
                <w:tab w:val="center" w:pos="4456"/>
                <w:tab w:val="left" w:pos="7350"/>
              </w:tabs>
              <w:adjustRightInd w:val="0"/>
              <w:spacing w:line="360" w:lineRule="auto"/>
              <w:jc w:val="center"/>
              <w:rPr>
                <w:rFonts w:hAnsi="黑体" w:eastAsia="黑体"/>
                <w:color w:val="auto"/>
                <w:sz w:val="24"/>
                <w:highlight w:val="none"/>
              </w:rPr>
            </w:pPr>
            <w:r>
              <w:rPr>
                <w:rFonts w:hAnsi="黑体" w:eastAsia="黑体"/>
                <w:color w:val="auto"/>
                <w:sz w:val="24"/>
                <w:highlight w:val="none"/>
              </w:rPr>
              <w:t>表</w:t>
            </w:r>
            <w:r>
              <w:rPr>
                <w:rFonts w:ascii="Times New Roman" w:hAnsi="Times New Roman" w:eastAsia="黑体"/>
                <w:color w:val="auto"/>
                <w:sz w:val="24"/>
                <w:highlight w:val="none"/>
              </w:rPr>
              <w:t>2</w:t>
            </w:r>
            <w:r>
              <w:rPr>
                <w:rFonts w:hint="eastAsia" w:ascii="Times New Roman" w:hAnsi="Times New Roman" w:eastAsia="黑体"/>
                <w:color w:val="auto"/>
                <w:sz w:val="24"/>
                <w:highlight w:val="none"/>
              </w:rPr>
              <w:t xml:space="preserve">-7  </w:t>
            </w:r>
            <w:r>
              <w:rPr>
                <w:rFonts w:hint="eastAsia" w:hAnsi="黑体" w:eastAsia="黑体"/>
                <w:color w:val="auto"/>
                <w:sz w:val="24"/>
                <w:highlight w:val="none"/>
              </w:rPr>
              <w:t>项目</w:t>
            </w:r>
            <w:r>
              <w:rPr>
                <w:rFonts w:hAnsi="黑体" w:eastAsia="黑体"/>
                <w:color w:val="auto"/>
                <w:sz w:val="24"/>
                <w:highlight w:val="none"/>
              </w:rPr>
              <w:t>产污环节及治理措施一览表</w:t>
            </w:r>
          </w:p>
          <w:tbl>
            <w:tblPr>
              <w:tblStyle w:val="20"/>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8"/>
              <w:gridCol w:w="779"/>
              <w:gridCol w:w="1543"/>
              <w:gridCol w:w="1323"/>
              <w:gridCol w:w="3845"/>
            </w:tblGrid>
            <w:tr w14:paraId="55455F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7CD9D81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Times New Roman" w:hAnsi="Times New Roman"/>
                      <w:b/>
                      <w:bCs/>
                      <w:color w:val="auto"/>
                      <w:kern w:val="0"/>
                      <w:szCs w:val="21"/>
                      <w:highlight w:val="none"/>
                      <w:lang w:val="en-US" w:eastAsia="zh-CN"/>
                    </w:rPr>
                  </w:pPr>
                  <w:r>
                    <w:rPr>
                      <w:rFonts w:hint="eastAsia" w:ascii="Times New Roman" w:hAnsi="Times New Roman"/>
                      <w:b/>
                      <w:bCs/>
                      <w:color w:val="auto"/>
                      <w:kern w:val="0"/>
                      <w:szCs w:val="21"/>
                      <w:highlight w:val="none"/>
                      <w:lang w:val="en-US" w:eastAsia="zh-CN"/>
                    </w:rPr>
                    <w:t>产生</w:t>
                  </w:r>
                </w:p>
                <w:p w14:paraId="75DE15C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b/>
                      <w:bCs/>
                      <w:color w:val="auto"/>
                      <w:szCs w:val="21"/>
                      <w:highlight w:val="none"/>
                      <w:lang w:val="en-US" w:eastAsia="zh-CN"/>
                    </w:rPr>
                  </w:pPr>
                  <w:r>
                    <w:rPr>
                      <w:rFonts w:hint="eastAsia" w:ascii="Times New Roman" w:hAnsi="Times New Roman"/>
                      <w:b/>
                      <w:bCs/>
                      <w:color w:val="auto"/>
                      <w:kern w:val="0"/>
                      <w:szCs w:val="21"/>
                      <w:highlight w:val="none"/>
                      <w:lang w:val="en-US" w:eastAsia="zh-CN"/>
                    </w:rPr>
                    <w:t>工序</w:t>
                  </w:r>
                </w:p>
              </w:tc>
              <w:tc>
                <w:tcPr>
                  <w:tcW w:w="453" w:type="pct"/>
                  <w:noWrap w:val="0"/>
                  <w:vAlign w:val="center"/>
                </w:tcPr>
                <w:p w14:paraId="271BACE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编号</w:t>
                  </w:r>
                </w:p>
              </w:tc>
              <w:tc>
                <w:tcPr>
                  <w:tcW w:w="897" w:type="pct"/>
                  <w:noWrap w:val="0"/>
                  <w:vAlign w:val="center"/>
                </w:tcPr>
                <w:p w14:paraId="7A00672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污染源</w:t>
                  </w:r>
                </w:p>
              </w:tc>
              <w:tc>
                <w:tcPr>
                  <w:tcW w:w="769" w:type="pct"/>
                  <w:noWrap w:val="0"/>
                  <w:vAlign w:val="center"/>
                </w:tcPr>
                <w:p w14:paraId="0FDD75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主要成分</w:t>
                  </w:r>
                </w:p>
              </w:tc>
              <w:tc>
                <w:tcPr>
                  <w:tcW w:w="2235" w:type="pct"/>
                  <w:noWrap w:val="0"/>
                  <w:vAlign w:val="center"/>
                </w:tcPr>
                <w:p w14:paraId="2396DC8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拟采取的治理措施</w:t>
                  </w:r>
                </w:p>
              </w:tc>
            </w:tr>
            <w:tr w14:paraId="3A3457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77FB3B9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磨边</w:t>
                  </w:r>
                </w:p>
              </w:tc>
              <w:tc>
                <w:tcPr>
                  <w:tcW w:w="453" w:type="pct"/>
                  <w:noWrap w:val="0"/>
                  <w:vAlign w:val="center"/>
                </w:tcPr>
                <w:p w14:paraId="0B0382B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kern w:val="0"/>
                      <w:szCs w:val="21"/>
                      <w:highlight w:val="none"/>
                      <w:lang w:val="en-US" w:eastAsia="zh-CN"/>
                    </w:rPr>
                    <w:t>W1</w:t>
                  </w:r>
                </w:p>
              </w:tc>
              <w:tc>
                <w:tcPr>
                  <w:tcW w:w="897" w:type="pct"/>
                  <w:noWrap w:val="0"/>
                  <w:vAlign w:val="center"/>
                </w:tcPr>
                <w:p w14:paraId="7BD4F30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磨边废水</w:t>
                  </w:r>
                </w:p>
              </w:tc>
              <w:tc>
                <w:tcPr>
                  <w:tcW w:w="769" w:type="pct"/>
                  <w:noWrap w:val="0"/>
                  <w:vAlign w:val="center"/>
                </w:tcPr>
                <w:p w14:paraId="78F5D3E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SS</w:t>
                  </w:r>
                </w:p>
              </w:tc>
              <w:tc>
                <w:tcPr>
                  <w:tcW w:w="2235" w:type="pct"/>
                  <w:noWrap w:val="0"/>
                  <w:vAlign w:val="center"/>
                </w:tcPr>
                <w:p w14:paraId="563C259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kern w:val="0"/>
                      <w:szCs w:val="21"/>
                      <w:highlight w:val="none"/>
                    </w:rPr>
                    <w:t>经</w:t>
                  </w:r>
                  <w:r>
                    <w:rPr>
                      <w:rFonts w:hint="eastAsia" w:ascii="Times New Roman" w:hAnsi="Times New Roman"/>
                      <w:color w:val="auto"/>
                      <w:kern w:val="0"/>
                      <w:szCs w:val="21"/>
                      <w:highlight w:val="none"/>
                      <w:lang w:val="en-US" w:eastAsia="zh-CN"/>
                    </w:rPr>
                    <w:t>沉淀池沉淀后，通过一套“物化混凝沉淀”</w:t>
                  </w:r>
                  <w:r>
                    <w:rPr>
                      <w:rFonts w:hint="eastAsia" w:ascii="Times New Roman" w:hAnsi="Times New Roman" w:eastAsia="宋体" w:cs="Times New Roman"/>
                      <w:color w:val="auto"/>
                      <w:kern w:val="0"/>
                      <w:szCs w:val="21"/>
                      <w:highlight w:val="none"/>
                      <w:lang w:val="en-US" w:eastAsia="zh-CN"/>
                    </w:rPr>
                    <w:t>废水</w:t>
                  </w:r>
                  <w:r>
                    <w:rPr>
                      <w:rFonts w:hint="eastAsia" w:ascii="Times New Roman" w:hAnsi="Times New Roman" w:eastAsia="宋体" w:cs="Times New Roman"/>
                      <w:color w:val="auto"/>
                      <w:kern w:val="0"/>
                      <w:szCs w:val="21"/>
                      <w:highlight w:val="none"/>
                    </w:rPr>
                    <w:t>处理设施</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处理规模：60t/h</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处理后回用于磨边工序，不外排</w:t>
                  </w:r>
                </w:p>
              </w:tc>
            </w:tr>
            <w:tr w14:paraId="2C8A78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183F032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清洗</w:t>
                  </w:r>
                </w:p>
              </w:tc>
              <w:tc>
                <w:tcPr>
                  <w:tcW w:w="453" w:type="pct"/>
                  <w:noWrap w:val="0"/>
                  <w:vAlign w:val="center"/>
                </w:tcPr>
                <w:p w14:paraId="6E667A9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lang w:val="en-US" w:eastAsia="zh-CN"/>
                    </w:rPr>
                    <w:t>W2</w:t>
                  </w:r>
                </w:p>
              </w:tc>
              <w:tc>
                <w:tcPr>
                  <w:tcW w:w="897" w:type="pct"/>
                  <w:noWrap w:val="0"/>
                  <w:vAlign w:val="center"/>
                </w:tcPr>
                <w:p w14:paraId="11CA7CE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清洗废水</w:t>
                  </w:r>
                </w:p>
              </w:tc>
              <w:tc>
                <w:tcPr>
                  <w:tcW w:w="769" w:type="pct"/>
                  <w:noWrap w:val="0"/>
                  <w:vAlign w:val="center"/>
                </w:tcPr>
                <w:p w14:paraId="7F09B5C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SS</w:t>
                  </w:r>
                </w:p>
              </w:tc>
              <w:tc>
                <w:tcPr>
                  <w:tcW w:w="2235" w:type="pct"/>
                  <w:vMerge w:val="restart"/>
                  <w:noWrap w:val="0"/>
                  <w:vAlign w:val="center"/>
                </w:tcPr>
                <w:p w14:paraId="1484773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kern w:val="0"/>
                      <w:szCs w:val="21"/>
                      <w:highlight w:val="none"/>
                    </w:rPr>
                    <w:t>经</w:t>
                  </w:r>
                  <w:r>
                    <w:rPr>
                      <w:rFonts w:hint="eastAsia" w:ascii="Times New Roman" w:hAnsi="Times New Roman"/>
                      <w:color w:val="auto"/>
                      <w:kern w:val="0"/>
                      <w:szCs w:val="21"/>
                      <w:highlight w:val="none"/>
                      <w:lang w:val="en-US" w:eastAsia="zh-CN"/>
                    </w:rPr>
                    <w:t>沉淀池沉淀后，通过一套“反渗透+RO”</w:t>
                  </w:r>
                  <w:r>
                    <w:rPr>
                      <w:rFonts w:hint="eastAsia" w:ascii="Times New Roman" w:hAnsi="Times New Roman" w:eastAsia="宋体" w:cs="Times New Roman"/>
                      <w:color w:val="auto"/>
                      <w:kern w:val="0"/>
                      <w:szCs w:val="21"/>
                      <w:highlight w:val="none"/>
                      <w:lang w:val="en-US" w:eastAsia="zh-CN"/>
                    </w:rPr>
                    <w:t>废水</w:t>
                  </w:r>
                  <w:r>
                    <w:rPr>
                      <w:rFonts w:hint="eastAsia" w:ascii="Times New Roman" w:hAnsi="Times New Roman" w:eastAsia="宋体" w:cs="Times New Roman"/>
                      <w:color w:val="auto"/>
                      <w:kern w:val="0"/>
                      <w:szCs w:val="21"/>
                      <w:highlight w:val="none"/>
                    </w:rPr>
                    <w:t>处理设施</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处理规模：8t/h</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处理后回用于清洗、二次清洗以及三次清洗工序</w:t>
                  </w:r>
                </w:p>
              </w:tc>
            </w:tr>
            <w:tr w14:paraId="7416A5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028FEC12">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二次清洗</w:t>
                  </w:r>
                </w:p>
              </w:tc>
              <w:tc>
                <w:tcPr>
                  <w:tcW w:w="453" w:type="pct"/>
                  <w:noWrap w:val="0"/>
                  <w:vAlign w:val="center"/>
                </w:tcPr>
                <w:p w14:paraId="0421446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W3</w:t>
                  </w:r>
                </w:p>
              </w:tc>
              <w:tc>
                <w:tcPr>
                  <w:tcW w:w="897" w:type="pct"/>
                  <w:noWrap w:val="0"/>
                  <w:vAlign w:val="center"/>
                </w:tcPr>
                <w:p w14:paraId="7A356CF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Cs w:val="21"/>
                      <w:highlight w:val="none"/>
                    </w:rPr>
                  </w:pPr>
                  <w:r>
                    <w:rPr>
                      <w:rFonts w:hint="eastAsia" w:ascii="Times New Roman" w:hAnsi="Times New Roman"/>
                      <w:color w:val="auto"/>
                      <w:szCs w:val="21"/>
                      <w:highlight w:val="none"/>
                      <w:lang w:val="en-US" w:eastAsia="zh-CN"/>
                    </w:rPr>
                    <w:t>二次清洗废水</w:t>
                  </w:r>
                </w:p>
              </w:tc>
              <w:tc>
                <w:tcPr>
                  <w:tcW w:w="769" w:type="pct"/>
                  <w:noWrap w:val="0"/>
                  <w:vAlign w:val="center"/>
                </w:tcPr>
                <w:p w14:paraId="008F244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olor w:val="auto"/>
                      <w:kern w:val="0"/>
                      <w:szCs w:val="21"/>
                      <w:highlight w:val="none"/>
                    </w:rPr>
                  </w:pPr>
                  <w:r>
                    <w:rPr>
                      <w:rFonts w:hint="eastAsia" w:ascii="Times New Roman" w:hAnsi="Times New Roman"/>
                      <w:color w:val="auto"/>
                      <w:szCs w:val="21"/>
                      <w:highlight w:val="none"/>
                      <w:lang w:val="en-US" w:eastAsia="zh-CN"/>
                    </w:rPr>
                    <w:t>SS</w:t>
                  </w:r>
                </w:p>
              </w:tc>
              <w:tc>
                <w:tcPr>
                  <w:tcW w:w="2235" w:type="pct"/>
                  <w:vMerge w:val="continue"/>
                  <w:noWrap w:val="0"/>
                  <w:vAlign w:val="center"/>
                </w:tcPr>
                <w:p w14:paraId="56666D9E">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olor w:val="auto"/>
                      <w:szCs w:val="21"/>
                      <w:highlight w:val="none"/>
                    </w:rPr>
                  </w:pPr>
                </w:p>
              </w:tc>
            </w:tr>
            <w:tr w14:paraId="382E7C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54CB5C1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三次清洗</w:t>
                  </w:r>
                </w:p>
              </w:tc>
              <w:tc>
                <w:tcPr>
                  <w:tcW w:w="453" w:type="pct"/>
                  <w:noWrap w:val="0"/>
                  <w:vAlign w:val="center"/>
                </w:tcPr>
                <w:p w14:paraId="1557316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W4</w:t>
                  </w:r>
                </w:p>
              </w:tc>
              <w:tc>
                <w:tcPr>
                  <w:tcW w:w="897" w:type="pct"/>
                  <w:noWrap w:val="0"/>
                  <w:vAlign w:val="center"/>
                </w:tcPr>
                <w:p w14:paraId="2BB1325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三次清洗废水</w:t>
                  </w:r>
                </w:p>
              </w:tc>
              <w:tc>
                <w:tcPr>
                  <w:tcW w:w="769" w:type="pct"/>
                  <w:noWrap w:val="0"/>
                  <w:vAlign w:val="center"/>
                </w:tcPr>
                <w:p w14:paraId="116B3B7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Cs w:val="21"/>
                      <w:highlight w:val="none"/>
                    </w:rPr>
                  </w:pPr>
                  <w:r>
                    <w:rPr>
                      <w:rFonts w:hint="eastAsia" w:ascii="Times New Roman" w:hAnsi="Times New Roman"/>
                      <w:color w:val="auto"/>
                      <w:szCs w:val="21"/>
                      <w:highlight w:val="none"/>
                      <w:lang w:val="en-US" w:eastAsia="zh-CN"/>
                    </w:rPr>
                    <w:t>SS</w:t>
                  </w:r>
                </w:p>
              </w:tc>
              <w:tc>
                <w:tcPr>
                  <w:tcW w:w="2235" w:type="pct"/>
                  <w:vMerge w:val="continue"/>
                  <w:noWrap w:val="0"/>
                  <w:vAlign w:val="center"/>
                </w:tcPr>
                <w:p w14:paraId="45930B88">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p>
              </w:tc>
            </w:tr>
            <w:tr w14:paraId="458A453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5B6B920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废水处理设施</w:t>
                  </w:r>
                </w:p>
              </w:tc>
              <w:tc>
                <w:tcPr>
                  <w:tcW w:w="453" w:type="pct"/>
                  <w:noWrap w:val="0"/>
                  <w:vAlign w:val="center"/>
                </w:tcPr>
                <w:p w14:paraId="44ECB85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W5</w:t>
                  </w:r>
                </w:p>
              </w:tc>
              <w:tc>
                <w:tcPr>
                  <w:tcW w:w="897" w:type="pct"/>
                  <w:noWrap w:val="0"/>
                  <w:vAlign w:val="center"/>
                </w:tcPr>
                <w:p w14:paraId="716524F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超浓水</w:t>
                  </w:r>
                </w:p>
              </w:tc>
              <w:tc>
                <w:tcPr>
                  <w:tcW w:w="769" w:type="pct"/>
                  <w:noWrap w:val="0"/>
                  <w:vAlign w:val="center"/>
                </w:tcPr>
                <w:p w14:paraId="26EF2CE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SS</w:t>
                  </w:r>
                </w:p>
              </w:tc>
              <w:tc>
                <w:tcPr>
                  <w:tcW w:w="2235" w:type="pct"/>
                  <w:vMerge w:val="restart"/>
                  <w:noWrap w:val="0"/>
                  <w:vAlign w:val="center"/>
                </w:tcPr>
                <w:p w14:paraId="2AF0F73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经园区污水管网接管至凤台经开区污水处理厂处理后排放</w:t>
                  </w:r>
                </w:p>
              </w:tc>
            </w:tr>
            <w:tr w14:paraId="3EEB706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505B101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纯水制备</w:t>
                  </w:r>
                </w:p>
              </w:tc>
              <w:tc>
                <w:tcPr>
                  <w:tcW w:w="453" w:type="pct"/>
                  <w:noWrap w:val="0"/>
                  <w:vAlign w:val="center"/>
                </w:tcPr>
                <w:p w14:paraId="22D258E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W6</w:t>
                  </w:r>
                </w:p>
              </w:tc>
              <w:tc>
                <w:tcPr>
                  <w:tcW w:w="897" w:type="pct"/>
                  <w:noWrap w:val="0"/>
                  <w:vAlign w:val="center"/>
                </w:tcPr>
                <w:p w14:paraId="3825F4F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浓水</w:t>
                  </w:r>
                </w:p>
              </w:tc>
              <w:tc>
                <w:tcPr>
                  <w:tcW w:w="769" w:type="pct"/>
                  <w:noWrap w:val="0"/>
                  <w:vAlign w:val="center"/>
                </w:tcPr>
                <w:p w14:paraId="7D76CA3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SS</w:t>
                  </w:r>
                </w:p>
              </w:tc>
              <w:tc>
                <w:tcPr>
                  <w:tcW w:w="2235" w:type="pct"/>
                  <w:vMerge w:val="continue"/>
                  <w:noWrap w:val="0"/>
                  <w:vAlign w:val="center"/>
                </w:tcPr>
                <w:p w14:paraId="4CD35660">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p>
              </w:tc>
            </w:tr>
            <w:tr w14:paraId="4625C35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0A44CD6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丝印</w:t>
                  </w:r>
                </w:p>
              </w:tc>
              <w:tc>
                <w:tcPr>
                  <w:tcW w:w="453" w:type="pct"/>
                  <w:noWrap w:val="0"/>
                  <w:vAlign w:val="center"/>
                </w:tcPr>
                <w:p w14:paraId="291F2A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G1</w:t>
                  </w:r>
                </w:p>
              </w:tc>
              <w:tc>
                <w:tcPr>
                  <w:tcW w:w="897" w:type="pct"/>
                  <w:noWrap w:val="0"/>
                  <w:vAlign w:val="center"/>
                </w:tcPr>
                <w:p w14:paraId="39E6D09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丝印废气</w:t>
                  </w:r>
                </w:p>
              </w:tc>
              <w:tc>
                <w:tcPr>
                  <w:tcW w:w="769" w:type="pct"/>
                  <w:noWrap w:val="0"/>
                  <w:vAlign w:val="center"/>
                </w:tcPr>
                <w:p w14:paraId="3864CAE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非甲烷总烃</w:t>
                  </w:r>
                </w:p>
              </w:tc>
              <w:tc>
                <w:tcPr>
                  <w:tcW w:w="2235" w:type="pct"/>
                  <w:noWrap w:val="0"/>
                  <w:vAlign w:val="center"/>
                </w:tcPr>
                <w:p w14:paraId="75C9A3AE">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经过集气罩收集后，通过</w:t>
                  </w:r>
                  <w:r>
                    <w:rPr>
                      <w:rFonts w:hint="eastAsia" w:ascii="Times New Roman" w:hAnsi="Times New Roman"/>
                      <w:color w:val="auto"/>
                      <w:kern w:val="0"/>
                      <w:szCs w:val="21"/>
                      <w:highlight w:val="none"/>
                      <w:lang w:eastAsia="zh-CN"/>
                    </w:rPr>
                    <w:t>“</w:t>
                  </w:r>
                  <w:r>
                    <w:rPr>
                      <w:rFonts w:hint="eastAsia" w:ascii="Times New Roman" w:hAnsi="Times New Roman"/>
                      <w:color w:val="auto"/>
                      <w:kern w:val="0"/>
                      <w:szCs w:val="21"/>
                      <w:highlight w:val="none"/>
                    </w:rPr>
                    <w:t>两级活性炭吸附</w:t>
                  </w:r>
                  <w:r>
                    <w:rPr>
                      <w:rFonts w:hint="eastAsia" w:ascii="Times New Roman" w:hAnsi="Times New Roman"/>
                      <w:color w:val="auto"/>
                      <w:kern w:val="0"/>
                      <w:szCs w:val="21"/>
                      <w:highlight w:val="none"/>
                      <w:lang w:eastAsia="zh-CN"/>
                    </w:rPr>
                    <w:t>”</w:t>
                  </w:r>
                  <w:r>
                    <w:rPr>
                      <w:rFonts w:hint="eastAsia" w:ascii="Times New Roman" w:hAnsi="Times New Roman"/>
                      <w:color w:val="auto"/>
                      <w:kern w:val="0"/>
                      <w:szCs w:val="21"/>
                      <w:highlight w:val="none"/>
                    </w:rPr>
                    <w:t>装置处理后经由15m高的</w:t>
                  </w:r>
                  <w:r>
                    <w:rPr>
                      <w:rFonts w:hint="eastAsia" w:ascii="Times New Roman" w:hAnsi="Times New Roman"/>
                      <w:color w:val="auto"/>
                      <w:kern w:val="0"/>
                      <w:szCs w:val="21"/>
                      <w:highlight w:val="none"/>
                      <w:lang w:eastAsia="zh-CN"/>
                    </w:rPr>
                    <w:t>DA001排气筒</w:t>
                  </w:r>
                  <w:r>
                    <w:rPr>
                      <w:rFonts w:hint="eastAsia" w:ascii="Times New Roman" w:hAnsi="Times New Roman"/>
                      <w:color w:val="auto"/>
                      <w:kern w:val="0"/>
                      <w:szCs w:val="21"/>
                      <w:highlight w:val="none"/>
                    </w:rPr>
                    <w:t>排放（风量</w:t>
                  </w:r>
                  <w:r>
                    <w:rPr>
                      <w:rFonts w:hint="eastAsia" w:ascii="Times New Roman" w:hAnsi="Times New Roman"/>
                      <w:color w:val="auto"/>
                      <w:kern w:val="0"/>
                      <w:szCs w:val="21"/>
                      <w:highlight w:val="none"/>
                      <w:lang w:val="en-US" w:eastAsia="zh-CN"/>
                    </w:rPr>
                    <w:t>20000</w:t>
                  </w:r>
                  <w:r>
                    <w:rPr>
                      <w:rFonts w:hint="eastAsia" w:ascii="Times New Roman" w:hAnsi="Times New Roman"/>
                      <w:color w:val="auto"/>
                      <w:kern w:val="0"/>
                      <w:szCs w:val="21"/>
                      <w:highlight w:val="none"/>
                    </w:rPr>
                    <w:t>m</w:t>
                  </w:r>
                  <w:r>
                    <w:rPr>
                      <w:rFonts w:hint="eastAsia" w:ascii="Times New Roman" w:hAnsi="Times New Roman"/>
                      <w:color w:val="auto"/>
                      <w:kern w:val="0"/>
                      <w:szCs w:val="21"/>
                      <w:highlight w:val="none"/>
                      <w:vertAlign w:val="superscript"/>
                    </w:rPr>
                    <w:t>3</w:t>
                  </w:r>
                  <w:r>
                    <w:rPr>
                      <w:rFonts w:hint="eastAsia" w:ascii="Times New Roman" w:hAnsi="Times New Roman"/>
                      <w:color w:val="auto"/>
                      <w:kern w:val="0"/>
                      <w:szCs w:val="21"/>
                      <w:highlight w:val="none"/>
                    </w:rPr>
                    <w:t>/h）</w:t>
                  </w:r>
                </w:p>
              </w:tc>
            </w:tr>
            <w:tr w14:paraId="60C366C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05DABAC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固化</w:t>
                  </w:r>
                </w:p>
              </w:tc>
              <w:tc>
                <w:tcPr>
                  <w:tcW w:w="453" w:type="pct"/>
                  <w:noWrap w:val="0"/>
                  <w:vAlign w:val="center"/>
                </w:tcPr>
                <w:p w14:paraId="517E677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G2</w:t>
                  </w:r>
                </w:p>
              </w:tc>
              <w:tc>
                <w:tcPr>
                  <w:tcW w:w="897" w:type="pct"/>
                  <w:noWrap w:val="0"/>
                  <w:vAlign w:val="center"/>
                </w:tcPr>
                <w:p w14:paraId="7E2AE07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固化废气</w:t>
                  </w:r>
                </w:p>
              </w:tc>
              <w:tc>
                <w:tcPr>
                  <w:tcW w:w="769" w:type="pct"/>
                  <w:noWrap w:val="0"/>
                  <w:vAlign w:val="center"/>
                </w:tcPr>
                <w:p w14:paraId="50B1138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非甲烷总烃</w:t>
                  </w:r>
                </w:p>
              </w:tc>
              <w:tc>
                <w:tcPr>
                  <w:tcW w:w="2235" w:type="pct"/>
                  <w:noWrap w:val="0"/>
                  <w:vAlign w:val="center"/>
                </w:tcPr>
                <w:p w14:paraId="688B9E32">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经过管道收集后，通过</w:t>
                  </w:r>
                  <w:r>
                    <w:rPr>
                      <w:rFonts w:hint="eastAsia" w:ascii="Times New Roman" w:hAnsi="Times New Roman"/>
                      <w:color w:val="auto"/>
                      <w:kern w:val="0"/>
                      <w:szCs w:val="21"/>
                      <w:highlight w:val="none"/>
                      <w:lang w:eastAsia="zh-CN"/>
                    </w:rPr>
                    <w:t>“</w:t>
                  </w:r>
                  <w:r>
                    <w:rPr>
                      <w:rFonts w:hint="eastAsia" w:ascii="Times New Roman" w:hAnsi="Times New Roman"/>
                      <w:color w:val="auto"/>
                      <w:kern w:val="0"/>
                      <w:szCs w:val="21"/>
                      <w:highlight w:val="none"/>
                    </w:rPr>
                    <w:t>两级活性炭吸附</w:t>
                  </w:r>
                  <w:r>
                    <w:rPr>
                      <w:rFonts w:hint="eastAsia" w:ascii="Times New Roman" w:hAnsi="Times New Roman"/>
                      <w:color w:val="auto"/>
                      <w:kern w:val="0"/>
                      <w:szCs w:val="21"/>
                      <w:highlight w:val="none"/>
                      <w:lang w:eastAsia="zh-CN"/>
                    </w:rPr>
                    <w:t>”</w:t>
                  </w:r>
                  <w:r>
                    <w:rPr>
                      <w:rFonts w:hint="eastAsia" w:ascii="Times New Roman" w:hAnsi="Times New Roman"/>
                      <w:color w:val="auto"/>
                      <w:kern w:val="0"/>
                      <w:szCs w:val="21"/>
                      <w:highlight w:val="none"/>
                    </w:rPr>
                    <w:t>装置处理后经由15m高的</w:t>
                  </w:r>
                  <w:r>
                    <w:rPr>
                      <w:rFonts w:hint="eastAsia" w:ascii="Times New Roman" w:hAnsi="Times New Roman"/>
                      <w:color w:val="auto"/>
                      <w:kern w:val="0"/>
                      <w:szCs w:val="21"/>
                      <w:highlight w:val="none"/>
                      <w:lang w:val="en-US" w:eastAsia="zh-CN"/>
                    </w:rPr>
                    <w:t>DA001排气筒</w:t>
                  </w:r>
                  <w:r>
                    <w:rPr>
                      <w:rFonts w:hint="eastAsia" w:ascii="Times New Roman" w:hAnsi="Times New Roman"/>
                      <w:color w:val="auto"/>
                      <w:kern w:val="0"/>
                      <w:szCs w:val="21"/>
                      <w:highlight w:val="none"/>
                    </w:rPr>
                    <w:t>排放（风量</w:t>
                  </w:r>
                  <w:r>
                    <w:rPr>
                      <w:rFonts w:hint="eastAsia" w:ascii="Times New Roman" w:hAnsi="Times New Roman"/>
                      <w:color w:val="auto"/>
                      <w:kern w:val="0"/>
                      <w:szCs w:val="21"/>
                      <w:highlight w:val="none"/>
                      <w:lang w:val="en-US" w:eastAsia="zh-CN"/>
                    </w:rPr>
                    <w:t>20000</w:t>
                  </w:r>
                  <w:r>
                    <w:rPr>
                      <w:rFonts w:hint="eastAsia" w:ascii="Times New Roman" w:hAnsi="Times New Roman"/>
                      <w:color w:val="auto"/>
                      <w:kern w:val="0"/>
                      <w:szCs w:val="21"/>
                      <w:highlight w:val="none"/>
                    </w:rPr>
                    <w:t>m</w:t>
                  </w:r>
                  <w:r>
                    <w:rPr>
                      <w:rFonts w:hint="eastAsia" w:ascii="Times New Roman" w:hAnsi="Times New Roman"/>
                      <w:color w:val="auto"/>
                      <w:kern w:val="0"/>
                      <w:szCs w:val="21"/>
                      <w:highlight w:val="none"/>
                      <w:vertAlign w:val="superscript"/>
                    </w:rPr>
                    <w:t>3</w:t>
                  </w:r>
                  <w:r>
                    <w:rPr>
                      <w:rFonts w:hint="eastAsia" w:ascii="Times New Roman" w:hAnsi="Times New Roman"/>
                      <w:color w:val="auto"/>
                      <w:kern w:val="0"/>
                      <w:szCs w:val="21"/>
                      <w:highlight w:val="none"/>
                    </w:rPr>
                    <w:t>/h）</w:t>
                  </w:r>
                </w:p>
              </w:tc>
            </w:tr>
            <w:tr w14:paraId="35403E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4049A3D5">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磨边</w:t>
                  </w:r>
                </w:p>
              </w:tc>
              <w:tc>
                <w:tcPr>
                  <w:tcW w:w="453" w:type="pct"/>
                  <w:noWrap w:val="0"/>
                  <w:vAlign w:val="center"/>
                </w:tcPr>
                <w:p w14:paraId="00D9DB4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S1</w:t>
                  </w:r>
                </w:p>
              </w:tc>
              <w:tc>
                <w:tcPr>
                  <w:tcW w:w="897" w:type="pct"/>
                  <w:noWrap w:val="0"/>
                  <w:vAlign w:val="center"/>
                </w:tcPr>
                <w:p w14:paraId="0B3B563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废玻璃屑</w:t>
                  </w:r>
                </w:p>
              </w:tc>
              <w:tc>
                <w:tcPr>
                  <w:tcW w:w="769" w:type="pct"/>
                  <w:noWrap w:val="0"/>
                  <w:vAlign w:val="center"/>
                </w:tcPr>
                <w:p w14:paraId="0CBCBE2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玻璃</w:t>
                  </w:r>
                </w:p>
              </w:tc>
              <w:tc>
                <w:tcPr>
                  <w:tcW w:w="2235" w:type="pct"/>
                  <w:vMerge w:val="restart"/>
                  <w:noWrap w:val="0"/>
                  <w:vAlign w:val="center"/>
                </w:tcPr>
                <w:p w14:paraId="2C6E2F3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统一收集后外售</w:t>
                  </w:r>
                </w:p>
              </w:tc>
            </w:tr>
            <w:tr w14:paraId="2A1038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2E452E6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清洗</w:t>
                  </w:r>
                </w:p>
              </w:tc>
              <w:tc>
                <w:tcPr>
                  <w:tcW w:w="453" w:type="pct"/>
                  <w:noWrap w:val="0"/>
                  <w:vAlign w:val="center"/>
                </w:tcPr>
                <w:p w14:paraId="17660AC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 w:val="21"/>
                      <w:szCs w:val="21"/>
                      <w:highlight w:val="none"/>
                      <w:lang w:val="en-US" w:eastAsia="zh-CN" w:bidi="ar-SA"/>
                    </w:rPr>
                  </w:pPr>
                  <w:r>
                    <w:rPr>
                      <w:rFonts w:hint="eastAsia" w:ascii="Times New Roman" w:hAnsi="Times New Roman"/>
                      <w:color w:val="auto"/>
                      <w:kern w:val="0"/>
                      <w:szCs w:val="21"/>
                      <w:highlight w:val="none"/>
                      <w:lang w:val="en-US" w:eastAsia="zh-CN"/>
                    </w:rPr>
                    <w:t>S2</w:t>
                  </w:r>
                </w:p>
              </w:tc>
              <w:tc>
                <w:tcPr>
                  <w:tcW w:w="897" w:type="pct"/>
                  <w:noWrap w:val="0"/>
                  <w:vAlign w:val="center"/>
                </w:tcPr>
                <w:p w14:paraId="3906394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废玻璃屑</w:t>
                  </w:r>
                </w:p>
              </w:tc>
              <w:tc>
                <w:tcPr>
                  <w:tcW w:w="769" w:type="pct"/>
                  <w:noWrap w:val="0"/>
                  <w:vAlign w:val="center"/>
                </w:tcPr>
                <w:p w14:paraId="1F2F437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玻璃</w:t>
                  </w:r>
                </w:p>
              </w:tc>
              <w:tc>
                <w:tcPr>
                  <w:tcW w:w="2235" w:type="pct"/>
                  <w:vMerge w:val="continue"/>
                  <w:noWrap w:val="0"/>
                  <w:vAlign w:val="center"/>
                </w:tcPr>
                <w:p w14:paraId="2E78E7FB">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p>
              </w:tc>
            </w:tr>
            <w:tr w14:paraId="0432D3A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2BF1BF6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二次清洗</w:t>
                  </w:r>
                </w:p>
              </w:tc>
              <w:tc>
                <w:tcPr>
                  <w:tcW w:w="453" w:type="pct"/>
                  <w:noWrap w:val="0"/>
                  <w:vAlign w:val="center"/>
                </w:tcPr>
                <w:p w14:paraId="3E55BEB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 w:val="21"/>
                      <w:szCs w:val="21"/>
                      <w:highlight w:val="none"/>
                      <w:lang w:val="en-US" w:eastAsia="zh-CN" w:bidi="ar-SA"/>
                    </w:rPr>
                  </w:pPr>
                  <w:r>
                    <w:rPr>
                      <w:rFonts w:hint="eastAsia" w:ascii="Times New Roman" w:hAnsi="Times New Roman"/>
                      <w:color w:val="auto"/>
                      <w:kern w:val="0"/>
                      <w:szCs w:val="21"/>
                      <w:highlight w:val="none"/>
                      <w:lang w:val="en-US" w:eastAsia="zh-CN"/>
                    </w:rPr>
                    <w:t>S3</w:t>
                  </w:r>
                </w:p>
              </w:tc>
              <w:tc>
                <w:tcPr>
                  <w:tcW w:w="897" w:type="pct"/>
                  <w:noWrap w:val="0"/>
                  <w:vAlign w:val="center"/>
                </w:tcPr>
                <w:p w14:paraId="2E4587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废玻璃屑</w:t>
                  </w:r>
                </w:p>
              </w:tc>
              <w:tc>
                <w:tcPr>
                  <w:tcW w:w="769" w:type="pct"/>
                  <w:noWrap w:val="0"/>
                  <w:vAlign w:val="center"/>
                </w:tcPr>
                <w:p w14:paraId="459937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玻璃</w:t>
                  </w:r>
                </w:p>
              </w:tc>
              <w:tc>
                <w:tcPr>
                  <w:tcW w:w="2235" w:type="pct"/>
                  <w:vMerge w:val="continue"/>
                  <w:noWrap w:val="0"/>
                  <w:vAlign w:val="center"/>
                </w:tcPr>
                <w:p w14:paraId="6C612598">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p>
              </w:tc>
            </w:tr>
            <w:tr w14:paraId="0C2C4A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69A0395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丝印</w:t>
                  </w:r>
                </w:p>
              </w:tc>
              <w:tc>
                <w:tcPr>
                  <w:tcW w:w="453" w:type="pct"/>
                  <w:noWrap w:val="0"/>
                  <w:vAlign w:val="center"/>
                </w:tcPr>
                <w:p w14:paraId="0B9BE93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S4</w:t>
                  </w:r>
                </w:p>
              </w:tc>
              <w:tc>
                <w:tcPr>
                  <w:tcW w:w="897" w:type="pct"/>
                  <w:noWrap w:val="0"/>
                  <w:vAlign w:val="center"/>
                </w:tcPr>
                <w:p w14:paraId="0939E2D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废高反射膜材料桶</w:t>
                  </w:r>
                </w:p>
              </w:tc>
              <w:tc>
                <w:tcPr>
                  <w:tcW w:w="769" w:type="pct"/>
                  <w:noWrap w:val="0"/>
                  <w:vAlign w:val="center"/>
                </w:tcPr>
                <w:p w14:paraId="2ADEA33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高反射膜材料、塑料</w:t>
                  </w:r>
                </w:p>
              </w:tc>
              <w:tc>
                <w:tcPr>
                  <w:tcW w:w="2235" w:type="pct"/>
                  <w:vMerge w:val="restart"/>
                  <w:noWrap w:val="0"/>
                  <w:vAlign w:val="center"/>
                </w:tcPr>
                <w:p w14:paraId="4AFE92D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暂存到危废库后交由资质单位处置</w:t>
                  </w:r>
                </w:p>
              </w:tc>
            </w:tr>
            <w:tr w14:paraId="29771AB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01F05B5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丝印</w:t>
                  </w:r>
                </w:p>
              </w:tc>
              <w:tc>
                <w:tcPr>
                  <w:tcW w:w="453" w:type="pct"/>
                  <w:noWrap w:val="0"/>
                  <w:vAlign w:val="center"/>
                </w:tcPr>
                <w:p w14:paraId="16865E3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 w:val="21"/>
                      <w:szCs w:val="21"/>
                      <w:highlight w:val="none"/>
                      <w:lang w:val="en-US" w:eastAsia="zh-CN" w:bidi="ar-SA"/>
                    </w:rPr>
                  </w:pPr>
                  <w:r>
                    <w:rPr>
                      <w:rFonts w:hint="eastAsia" w:ascii="Times New Roman" w:hAnsi="Times New Roman"/>
                      <w:color w:val="auto"/>
                      <w:kern w:val="0"/>
                      <w:szCs w:val="21"/>
                      <w:highlight w:val="none"/>
                      <w:lang w:val="en-US" w:eastAsia="zh-CN"/>
                    </w:rPr>
                    <w:t>S5</w:t>
                  </w:r>
                </w:p>
              </w:tc>
              <w:tc>
                <w:tcPr>
                  <w:tcW w:w="897" w:type="pct"/>
                  <w:noWrap w:val="0"/>
                  <w:vAlign w:val="center"/>
                </w:tcPr>
                <w:p w14:paraId="2F4267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废含高反射膜材料抹布</w:t>
                  </w:r>
                </w:p>
              </w:tc>
              <w:tc>
                <w:tcPr>
                  <w:tcW w:w="769" w:type="pct"/>
                  <w:noWrap w:val="0"/>
                  <w:vAlign w:val="center"/>
                </w:tcPr>
                <w:p w14:paraId="1B4FE60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高反射膜材料、布</w:t>
                  </w:r>
                </w:p>
              </w:tc>
              <w:tc>
                <w:tcPr>
                  <w:tcW w:w="2235" w:type="pct"/>
                  <w:vMerge w:val="continue"/>
                  <w:noWrap w:val="0"/>
                  <w:vAlign w:val="center"/>
                </w:tcPr>
                <w:p w14:paraId="3406BEC3">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p>
              </w:tc>
            </w:tr>
            <w:tr w14:paraId="0B748E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2DEC2D1D">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丝印</w:t>
                  </w:r>
                </w:p>
              </w:tc>
              <w:tc>
                <w:tcPr>
                  <w:tcW w:w="453" w:type="pct"/>
                  <w:noWrap w:val="0"/>
                  <w:vAlign w:val="center"/>
                </w:tcPr>
                <w:p w14:paraId="40C64D9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 w:val="21"/>
                      <w:szCs w:val="21"/>
                      <w:highlight w:val="none"/>
                      <w:lang w:val="en-US" w:eastAsia="zh-CN" w:bidi="ar-SA"/>
                    </w:rPr>
                  </w:pPr>
                  <w:r>
                    <w:rPr>
                      <w:rFonts w:hint="eastAsia" w:ascii="Times New Roman" w:hAnsi="Times New Roman"/>
                      <w:color w:val="auto"/>
                      <w:kern w:val="0"/>
                      <w:szCs w:val="21"/>
                      <w:highlight w:val="none"/>
                      <w:lang w:val="en-US" w:eastAsia="zh-CN"/>
                    </w:rPr>
                    <w:t>S6</w:t>
                  </w:r>
                </w:p>
              </w:tc>
              <w:tc>
                <w:tcPr>
                  <w:tcW w:w="897" w:type="pct"/>
                  <w:noWrap w:val="0"/>
                  <w:vAlign w:val="center"/>
                </w:tcPr>
                <w:p w14:paraId="12B4ED3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废印版</w:t>
                  </w:r>
                </w:p>
              </w:tc>
              <w:tc>
                <w:tcPr>
                  <w:tcW w:w="769" w:type="pct"/>
                  <w:noWrap w:val="0"/>
                  <w:vAlign w:val="center"/>
                </w:tcPr>
                <w:p w14:paraId="3C775D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印版</w:t>
                  </w:r>
                </w:p>
              </w:tc>
              <w:tc>
                <w:tcPr>
                  <w:tcW w:w="2235" w:type="pct"/>
                  <w:vMerge w:val="continue"/>
                  <w:noWrap w:val="0"/>
                  <w:vAlign w:val="center"/>
                </w:tcPr>
                <w:p w14:paraId="02A8DEBE">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p>
              </w:tc>
            </w:tr>
            <w:tr w14:paraId="4314A5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04B932D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三次清洗</w:t>
                  </w:r>
                </w:p>
              </w:tc>
              <w:tc>
                <w:tcPr>
                  <w:tcW w:w="453" w:type="pct"/>
                  <w:noWrap w:val="0"/>
                  <w:vAlign w:val="center"/>
                </w:tcPr>
                <w:p w14:paraId="2B989ED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0"/>
                      <w:sz w:val="21"/>
                      <w:szCs w:val="21"/>
                      <w:highlight w:val="none"/>
                      <w:lang w:val="en-US" w:eastAsia="zh-CN" w:bidi="ar-SA"/>
                    </w:rPr>
                  </w:pPr>
                  <w:r>
                    <w:rPr>
                      <w:rFonts w:hint="eastAsia" w:ascii="Times New Roman" w:hAnsi="Times New Roman"/>
                      <w:color w:val="auto"/>
                      <w:kern w:val="0"/>
                      <w:szCs w:val="21"/>
                      <w:highlight w:val="none"/>
                      <w:lang w:val="en-US" w:eastAsia="zh-CN"/>
                    </w:rPr>
                    <w:t>S7</w:t>
                  </w:r>
                </w:p>
              </w:tc>
              <w:tc>
                <w:tcPr>
                  <w:tcW w:w="897" w:type="pct"/>
                  <w:noWrap w:val="0"/>
                  <w:vAlign w:val="center"/>
                </w:tcPr>
                <w:p w14:paraId="50B1E03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废玻璃屑</w:t>
                  </w:r>
                </w:p>
              </w:tc>
              <w:tc>
                <w:tcPr>
                  <w:tcW w:w="769" w:type="pct"/>
                  <w:noWrap w:val="0"/>
                  <w:vAlign w:val="center"/>
                </w:tcPr>
                <w:p w14:paraId="23535D1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玻璃</w:t>
                  </w:r>
                </w:p>
              </w:tc>
              <w:tc>
                <w:tcPr>
                  <w:tcW w:w="2235" w:type="pct"/>
                  <w:vMerge w:val="restart"/>
                  <w:noWrap w:val="0"/>
                  <w:vAlign w:val="center"/>
                </w:tcPr>
                <w:p w14:paraId="155E2065">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统一收集后外售</w:t>
                  </w:r>
                </w:p>
              </w:tc>
            </w:tr>
            <w:tr w14:paraId="4DA1A33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19AF75C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检验</w:t>
                  </w:r>
                </w:p>
              </w:tc>
              <w:tc>
                <w:tcPr>
                  <w:tcW w:w="453" w:type="pct"/>
                  <w:noWrap w:val="0"/>
                  <w:vAlign w:val="center"/>
                </w:tcPr>
                <w:p w14:paraId="3640E70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S8</w:t>
                  </w:r>
                </w:p>
              </w:tc>
              <w:tc>
                <w:tcPr>
                  <w:tcW w:w="897" w:type="pct"/>
                  <w:noWrap w:val="0"/>
                  <w:vAlign w:val="center"/>
                </w:tcPr>
                <w:p w14:paraId="368F33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不合格品</w:t>
                  </w:r>
                </w:p>
              </w:tc>
              <w:tc>
                <w:tcPr>
                  <w:tcW w:w="769" w:type="pct"/>
                  <w:noWrap w:val="0"/>
                  <w:vAlign w:val="center"/>
                </w:tcPr>
                <w:p w14:paraId="3DFF37F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玻璃</w:t>
                  </w:r>
                </w:p>
              </w:tc>
              <w:tc>
                <w:tcPr>
                  <w:tcW w:w="2235" w:type="pct"/>
                  <w:vMerge w:val="continue"/>
                  <w:noWrap w:val="0"/>
                  <w:vAlign w:val="center"/>
                </w:tcPr>
                <w:p w14:paraId="1B983549">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color w:val="auto"/>
                      <w:kern w:val="0"/>
                      <w:szCs w:val="21"/>
                      <w:highlight w:val="none"/>
                      <w:lang w:val="en-US" w:eastAsia="zh-CN"/>
                    </w:rPr>
                  </w:pPr>
                </w:p>
              </w:tc>
            </w:tr>
            <w:tr w14:paraId="6A0688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4" w:type="pct"/>
                  <w:noWrap w:val="0"/>
                  <w:vAlign w:val="center"/>
                </w:tcPr>
                <w:p w14:paraId="7CB0853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包装</w:t>
                  </w:r>
                </w:p>
              </w:tc>
              <w:tc>
                <w:tcPr>
                  <w:tcW w:w="453" w:type="pct"/>
                  <w:noWrap w:val="0"/>
                  <w:vAlign w:val="center"/>
                </w:tcPr>
                <w:p w14:paraId="704B13F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S9</w:t>
                  </w:r>
                </w:p>
              </w:tc>
              <w:tc>
                <w:tcPr>
                  <w:tcW w:w="897" w:type="pct"/>
                  <w:noWrap w:val="0"/>
                  <w:vAlign w:val="center"/>
                </w:tcPr>
                <w:p w14:paraId="1A51D33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废包装材料</w:t>
                  </w:r>
                </w:p>
              </w:tc>
              <w:tc>
                <w:tcPr>
                  <w:tcW w:w="769" w:type="pct"/>
                  <w:noWrap w:val="0"/>
                  <w:vAlign w:val="center"/>
                </w:tcPr>
                <w:p w14:paraId="62B288F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塑料</w:t>
                  </w:r>
                </w:p>
              </w:tc>
              <w:tc>
                <w:tcPr>
                  <w:tcW w:w="2235" w:type="pct"/>
                  <w:noWrap w:val="0"/>
                  <w:vAlign w:val="center"/>
                </w:tcPr>
                <w:p w14:paraId="0C0E5AD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暂存在一般固废库后外售</w:t>
                  </w:r>
                </w:p>
              </w:tc>
            </w:tr>
          </w:tbl>
          <w:p w14:paraId="41177273">
            <w:pPr>
              <w:widowControl/>
              <w:spacing w:line="360" w:lineRule="auto"/>
              <w:rPr>
                <w:rFonts w:ascii="Times New Roman" w:hAnsi="Times New Roman"/>
                <w:color w:val="auto"/>
                <w:kern w:val="0"/>
                <w:sz w:val="24"/>
                <w:szCs w:val="24"/>
                <w:highlight w:val="none"/>
              </w:rPr>
            </w:pPr>
          </w:p>
        </w:tc>
      </w:tr>
      <w:tr w14:paraId="230A5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0" w:hRule="atLeast"/>
          <w:jc w:val="center"/>
        </w:trPr>
        <w:tc>
          <w:tcPr>
            <w:tcW w:w="456" w:type="dxa"/>
            <w:noWrap w:val="0"/>
            <w:vAlign w:val="center"/>
          </w:tcPr>
          <w:p w14:paraId="66467EA3">
            <w:pPr>
              <w:widowControl/>
              <w:adjustRightInd w:val="0"/>
              <w:snapToGrid w:val="0"/>
              <w:jc w:val="center"/>
              <w:rPr>
                <w:rFonts w:ascii="宋体" w:hAnsi="宋体" w:cs="宋体"/>
                <w:color w:val="auto"/>
                <w:kern w:val="0"/>
                <w:sz w:val="24"/>
                <w:szCs w:val="24"/>
                <w:highlight w:val="none"/>
              </w:rPr>
            </w:pPr>
            <w:r>
              <w:rPr>
                <w:rFonts w:hint="eastAsia" w:ascii="宋体" w:hAnsi="宋体" w:cs="宋体"/>
                <w:bCs/>
                <w:color w:val="auto"/>
                <w:sz w:val="24"/>
                <w:szCs w:val="24"/>
                <w:highlight w:val="none"/>
              </w:rPr>
              <w:t>与项目有关的原有环境污染问题</w:t>
            </w:r>
          </w:p>
        </w:tc>
        <w:tc>
          <w:tcPr>
            <w:tcW w:w="8814" w:type="dxa"/>
            <w:noWrap w:val="0"/>
            <w:vAlign w:val="top"/>
          </w:tcPr>
          <w:p w14:paraId="50E6A1B3">
            <w:pPr>
              <w:spacing w:line="360" w:lineRule="auto"/>
              <w:ind w:firstLine="480" w:firstLineChars="200"/>
              <w:rPr>
                <w:rFonts w:ascii="Times New Roman" w:hAnsi="宋体"/>
                <w:bCs/>
                <w:color w:val="auto"/>
                <w:sz w:val="24"/>
                <w:szCs w:val="24"/>
                <w:highlight w:val="none"/>
              </w:rPr>
            </w:pPr>
            <w:r>
              <w:rPr>
                <w:rFonts w:ascii="Times New Roman" w:hAnsi="宋体"/>
                <w:bCs/>
                <w:color w:val="auto"/>
                <w:sz w:val="24"/>
                <w:szCs w:val="24"/>
                <w:highlight w:val="none"/>
              </w:rPr>
              <w:t>本项目为新建项目，</w:t>
            </w:r>
            <w:r>
              <w:rPr>
                <w:rFonts w:hint="eastAsia" w:ascii="Times New Roman" w:hAnsi="宋体"/>
                <w:bCs/>
                <w:color w:val="auto"/>
                <w:sz w:val="24"/>
                <w:szCs w:val="24"/>
                <w:highlight w:val="none"/>
                <w:lang w:val="en-US" w:eastAsia="zh-CN"/>
              </w:rPr>
              <w:t>位于</w:t>
            </w:r>
            <w:r>
              <w:rPr>
                <w:rFonts w:hint="eastAsia" w:ascii="Times New Roman" w:hAnsi="宋体"/>
                <w:color w:val="auto"/>
                <w:sz w:val="24"/>
                <w:highlight w:val="none"/>
                <w:lang w:eastAsia="zh-CN"/>
              </w:rPr>
              <w:t>安徽省淮南市凤台经济开发区国晟（凤台）异质结双碳产业园</w:t>
            </w:r>
            <w:r>
              <w:rPr>
                <w:rFonts w:hint="eastAsia" w:ascii="Times New Roman" w:hAnsi="宋体"/>
                <w:color w:val="auto"/>
                <w:sz w:val="24"/>
                <w:highlight w:val="none"/>
              </w:rPr>
              <w:t>，租赁</w:t>
            </w:r>
            <w:r>
              <w:rPr>
                <w:rFonts w:hint="eastAsia" w:ascii="Times New Roman" w:hAnsi="宋体"/>
                <w:color w:val="auto"/>
                <w:sz w:val="24"/>
                <w:highlight w:val="none"/>
                <w:lang w:val="en-US" w:eastAsia="zh-CN"/>
              </w:rPr>
              <w:t>11</w:t>
            </w:r>
            <w:r>
              <w:rPr>
                <w:rFonts w:hint="eastAsia" w:ascii="Times New Roman" w:hAnsi="宋体"/>
                <w:color w:val="auto"/>
                <w:sz w:val="24"/>
                <w:highlight w:val="none"/>
              </w:rPr>
              <w:t>#、</w:t>
            </w:r>
            <w:r>
              <w:rPr>
                <w:rFonts w:hint="eastAsia" w:ascii="Times New Roman" w:hAnsi="宋体"/>
                <w:color w:val="auto"/>
                <w:sz w:val="24"/>
                <w:highlight w:val="none"/>
                <w:lang w:val="en-US" w:eastAsia="zh-CN"/>
              </w:rPr>
              <w:t>12</w:t>
            </w:r>
            <w:r>
              <w:rPr>
                <w:rFonts w:hint="eastAsia" w:ascii="Times New Roman" w:hAnsi="宋体"/>
                <w:color w:val="auto"/>
                <w:sz w:val="24"/>
                <w:highlight w:val="none"/>
              </w:rPr>
              <w:t>#标准化厂房进行生产</w:t>
            </w:r>
            <w:r>
              <w:rPr>
                <w:rFonts w:hint="eastAsia" w:ascii="Times New Roman" w:hAnsi="宋体"/>
                <w:bCs/>
                <w:color w:val="auto"/>
                <w:sz w:val="24"/>
                <w:szCs w:val="24"/>
                <w:highlight w:val="none"/>
                <w:lang w:eastAsia="zh-CN"/>
              </w:rPr>
              <w:t>，</w:t>
            </w:r>
            <w:r>
              <w:rPr>
                <w:rFonts w:hint="eastAsia" w:ascii="Times New Roman" w:hAnsi="宋体"/>
                <w:bCs/>
                <w:color w:val="auto"/>
                <w:sz w:val="24"/>
                <w:szCs w:val="24"/>
                <w:highlight w:val="none"/>
              </w:rPr>
              <w:t>根据厂房建设以来使用情况，厂房未进行过项目生产，因此不存在对厂址区域土壤和地下水质量产生污染的问题，</w:t>
            </w:r>
            <w:r>
              <w:rPr>
                <w:rFonts w:ascii="Times New Roman" w:hAnsi="宋体"/>
                <w:bCs/>
                <w:color w:val="auto"/>
                <w:sz w:val="24"/>
                <w:szCs w:val="24"/>
                <w:highlight w:val="none"/>
              </w:rPr>
              <w:t>项目用地范围内无原有环境污染问题</w:t>
            </w:r>
            <w:r>
              <w:rPr>
                <w:rFonts w:hint="eastAsia" w:ascii="Times New Roman" w:hAnsi="宋体"/>
                <w:bCs/>
                <w:color w:val="auto"/>
                <w:sz w:val="24"/>
                <w:szCs w:val="24"/>
                <w:highlight w:val="none"/>
              </w:rPr>
              <w:t>。</w:t>
            </w:r>
          </w:p>
          <w:p w14:paraId="0C3E9E61">
            <w:pPr>
              <w:spacing w:line="360" w:lineRule="auto"/>
              <w:jc w:val="left"/>
              <w:rPr>
                <w:rFonts w:ascii="宋体" w:hAnsi="宋体"/>
                <w:bCs/>
                <w:color w:val="auto"/>
                <w:sz w:val="24"/>
                <w:szCs w:val="24"/>
                <w:highlight w:val="none"/>
              </w:rPr>
            </w:pPr>
          </w:p>
        </w:tc>
      </w:tr>
    </w:tbl>
    <w:p w14:paraId="08968DD4">
      <w:pPr>
        <w:widowControl/>
        <w:spacing w:before="100" w:beforeAutospacing="1" w:after="100" w:afterAutospacing="1"/>
        <w:ind w:firstLine="600"/>
        <w:jc w:val="center"/>
        <w:outlineLvl w:val="0"/>
        <w:rPr>
          <w:rFonts w:ascii="黑体" w:hAnsi="黑体" w:eastAsia="黑体"/>
          <w:snapToGrid w:val="0"/>
          <w:color w:val="auto"/>
          <w:kern w:val="0"/>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762F05F9">
      <w:pPr>
        <w:widowControl/>
        <w:spacing w:before="100" w:beforeAutospacing="1" w:after="100" w:afterAutospacing="1"/>
        <w:ind w:firstLine="600"/>
        <w:jc w:val="center"/>
        <w:outlineLvl w:val="0"/>
        <w:rPr>
          <w:rFonts w:ascii="黑体" w:hAnsi="黑体" w:eastAsia="黑体"/>
          <w:snapToGrid w:val="0"/>
          <w:color w:val="auto"/>
          <w:kern w:val="0"/>
          <w:sz w:val="30"/>
          <w:szCs w:val="30"/>
          <w:highlight w:val="none"/>
        </w:rPr>
      </w:pPr>
      <w:r>
        <w:rPr>
          <w:rFonts w:hint="eastAsia" w:ascii="黑体" w:hAnsi="黑体" w:eastAsia="黑体"/>
          <w:snapToGrid w:val="0"/>
          <w:color w:val="auto"/>
          <w:kern w:val="0"/>
          <w:sz w:val="30"/>
          <w:szCs w:val="30"/>
          <w:highlight w:val="none"/>
        </w:rPr>
        <w:t>三、区域环境质量现状、环境保护目标及评价标准</w:t>
      </w:r>
    </w:p>
    <w:tbl>
      <w:tblPr>
        <w:tblStyle w:val="2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69"/>
      </w:tblGrid>
      <w:tr w14:paraId="78B37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57" w:type="dxa"/>
            <w:noWrap w:val="0"/>
            <w:vAlign w:val="center"/>
          </w:tcPr>
          <w:p w14:paraId="05D9D490">
            <w:pPr>
              <w:adjustRightInd w:val="0"/>
              <w:snapToGrid w:val="0"/>
              <w:jc w:val="center"/>
              <w:rPr>
                <w:rFonts w:ascii="Times New Roman" w:hAnsi="Times New Roman"/>
                <w:color w:val="auto"/>
                <w:kern w:val="0"/>
                <w:sz w:val="24"/>
                <w:szCs w:val="24"/>
                <w:highlight w:val="none"/>
              </w:rPr>
            </w:pPr>
            <w:r>
              <w:rPr>
                <w:rFonts w:ascii="Times New Roman" w:hAnsi="宋体"/>
                <w:color w:val="auto"/>
                <w:kern w:val="0"/>
                <w:sz w:val="24"/>
                <w:szCs w:val="24"/>
                <w:highlight w:val="none"/>
              </w:rPr>
              <w:t>区域</w:t>
            </w:r>
          </w:p>
          <w:p w14:paraId="3B157FEC">
            <w:pPr>
              <w:adjustRightInd w:val="0"/>
              <w:snapToGrid w:val="0"/>
              <w:jc w:val="center"/>
              <w:rPr>
                <w:rFonts w:ascii="Times New Roman" w:hAnsi="Times New Roman"/>
                <w:color w:val="auto"/>
                <w:kern w:val="0"/>
                <w:sz w:val="24"/>
                <w:szCs w:val="24"/>
                <w:highlight w:val="none"/>
              </w:rPr>
            </w:pPr>
            <w:r>
              <w:rPr>
                <w:rFonts w:ascii="Times New Roman" w:hAnsi="宋体"/>
                <w:color w:val="auto"/>
                <w:kern w:val="0"/>
                <w:sz w:val="24"/>
                <w:szCs w:val="24"/>
                <w:highlight w:val="none"/>
              </w:rPr>
              <w:t>环境</w:t>
            </w:r>
          </w:p>
          <w:p w14:paraId="0740F67F">
            <w:pPr>
              <w:adjustRightInd w:val="0"/>
              <w:snapToGrid w:val="0"/>
              <w:jc w:val="center"/>
              <w:rPr>
                <w:rFonts w:ascii="Times New Roman" w:hAnsi="Times New Roman"/>
                <w:color w:val="auto"/>
                <w:kern w:val="0"/>
                <w:sz w:val="24"/>
                <w:szCs w:val="24"/>
                <w:highlight w:val="none"/>
              </w:rPr>
            </w:pPr>
            <w:r>
              <w:rPr>
                <w:rFonts w:ascii="Times New Roman" w:hAnsi="宋体"/>
                <w:color w:val="auto"/>
                <w:kern w:val="0"/>
                <w:sz w:val="24"/>
                <w:szCs w:val="24"/>
                <w:highlight w:val="none"/>
              </w:rPr>
              <w:t>质量</w:t>
            </w:r>
          </w:p>
          <w:p w14:paraId="1D210FBA">
            <w:pPr>
              <w:adjustRightInd w:val="0"/>
              <w:snapToGrid w:val="0"/>
              <w:jc w:val="center"/>
              <w:rPr>
                <w:rFonts w:ascii="Times New Roman" w:hAnsi="Times New Roman"/>
                <w:color w:val="auto"/>
                <w:kern w:val="0"/>
                <w:szCs w:val="21"/>
                <w:highlight w:val="none"/>
              </w:rPr>
            </w:pPr>
            <w:r>
              <w:rPr>
                <w:rFonts w:ascii="Times New Roman" w:hAnsi="宋体"/>
                <w:color w:val="auto"/>
                <w:kern w:val="0"/>
                <w:sz w:val="24"/>
                <w:szCs w:val="24"/>
                <w:highlight w:val="none"/>
              </w:rPr>
              <w:t>现状</w:t>
            </w:r>
          </w:p>
        </w:tc>
        <w:tc>
          <w:tcPr>
            <w:tcW w:w="8065" w:type="dxa"/>
            <w:noWrap w:val="0"/>
            <w:vAlign w:val="top"/>
          </w:tcPr>
          <w:p w14:paraId="145754A3">
            <w:pPr>
              <w:spacing w:line="360" w:lineRule="auto"/>
              <w:ind w:firstLine="482" w:firstLineChars="200"/>
              <w:jc w:val="left"/>
              <w:rPr>
                <w:rFonts w:ascii="Times New Roman" w:hAnsi="宋体"/>
                <w:b/>
                <w:color w:val="auto"/>
                <w:kern w:val="0"/>
                <w:sz w:val="24"/>
                <w:szCs w:val="24"/>
                <w:highlight w:val="none"/>
              </w:rPr>
            </w:pPr>
            <w:r>
              <w:rPr>
                <w:rFonts w:ascii="Times New Roman" w:hAnsi="宋体"/>
                <w:b/>
                <w:color w:val="auto"/>
                <w:kern w:val="0"/>
                <w:sz w:val="24"/>
                <w:szCs w:val="24"/>
                <w:highlight w:val="none"/>
              </w:rPr>
              <w:t>1、</w:t>
            </w:r>
            <w:r>
              <w:rPr>
                <w:rFonts w:hint="eastAsia" w:ascii="Times New Roman" w:hAnsi="宋体"/>
                <w:b/>
                <w:color w:val="auto"/>
                <w:kern w:val="0"/>
                <w:sz w:val="24"/>
                <w:szCs w:val="24"/>
                <w:highlight w:val="none"/>
              </w:rPr>
              <w:t>环境</w:t>
            </w:r>
            <w:r>
              <w:rPr>
                <w:rFonts w:ascii="Times New Roman" w:hAnsi="宋体"/>
                <w:b/>
                <w:color w:val="auto"/>
                <w:kern w:val="0"/>
                <w:sz w:val="24"/>
                <w:szCs w:val="24"/>
                <w:highlight w:val="none"/>
              </w:rPr>
              <w:t>空气质量现状</w:t>
            </w:r>
          </w:p>
          <w:p w14:paraId="43DF31F1">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（1）基本污染物</w:t>
            </w:r>
          </w:p>
          <w:p w14:paraId="3EBD89F6">
            <w:pPr>
              <w:keepNext w:val="0"/>
              <w:keepLines w:val="0"/>
              <w:suppressLineNumbers w:val="0"/>
              <w:tabs>
                <w:tab w:val="left" w:pos="0"/>
              </w:tabs>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rPr>
              <w:t>根据《建设项目环境影响报告表编制技术指南》（生态影响类）（试行）中相关规定：不开展专项评价的环境要素，引用与项目距离近的有效数据和调查资料，包括符合时限要求的规划环境影响评价监测数据和调查资料，国家、地方环境质量监测网数据或生态环境主管部门公开发布的生态环境质量数据等。</w:t>
            </w:r>
          </w:p>
          <w:p w14:paraId="6BC387D3">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根据2025年淮南市生态环境质量状况</w:t>
            </w:r>
            <w:r>
              <w:rPr>
                <w:rFonts w:hint="eastAsia" w:ascii="Times New Roman" w:hAnsi="Times New Roman" w:eastAsia="宋体" w:cs="Times New Roman"/>
                <w:bCs/>
                <w:color w:val="auto"/>
                <w:sz w:val="24"/>
                <w:szCs w:val="24"/>
                <w:highlight w:val="none"/>
                <w:lang w:val="en-US" w:eastAsia="zh-CN"/>
              </w:rPr>
              <w:t>通报</w:t>
            </w:r>
            <w:r>
              <w:rPr>
                <w:rFonts w:hint="default" w:ascii="Times New Roman" w:hAnsi="Times New Roman" w:eastAsia="宋体" w:cs="Times New Roman"/>
                <w:bCs/>
                <w:color w:val="auto"/>
                <w:sz w:val="24"/>
                <w:szCs w:val="24"/>
                <w:highlight w:val="none"/>
                <w:lang w:val="en-US" w:eastAsia="zh-CN"/>
              </w:rPr>
              <w:t>，2025年，全市环境空气质量一级</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优</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97天，二级</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良</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203天，三级</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轻度污染</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56天，四级</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中度污染</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6天，五级</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重度污染</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2天，六级</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严重污染</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1天</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由沙尘引起的重度污染1天，严重污染1天</w:t>
            </w:r>
            <w:r>
              <w:rPr>
                <w:rFonts w:hint="eastAsia" w:ascii="Times New Roman" w:hAnsi="Times New Roman"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全市年度环境空气达标天数比例为82.2%，与上年相比增加了4.9个百分点</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全市环境空气综合指数为3.62，首要污染物为细颗粒物。</w:t>
            </w:r>
          </w:p>
          <w:p w14:paraId="79F4D3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表3-</w:t>
            </w:r>
            <w:r>
              <w:rPr>
                <w:rFonts w:hint="eastAsia" w:ascii="Times New Roman" w:hAnsi="Times New Roman" w:eastAsia="黑体"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rPr>
              <w:t xml:space="preserve"> 基本污染物环境质量现状</w:t>
            </w:r>
          </w:p>
          <w:tbl>
            <w:tblPr>
              <w:tblStyle w:val="20"/>
              <w:tblW w:w="7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613"/>
              <w:gridCol w:w="1203"/>
              <w:gridCol w:w="1203"/>
              <w:gridCol w:w="923"/>
              <w:gridCol w:w="1134"/>
            </w:tblGrid>
            <w:tr w14:paraId="17F33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top w:val="single" w:color="auto" w:sz="8" w:space="0"/>
                    <w:left w:val="single" w:color="auto" w:sz="0" w:space="0"/>
                  </w:tcBorders>
                  <w:noWrap w:val="0"/>
                  <w:vAlign w:val="center"/>
                </w:tcPr>
                <w:p w14:paraId="0C7D2703">
                  <w:pPr>
                    <w:widowControl/>
                    <w:spacing w:line="276" w:lineRule="auto"/>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w:t>
                  </w:r>
                </w:p>
              </w:tc>
              <w:tc>
                <w:tcPr>
                  <w:tcW w:w="1653" w:type="pct"/>
                  <w:tcBorders>
                    <w:top w:val="single" w:color="auto" w:sz="8" w:space="0"/>
                  </w:tcBorders>
                  <w:noWrap w:val="0"/>
                  <w:vAlign w:val="center"/>
                </w:tcPr>
                <w:p w14:paraId="13714EDA">
                  <w:pPr>
                    <w:widowControl/>
                    <w:spacing w:line="276" w:lineRule="auto"/>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年评价指标</w:t>
                  </w:r>
                </w:p>
              </w:tc>
              <w:tc>
                <w:tcPr>
                  <w:tcW w:w="761" w:type="pct"/>
                  <w:tcBorders>
                    <w:top w:val="single" w:color="auto" w:sz="8" w:space="0"/>
                  </w:tcBorders>
                  <w:noWrap w:val="0"/>
                  <w:vAlign w:val="center"/>
                </w:tcPr>
                <w:p w14:paraId="6E85C7FE">
                  <w:pPr>
                    <w:widowControl/>
                    <w:spacing w:line="276" w:lineRule="auto"/>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现状浓度（µg/</w:t>
                  </w:r>
                  <w:r>
                    <w:rPr>
                      <w:rFonts w:hint="eastAsia" w:ascii="Times New Roman" w:hAnsi="Times New Roman" w:eastAsia="宋体" w:cs="Times New Roman"/>
                      <w:b/>
                      <w:bCs/>
                      <w:color w:val="auto"/>
                      <w:kern w:val="0"/>
                      <w:szCs w:val="21"/>
                      <w:highlight w:val="none"/>
                      <w:lang w:eastAsia="zh-CN"/>
                    </w:rPr>
                    <w:t>m³</w:t>
                  </w:r>
                  <w:r>
                    <w:rPr>
                      <w:rFonts w:hint="default" w:ascii="Times New Roman" w:hAnsi="Times New Roman" w:eastAsia="宋体" w:cs="Times New Roman"/>
                      <w:b/>
                      <w:bCs/>
                      <w:color w:val="auto"/>
                      <w:kern w:val="0"/>
                      <w:szCs w:val="21"/>
                      <w:highlight w:val="none"/>
                    </w:rPr>
                    <w:t>）</w:t>
                  </w:r>
                </w:p>
              </w:tc>
              <w:tc>
                <w:tcPr>
                  <w:tcW w:w="710" w:type="pct"/>
                  <w:tcBorders>
                    <w:top w:val="single" w:color="auto" w:sz="8" w:space="0"/>
                  </w:tcBorders>
                  <w:noWrap w:val="0"/>
                  <w:vAlign w:val="center"/>
                </w:tcPr>
                <w:p w14:paraId="0855FFA2">
                  <w:pPr>
                    <w:widowControl/>
                    <w:spacing w:line="276" w:lineRule="auto"/>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标准值（µg/</w:t>
                  </w:r>
                  <w:r>
                    <w:rPr>
                      <w:rFonts w:hint="eastAsia" w:ascii="Times New Roman" w:hAnsi="Times New Roman" w:eastAsia="宋体" w:cs="Times New Roman"/>
                      <w:b/>
                      <w:bCs/>
                      <w:color w:val="auto"/>
                      <w:kern w:val="0"/>
                      <w:szCs w:val="21"/>
                      <w:highlight w:val="none"/>
                      <w:lang w:eastAsia="zh-CN"/>
                    </w:rPr>
                    <w:t>m³</w:t>
                  </w:r>
                  <w:r>
                    <w:rPr>
                      <w:rFonts w:hint="default" w:ascii="Times New Roman" w:hAnsi="Times New Roman" w:eastAsia="宋体" w:cs="Times New Roman"/>
                      <w:b/>
                      <w:bCs/>
                      <w:color w:val="auto"/>
                      <w:kern w:val="0"/>
                      <w:szCs w:val="21"/>
                      <w:highlight w:val="none"/>
                    </w:rPr>
                    <w:t>）</w:t>
                  </w:r>
                </w:p>
              </w:tc>
              <w:tc>
                <w:tcPr>
                  <w:tcW w:w="595" w:type="pct"/>
                  <w:tcBorders>
                    <w:top w:val="single" w:color="auto" w:sz="8" w:space="0"/>
                  </w:tcBorders>
                  <w:noWrap w:val="0"/>
                  <w:vAlign w:val="center"/>
                </w:tcPr>
                <w:p w14:paraId="2D65D11B">
                  <w:pPr>
                    <w:widowControl/>
                    <w:spacing w:line="276" w:lineRule="auto"/>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占标率（%）</w:t>
                  </w:r>
                </w:p>
              </w:tc>
              <w:tc>
                <w:tcPr>
                  <w:tcW w:w="722" w:type="pct"/>
                  <w:tcBorders>
                    <w:top w:val="single" w:color="auto" w:sz="8" w:space="0"/>
                    <w:right w:val="nil"/>
                  </w:tcBorders>
                  <w:noWrap w:val="0"/>
                  <w:vAlign w:val="center"/>
                </w:tcPr>
                <w:p w14:paraId="7BF9A6AB">
                  <w:pPr>
                    <w:widowControl/>
                    <w:spacing w:line="276" w:lineRule="auto"/>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达标情况</w:t>
                  </w:r>
                </w:p>
              </w:tc>
            </w:tr>
            <w:tr w14:paraId="63F51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left w:val="nil"/>
                  </w:tcBorders>
                  <w:noWrap w:val="0"/>
                  <w:vAlign w:val="center"/>
                </w:tcPr>
                <w:p w14:paraId="13CEC784">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SO</w:t>
                  </w:r>
                  <w:r>
                    <w:rPr>
                      <w:rFonts w:hint="default" w:ascii="Times New Roman" w:hAnsi="Times New Roman" w:eastAsia="宋体" w:cs="Times New Roman"/>
                      <w:color w:val="auto"/>
                      <w:kern w:val="0"/>
                      <w:szCs w:val="21"/>
                      <w:highlight w:val="none"/>
                      <w:vertAlign w:val="subscript"/>
                    </w:rPr>
                    <w:t>2</w:t>
                  </w:r>
                </w:p>
              </w:tc>
              <w:tc>
                <w:tcPr>
                  <w:tcW w:w="1653" w:type="pct"/>
                  <w:noWrap w:val="0"/>
                  <w:vAlign w:val="center"/>
                </w:tcPr>
                <w:p w14:paraId="2E2362FF">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年平均质量浓度</w:t>
                  </w:r>
                </w:p>
              </w:tc>
              <w:tc>
                <w:tcPr>
                  <w:tcW w:w="761" w:type="pct"/>
                  <w:noWrap w:val="0"/>
                  <w:vAlign w:val="center"/>
                </w:tcPr>
                <w:p w14:paraId="4E48EACC">
                  <w:pPr>
                    <w:widowControl/>
                    <w:spacing w:line="276" w:lineRule="auto"/>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7</w:t>
                  </w:r>
                </w:p>
              </w:tc>
              <w:tc>
                <w:tcPr>
                  <w:tcW w:w="710" w:type="pct"/>
                  <w:noWrap w:val="0"/>
                  <w:vAlign w:val="center"/>
                </w:tcPr>
                <w:p w14:paraId="306A65E9">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60</w:t>
                  </w:r>
                </w:p>
              </w:tc>
              <w:tc>
                <w:tcPr>
                  <w:tcW w:w="923" w:type="dxa"/>
                  <w:noWrap w:val="0"/>
                  <w:vAlign w:val="center"/>
                </w:tcPr>
                <w:p w14:paraId="14789ABE">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11.7</w:t>
                  </w:r>
                </w:p>
              </w:tc>
              <w:tc>
                <w:tcPr>
                  <w:tcW w:w="722" w:type="pct"/>
                  <w:tcBorders>
                    <w:right w:val="nil"/>
                  </w:tcBorders>
                  <w:noWrap w:val="0"/>
                  <w:vAlign w:val="center"/>
                </w:tcPr>
                <w:p w14:paraId="52E310A9">
                  <w:pPr>
                    <w:spacing w:line="276"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14:paraId="09271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left w:val="nil"/>
                  </w:tcBorders>
                  <w:noWrap w:val="0"/>
                  <w:vAlign w:val="center"/>
                </w:tcPr>
                <w:p w14:paraId="7592A62A">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NO</w:t>
                  </w:r>
                  <w:r>
                    <w:rPr>
                      <w:rFonts w:hint="default" w:ascii="Times New Roman" w:hAnsi="Times New Roman" w:eastAsia="宋体" w:cs="Times New Roman"/>
                      <w:color w:val="auto"/>
                      <w:kern w:val="0"/>
                      <w:szCs w:val="21"/>
                      <w:highlight w:val="none"/>
                      <w:vertAlign w:val="subscript"/>
                    </w:rPr>
                    <w:t>2</w:t>
                  </w:r>
                </w:p>
              </w:tc>
              <w:tc>
                <w:tcPr>
                  <w:tcW w:w="1653" w:type="pct"/>
                  <w:noWrap w:val="0"/>
                  <w:vAlign w:val="center"/>
                </w:tcPr>
                <w:p w14:paraId="54456B80">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年平均质量浓度</w:t>
                  </w:r>
                </w:p>
              </w:tc>
              <w:tc>
                <w:tcPr>
                  <w:tcW w:w="761" w:type="pct"/>
                  <w:noWrap w:val="0"/>
                  <w:vAlign w:val="center"/>
                </w:tcPr>
                <w:p w14:paraId="14A1371B">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18</w:t>
                  </w:r>
                </w:p>
              </w:tc>
              <w:tc>
                <w:tcPr>
                  <w:tcW w:w="710" w:type="pct"/>
                  <w:noWrap w:val="0"/>
                  <w:vAlign w:val="center"/>
                </w:tcPr>
                <w:p w14:paraId="0CABE85E">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40</w:t>
                  </w:r>
                </w:p>
              </w:tc>
              <w:tc>
                <w:tcPr>
                  <w:tcW w:w="923" w:type="dxa"/>
                  <w:noWrap w:val="0"/>
                  <w:vAlign w:val="center"/>
                </w:tcPr>
                <w:p w14:paraId="40331290">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45</w:t>
                  </w:r>
                </w:p>
              </w:tc>
              <w:tc>
                <w:tcPr>
                  <w:tcW w:w="722" w:type="pct"/>
                  <w:tcBorders>
                    <w:right w:val="nil"/>
                  </w:tcBorders>
                  <w:noWrap w:val="0"/>
                  <w:vAlign w:val="center"/>
                </w:tcPr>
                <w:p w14:paraId="73FD29BE">
                  <w:pPr>
                    <w:spacing w:line="276"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14:paraId="284E9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left w:val="nil"/>
                  </w:tcBorders>
                  <w:noWrap w:val="0"/>
                  <w:vAlign w:val="center"/>
                </w:tcPr>
                <w:p w14:paraId="61F05C24">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PM</w:t>
                  </w:r>
                  <w:r>
                    <w:rPr>
                      <w:rFonts w:hint="default" w:ascii="Times New Roman" w:hAnsi="Times New Roman" w:eastAsia="宋体" w:cs="Times New Roman"/>
                      <w:color w:val="auto"/>
                      <w:kern w:val="0"/>
                      <w:szCs w:val="21"/>
                      <w:highlight w:val="none"/>
                      <w:vertAlign w:val="subscript"/>
                    </w:rPr>
                    <w:t>10</w:t>
                  </w:r>
                </w:p>
              </w:tc>
              <w:tc>
                <w:tcPr>
                  <w:tcW w:w="1653" w:type="pct"/>
                  <w:noWrap w:val="0"/>
                  <w:vAlign w:val="center"/>
                </w:tcPr>
                <w:p w14:paraId="329B5974">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年平均质量浓度</w:t>
                  </w:r>
                </w:p>
              </w:tc>
              <w:tc>
                <w:tcPr>
                  <w:tcW w:w="761" w:type="pct"/>
                  <w:noWrap w:val="0"/>
                  <w:vAlign w:val="center"/>
                </w:tcPr>
                <w:p w14:paraId="28273D09">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61</w:t>
                  </w:r>
                </w:p>
              </w:tc>
              <w:tc>
                <w:tcPr>
                  <w:tcW w:w="710" w:type="pct"/>
                  <w:noWrap w:val="0"/>
                  <w:vAlign w:val="center"/>
                </w:tcPr>
                <w:p w14:paraId="40EF54DC">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60</w:t>
                  </w:r>
                </w:p>
              </w:tc>
              <w:tc>
                <w:tcPr>
                  <w:tcW w:w="923" w:type="dxa"/>
                  <w:noWrap w:val="0"/>
                  <w:vAlign w:val="center"/>
                </w:tcPr>
                <w:p w14:paraId="2345E76E">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101.7</w:t>
                  </w:r>
                </w:p>
              </w:tc>
              <w:tc>
                <w:tcPr>
                  <w:tcW w:w="722" w:type="pct"/>
                  <w:tcBorders>
                    <w:right w:val="nil"/>
                  </w:tcBorders>
                  <w:noWrap w:val="0"/>
                  <w:vAlign w:val="center"/>
                </w:tcPr>
                <w:p w14:paraId="74DC8F7E">
                  <w:pPr>
                    <w:widowControl/>
                    <w:spacing w:line="276" w:lineRule="auto"/>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不</w:t>
                  </w:r>
                  <w:r>
                    <w:rPr>
                      <w:rFonts w:hint="default" w:ascii="Times New Roman" w:hAnsi="Times New Roman" w:eastAsia="宋体" w:cs="Times New Roman"/>
                      <w:color w:val="auto"/>
                      <w:kern w:val="0"/>
                      <w:szCs w:val="21"/>
                      <w:highlight w:val="none"/>
                    </w:rPr>
                    <w:t>达标</w:t>
                  </w:r>
                </w:p>
              </w:tc>
            </w:tr>
            <w:tr w14:paraId="47D1E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left w:val="nil"/>
                  </w:tcBorders>
                  <w:noWrap w:val="0"/>
                  <w:vAlign w:val="center"/>
                </w:tcPr>
                <w:p w14:paraId="7DCDE828">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PM</w:t>
                  </w:r>
                  <w:r>
                    <w:rPr>
                      <w:rFonts w:hint="default" w:ascii="Times New Roman" w:hAnsi="Times New Roman" w:eastAsia="宋体" w:cs="Times New Roman"/>
                      <w:color w:val="auto"/>
                      <w:kern w:val="0"/>
                      <w:szCs w:val="21"/>
                      <w:highlight w:val="none"/>
                      <w:vertAlign w:val="subscript"/>
                    </w:rPr>
                    <w:t>2.5</w:t>
                  </w:r>
                </w:p>
              </w:tc>
              <w:tc>
                <w:tcPr>
                  <w:tcW w:w="1653" w:type="pct"/>
                  <w:noWrap w:val="0"/>
                  <w:vAlign w:val="center"/>
                </w:tcPr>
                <w:p w14:paraId="25376AF0">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年平均质量浓度</w:t>
                  </w:r>
                </w:p>
              </w:tc>
              <w:tc>
                <w:tcPr>
                  <w:tcW w:w="761" w:type="pct"/>
                  <w:noWrap w:val="0"/>
                  <w:vAlign w:val="center"/>
                </w:tcPr>
                <w:p w14:paraId="1B02E447">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37.1</w:t>
                  </w:r>
                </w:p>
              </w:tc>
              <w:tc>
                <w:tcPr>
                  <w:tcW w:w="710" w:type="pct"/>
                  <w:noWrap w:val="0"/>
                  <w:vAlign w:val="center"/>
                </w:tcPr>
                <w:p w14:paraId="29A004F7">
                  <w:pPr>
                    <w:widowControl/>
                    <w:spacing w:line="276" w:lineRule="auto"/>
                    <w:jc w:val="center"/>
                    <w:rPr>
                      <w:rFonts w:hint="eastAsia"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3</w:t>
                  </w:r>
                  <w:r>
                    <w:rPr>
                      <w:rFonts w:hint="eastAsia" w:ascii="Times New Roman" w:hAnsi="Times New Roman" w:eastAsia="宋体" w:cs="Times New Roman"/>
                      <w:color w:val="auto"/>
                      <w:kern w:val="0"/>
                      <w:szCs w:val="21"/>
                      <w:highlight w:val="none"/>
                      <w:lang w:val="en-US" w:eastAsia="zh-CN"/>
                    </w:rPr>
                    <w:t>0</w:t>
                  </w:r>
                </w:p>
              </w:tc>
              <w:tc>
                <w:tcPr>
                  <w:tcW w:w="923" w:type="dxa"/>
                  <w:noWrap w:val="0"/>
                  <w:vAlign w:val="center"/>
                </w:tcPr>
                <w:p w14:paraId="31D83FE2">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123.7</w:t>
                  </w:r>
                </w:p>
              </w:tc>
              <w:tc>
                <w:tcPr>
                  <w:tcW w:w="722" w:type="pct"/>
                  <w:tcBorders>
                    <w:right w:val="nil"/>
                  </w:tcBorders>
                  <w:noWrap w:val="0"/>
                  <w:vAlign w:val="center"/>
                </w:tcPr>
                <w:p w14:paraId="3194D9E6">
                  <w:pPr>
                    <w:widowControl/>
                    <w:spacing w:line="276" w:lineRule="auto"/>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不</w:t>
                  </w:r>
                  <w:r>
                    <w:rPr>
                      <w:rFonts w:hint="default" w:ascii="Times New Roman" w:hAnsi="Times New Roman" w:eastAsia="宋体" w:cs="Times New Roman"/>
                      <w:color w:val="auto"/>
                      <w:kern w:val="0"/>
                      <w:szCs w:val="21"/>
                      <w:highlight w:val="none"/>
                    </w:rPr>
                    <w:t>达标</w:t>
                  </w:r>
                </w:p>
              </w:tc>
            </w:tr>
            <w:tr w14:paraId="08D1A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left w:val="nil"/>
                  </w:tcBorders>
                  <w:noWrap w:val="0"/>
                  <w:vAlign w:val="center"/>
                </w:tcPr>
                <w:p w14:paraId="72A2B447">
                  <w:pPr>
                    <w:spacing w:line="276"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w:t>
                  </w:r>
                </w:p>
              </w:tc>
              <w:tc>
                <w:tcPr>
                  <w:tcW w:w="1653" w:type="pct"/>
                  <w:noWrap w:val="0"/>
                  <w:vAlign w:val="center"/>
                </w:tcPr>
                <w:p w14:paraId="26003795">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第95百分位日均值浓度</w:t>
                  </w:r>
                </w:p>
              </w:tc>
              <w:tc>
                <w:tcPr>
                  <w:tcW w:w="761" w:type="pct"/>
                  <w:noWrap w:val="0"/>
                  <w:vAlign w:val="center"/>
                </w:tcPr>
                <w:p w14:paraId="7E0DAF17">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800</w:t>
                  </w:r>
                </w:p>
              </w:tc>
              <w:tc>
                <w:tcPr>
                  <w:tcW w:w="710" w:type="pct"/>
                  <w:noWrap w:val="0"/>
                  <w:vAlign w:val="center"/>
                </w:tcPr>
                <w:p w14:paraId="193DC721">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4000</w:t>
                  </w:r>
                </w:p>
              </w:tc>
              <w:tc>
                <w:tcPr>
                  <w:tcW w:w="923" w:type="dxa"/>
                  <w:noWrap w:val="0"/>
                  <w:vAlign w:val="center"/>
                </w:tcPr>
                <w:p w14:paraId="4F78E9EC">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20</w:t>
                  </w:r>
                </w:p>
              </w:tc>
              <w:tc>
                <w:tcPr>
                  <w:tcW w:w="722" w:type="pct"/>
                  <w:tcBorders>
                    <w:right w:val="nil"/>
                  </w:tcBorders>
                  <w:noWrap w:val="0"/>
                  <w:vAlign w:val="center"/>
                </w:tcPr>
                <w:p w14:paraId="67FCC12F">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达标</w:t>
                  </w:r>
                </w:p>
              </w:tc>
            </w:tr>
            <w:tr w14:paraId="0DAC2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left w:val="nil"/>
                    <w:bottom w:val="single" w:color="auto" w:sz="8" w:space="0"/>
                  </w:tcBorders>
                  <w:noWrap w:val="0"/>
                  <w:vAlign w:val="center"/>
                </w:tcPr>
                <w:p w14:paraId="3260BFF2">
                  <w:pPr>
                    <w:spacing w:line="276"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O</w:t>
                  </w:r>
                  <w:r>
                    <w:rPr>
                      <w:rFonts w:hint="default" w:ascii="Times New Roman" w:hAnsi="Times New Roman" w:eastAsia="宋体" w:cs="Times New Roman"/>
                      <w:color w:val="auto"/>
                      <w:szCs w:val="21"/>
                      <w:highlight w:val="none"/>
                      <w:vertAlign w:val="subscript"/>
                    </w:rPr>
                    <w:t>3</w:t>
                  </w:r>
                </w:p>
              </w:tc>
              <w:tc>
                <w:tcPr>
                  <w:tcW w:w="1653" w:type="pct"/>
                  <w:tcBorders>
                    <w:bottom w:val="single" w:color="auto" w:sz="8" w:space="0"/>
                  </w:tcBorders>
                  <w:noWrap w:val="0"/>
                  <w:vAlign w:val="center"/>
                </w:tcPr>
                <w:p w14:paraId="7154509E">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第90百分位日平均质量浓度</w:t>
                  </w:r>
                </w:p>
              </w:tc>
              <w:tc>
                <w:tcPr>
                  <w:tcW w:w="761" w:type="pct"/>
                  <w:tcBorders>
                    <w:bottom w:val="single" w:color="auto" w:sz="8" w:space="0"/>
                  </w:tcBorders>
                  <w:noWrap w:val="0"/>
                  <w:vAlign w:val="center"/>
                </w:tcPr>
                <w:p w14:paraId="064453CD">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149</w:t>
                  </w:r>
                </w:p>
              </w:tc>
              <w:tc>
                <w:tcPr>
                  <w:tcW w:w="710" w:type="pct"/>
                  <w:tcBorders>
                    <w:bottom w:val="single" w:color="auto" w:sz="8" w:space="0"/>
                  </w:tcBorders>
                  <w:noWrap w:val="0"/>
                  <w:vAlign w:val="center"/>
                </w:tcPr>
                <w:p w14:paraId="44F6E651">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160</w:t>
                  </w:r>
                </w:p>
              </w:tc>
              <w:tc>
                <w:tcPr>
                  <w:tcW w:w="923" w:type="dxa"/>
                  <w:tcBorders>
                    <w:bottom w:val="single" w:color="auto" w:sz="8" w:space="0"/>
                  </w:tcBorders>
                  <w:noWrap w:val="0"/>
                  <w:vAlign w:val="center"/>
                </w:tcPr>
                <w:p w14:paraId="7284E090">
                  <w:pPr>
                    <w:widowControl/>
                    <w:spacing w:line="276" w:lineRule="auto"/>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93.1</w:t>
                  </w:r>
                </w:p>
              </w:tc>
              <w:tc>
                <w:tcPr>
                  <w:tcW w:w="722" w:type="pct"/>
                  <w:tcBorders>
                    <w:bottom w:val="single" w:color="auto" w:sz="8" w:space="0"/>
                    <w:right w:val="nil"/>
                  </w:tcBorders>
                  <w:noWrap w:val="0"/>
                  <w:vAlign w:val="center"/>
                </w:tcPr>
                <w:p w14:paraId="4A595B55">
                  <w:pPr>
                    <w:widowControl/>
                    <w:spacing w:line="276"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达标</w:t>
                  </w:r>
                </w:p>
              </w:tc>
            </w:tr>
          </w:tbl>
          <w:p w14:paraId="7D4A8387">
            <w:pPr>
              <w:spacing w:line="360" w:lineRule="auto"/>
              <w:ind w:firstLine="480" w:firstLineChars="200"/>
              <w:rPr>
                <w:rFonts w:ascii="Times New Roman"/>
                <w:color w:val="auto"/>
                <w:sz w:val="24"/>
                <w:szCs w:val="21"/>
                <w:highlight w:val="none"/>
              </w:rPr>
            </w:pPr>
            <w:r>
              <w:rPr>
                <w:rFonts w:hint="eastAsia" w:ascii="Times New Roman" w:hAnsi="Times New Roman" w:eastAsia="宋体" w:cs="Times New Roman"/>
                <w:color w:val="auto"/>
                <w:sz w:val="24"/>
                <w:szCs w:val="21"/>
                <w:highlight w:val="none"/>
              </w:rPr>
              <w:t>202</w:t>
            </w:r>
            <w:r>
              <w:rPr>
                <w:rFonts w:hint="eastAsia" w:ascii="Times New Roman" w:hAnsi="Times New Roman" w:eastAsia="宋体" w:cs="Times New Roman"/>
                <w:color w:val="auto"/>
                <w:sz w:val="24"/>
                <w:szCs w:val="21"/>
                <w:highlight w:val="none"/>
                <w:lang w:val="en-US" w:eastAsia="zh-CN"/>
              </w:rPr>
              <w:t>5</w:t>
            </w:r>
            <w:r>
              <w:rPr>
                <w:rFonts w:hint="eastAsia" w:ascii="Times New Roman" w:hAnsi="Times New Roman" w:eastAsia="宋体" w:cs="Times New Roman"/>
                <w:color w:val="auto"/>
                <w:sz w:val="24"/>
                <w:szCs w:val="21"/>
                <w:highlight w:val="none"/>
              </w:rPr>
              <w:t>年淮南市环境空气</w:t>
            </w:r>
            <w:r>
              <w:rPr>
                <w:rFonts w:hint="eastAsia" w:ascii="Times New Roman" w:hAnsi="Times New Roman" w:eastAsia="宋体" w:cs="Times New Roman"/>
                <w:color w:val="auto"/>
                <w:sz w:val="24"/>
                <w:szCs w:val="21"/>
                <w:highlight w:val="none"/>
                <w:lang w:val="en-US" w:eastAsia="zh-CN"/>
              </w:rPr>
              <w:t>中</w:t>
            </w:r>
            <w:r>
              <w:rPr>
                <w:rFonts w:hint="default" w:ascii="Times New Roman" w:hAnsi="Times New Roman" w:eastAsia="宋体" w:cs="Times New Roman"/>
                <w:color w:val="auto"/>
                <w:sz w:val="24"/>
                <w:szCs w:val="21"/>
                <w:highlight w:val="none"/>
                <w:lang w:val="en-US"/>
              </w:rPr>
              <w:t>PM</w:t>
            </w:r>
            <w:r>
              <w:rPr>
                <w:rFonts w:hint="default" w:ascii="Times New Roman" w:hAnsi="Times New Roman" w:eastAsia="宋体" w:cs="Times New Roman"/>
                <w:color w:val="auto"/>
                <w:sz w:val="24"/>
                <w:szCs w:val="21"/>
                <w:highlight w:val="none"/>
                <w:vertAlign w:val="subscript"/>
                <w:lang w:val="en-US"/>
              </w:rPr>
              <w:t>10</w:t>
            </w:r>
            <w:r>
              <w:rPr>
                <w:rFonts w:hint="default" w:ascii="Times New Roman" w:hAnsi="Times New Roman" w:eastAsia="宋体" w:cs="Times New Roman"/>
                <w:color w:val="auto"/>
                <w:sz w:val="24"/>
                <w:szCs w:val="21"/>
                <w:highlight w:val="none"/>
                <w:lang w:val="en-US"/>
              </w:rPr>
              <w:t>、PM</w:t>
            </w:r>
            <w:r>
              <w:rPr>
                <w:rFonts w:hint="eastAsia" w:ascii="Times New Roman" w:hAnsi="Times New Roman" w:eastAsia="宋体" w:cs="Times New Roman"/>
                <w:color w:val="auto"/>
                <w:sz w:val="24"/>
                <w:szCs w:val="21"/>
                <w:highlight w:val="none"/>
                <w:vertAlign w:val="subscript"/>
                <w:lang w:val="en-US" w:eastAsia="zh-CN"/>
              </w:rPr>
              <w:t>2.5</w:t>
            </w:r>
            <w:r>
              <w:rPr>
                <w:rFonts w:hint="default" w:ascii="Times New Roman" w:hAnsi="Times New Roman" w:eastAsia="宋体" w:cs="Times New Roman"/>
                <w:color w:val="auto"/>
                <w:sz w:val="24"/>
                <w:szCs w:val="21"/>
                <w:highlight w:val="none"/>
                <w:lang w:val="en-US"/>
              </w:rPr>
              <w:t>年均浓度值不满足《环境空气质量标准》</w:t>
            </w:r>
            <w:r>
              <w:rPr>
                <w:rFonts w:hint="eastAsia" w:ascii="Times New Roman" w:hAnsi="Times New Roman" w:eastAsia="宋体" w:cs="Times New Roman"/>
                <w:color w:val="auto"/>
                <w:sz w:val="24"/>
                <w:szCs w:val="21"/>
                <w:highlight w:val="none"/>
                <w:lang w:val="en-US" w:eastAsia="zh-CN"/>
              </w:rPr>
              <w:t>（</w:t>
            </w:r>
            <w:r>
              <w:rPr>
                <w:rFonts w:hint="default" w:ascii="Times New Roman" w:hAnsi="Times New Roman" w:eastAsia="宋体" w:cs="Times New Roman"/>
                <w:color w:val="auto"/>
                <w:sz w:val="24"/>
                <w:szCs w:val="21"/>
                <w:highlight w:val="none"/>
                <w:lang w:val="en-US"/>
              </w:rPr>
              <w:t>GB3095-2026</w:t>
            </w:r>
            <w:r>
              <w:rPr>
                <w:rFonts w:hint="eastAsia" w:ascii="Times New Roman" w:hAnsi="Times New Roman" w:eastAsia="宋体" w:cs="Times New Roman"/>
                <w:color w:val="auto"/>
                <w:sz w:val="24"/>
                <w:szCs w:val="21"/>
                <w:highlight w:val="none"/>
                <w:lang w:val="en-US" w:eastAsia="zh-CN"/>
              </w:rPr>
              <w:t>）</w:t>
            </w:r>
            <w:r>
              <w:rPr>
                <w:rFonts w:hint="default" w:ascii="Times New Roman" w:hAnsi="Times New Roman" w:eastAsia="宋体" w:cs="Times New Roman"/>
                <w:color w:val="auto"/>
                <w:sz w:val="24"/>
                <w:szCs w:val="21"/>
                <w:highlight w:val="none"/>
                <w:lang w:val="en-US"/>
              </w:rPr>
              <w:t>中过渡阶段二级标准，项目所在区域为不达标区。</w:t>
            </w:r>
          </w:p>
          <w:p w14:paraId="20AC3D9E">
            <w:pPr>
              <w:spacing w:line="360" w:lineRule="auto"/>
              <w:ind w:firstLine="480" w:firstLineChars="200"/>
              <w:rPr>
                <w:rFonts w:ascii="Times New Roman" w:hAnsi="Times New Roman"/>
                <w:color w:val="auto"/>
                <w:sz w:val="24"/>
                <w:szCs w:val="21"/>
                <w:highlight w:val="none"/>
              </w:rPr>
            </w:pPr>
            <w:r>
              <w:rPr>
                <w:rFonts w:hint="eastAsia" w:ascii="Times New Roman"/>
                <w:color w:val="auto"/>
                <w:sz w:val="24"/>
                <w:szCs w:val="21"/>
                <w:highlight w:val="none"/>
              </w:rPr>
              <w:t>为加强大气污染防治工作，持续改善环境空气质量，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14:paraId="3F0526FF">
            <w:pPr>
              <w:spacing w:line="360" w:lineRule="auto"/>
              <w:ind w:firstLine="482" w:firstLineChars="200"/>
              <w:rPr>
                <w:rFonts w:ascii="Times New Roman" w:hAnsi="Times New Roman"/>
                <w:b/>
                <w:color w:val="auto"/>
                <w:kern w:val="0"/>
                <w:sz w:val="24"/>
                <w:szCs w:val="24"/>
                <w:highlight w:val="none"/>
              </w:rPr>
            </w:pPr>
            <w:r>
              <w:rPr>
                <w:rFonts w:ascii="Times New Roman" w:hAnsi="Times New Roman"/>
                <w:b/>
                <w:color w:val="auto"/>
                <w:kern w:val="0"/>
                <w:sz w:val="24"/>
                <w:szCs w:val="24"/>
                <w:highlight w:val="none"/>
              </w:rPr>
              <w:t>（</w:t>
            </w:r>
            <w:r>
              <w:rPr>
                <w:rFonts w:hint="eastAsia" w:ascii="Times New Roman" w:hAnsi="Times New Roman"/>
                <w:b/>
                <w:color w:val="auto"/>
                <w:kern w:val="0"/>
                <w:sz w:val="24"/>
                <w:szCs w:val="24"/>
                <w:highlight w:val="none"/>
              </w:rPr>
              <w:t>2</w:t>
            </w:r>
            <w:r>
              <w:rPr>
                <w:rFonts w:ascii="Times New Roman" w:hAnsi="Times New Roman"/>
                <w:b/>
                <w:color w:val="auto"/>
                <w:kern w:val="0"/>
                <w:sz w:val="24"/>
                <w:szCs w:val="24"/>
                <w:highlight w:val="none"/>
              </w:rPr>
              <w:t>）其他污染物补充监测结果</w:t>
            </w:r>
          </w:p>
          <w:p w14:paraId="53276ACE">
            <w:pPr>
              <w:spacing w:line="360" w:lineRule="auto"/>
              <w:ind w:firstLine="480" w:firstLineChars="200"/>
              <w:rPr>
                <w:rFonts w:ascii="宋体" w:hAnsi="宋体" w:cs="宋体"/>
                <w:color w:val="auto"/>
                <w:kern w:val="0"/>
                <w:sz w:val="24"/>
                <w:szCs w:val="24"/>
                <w:highlight w:val="none"/>
              </w:rPr>
            </w:pPr>
            <w:r>
              <w:rPr>
                <w:rFonts w:hint="eastAsia" w:ascii="Times New Roman" w:hAnsi="Times New Roman" w:eastAsia="宋体" w:cs="Times New Roman"/>
                <w:color w:val="auto"/>
                <w:sz w:val="24"/>
                <w:szCs w:val="21"/>
                <w:highlight w:val="none"/>
              </w:rPr>
              <w:t>该项目生产过程中产生的特征污染物为非甲烷总烃，《环境空气质量标准》（</w:t>
            </w:r>
            <w:r>
              <w:rPr>
                <w:rFonts w:hint="default" w:ascii="Times New Roman" w:hAnsi="Times New Roman" w:eastAsia="宋体" w:cs="Times New Roman"/>
                <w:color w:val="auto"/>
                <w:sz w:val="24"/>
                <w:szCs w:val="21"/>
                <w:highlight w:val="none"/>
                <w:lang w:val="en-US"/>
              </w:rPr>
              <w:t>GB3095-2026</w:t>
            </w:r>
            <w:r>
              <w:rPr>
                <w:rFonts w:hint="eastAsia" w:ascii="Times New Roman" w:hAnsi="Times New Roman" w:eastAsia="宋体" w:cs="Times New Roman"/>
                <w:color w:val="auto"/>
                <w:sz w:val="24"/>
                <w:szCs w:val="21"/>
                <w:highlight w:val="none"/>
              </w:rPr>
              <w:t>）中未涉及其相应的标准值。根据全国环评技术评估服务咨询平台http://iconsult-eia.china-eia.com/index?aimModule=searching list2&amp;question-%E7%89%B9%E5%BE%81解答内容“技术指南中提到“排放国家、地方环境空气质量标准中有标准限值要求的特征污染物”，其中环境空气质量标准指《环境空气质量标准》（GB3095-2026）和地方的环境空气质量标准，不包括《环境影响评价技术导则大气环境》（HJ2.2-2018）附录D、工业企业设计卫生标准（TJ36-97）《前苏联居住区标准》（CH245-71）《环境影响评价技术导则制药建设项目》（HJ611-2011）、《大气污染物综合排放标准详解》等导则或参考资料。排放的特征污染物需要在国家、地方环境空气质量标准中有限值要求才涉及现状监测，且优先引用现有监测数据。”，因此，本项目不需要对大气特征污染物非甲烷总烃进行现状监测。</w:t>
            </w:r>
          </w:p>
          <w:p w14:paraId="6B3B9B5B">
            <w:pPr>
              <w:spacing w:line="360" w:lineRule="auto"/>
              <w:ind w:firstLine="482" w:firstLineChars="200"/>
              <w:jc w:val="left"/>
              <w:rPr>
                <w:rFonts w:ascii="Times New Roman" w:hAnsi="宋体"/>
                <w:b/>
                <w:color w:val="auto"/>
                <w:kern w:val="0"/>
                <w:sz w:val="24"/>
                <w:szCs w:val="24"/>
                <w:highlight w:val="none"/>
              </w:rPr>
            </w:pPr>
            <w:r>
              <w:rPr>
                <w:rFonts w:ascii="Times New Roman" w:hAnsi="宋体"/>
                <w:b/>
                <w:color w:val="auto"/>
                <w:kern w:val="0"/>
                <w:sz w:val="24"/>
                <w:szCs w:val="24"/>
                <w:highlight w:val="none"/>
              </w:rPr>
              <w:t>2、地表水环境质量现状</w:t>
            </w:r>
          </w:p>
          <w:p w14:paraId="013E52BB">
            <w:pPr>
              <w:autoSpaceDE w:val="0"/>
              <w:autoSpaceDN w:val="0"/>
              <w:adjustRightInd w:val="0"/>
              <w:spacing w:line="360" w:lineRule="auto"/>
              <w:ind w:firstLine="480" w:firstLineChars="200"/>
              <w:jc w:val="left"/>
              <w:rPr>
                <w:rFonts w:ascii="Times New Roman" w:hAnsi="Times New Roman"/>
                <w:color w:val="auto"/>
                <w:sz w:val="24"/>
                <w:highlight w:val="none"/>
              </w:rPr>
            </w:pPr>
            <w:r>
              <w:rPr>
                <w:rFonts w:hint="eastAsia" w:ascii="Times New Roman" w:hAnsi="宋体"/>
                <w:color w:val="auto"/>
                <w:sz w:val="24"/>
                <w:szCs w:val="24"/>
                <w:highlight w:val="none"/>
              </w:rPr>
              <w:t>本项目所在地周围地表水水系主要是</w:t>
            </w:r>
            <w:r>
              <w:rPr>
                <w:rFonts w:hint="eastAsia" w:ascii="Times New Roman" w:hAnsi="宋体"/>
                <w:color w:val="auto"/>
                <w:sz w:val="24"/>
                <w:szCs w:val="24"/>
                <w:highlight w:val="none"/>
                <w:lang w:val="en-US" w:eastAsia="zh-CN"/>
              </w:rPr>
              <w:t>淮</w:t>
            </w:r>
            <w:r>
              <w:rPr>
                <w:rFonts w:hint="eastAsia" w:ascii="Times New Roman" w:hAnsi="宋体"/>
                <w:color w:val="auto"/>
                <w:sz w:val="24"/>
                <w:szCs w:val="24"/>
                <w:highlight w:val="none"/>
              </w:rPr>
              <w:t>河，</w:t>
            </w:r>
            <w:r>
              <w:rPr>
                <w:rFonts w:hint="eastAsia" w:ascii="Times New Roman" w:hAnsi="宋体"/>
                <w:color w:val="auto"/>
                <w:sz w:val="24"/>
                <w:szCs w:val="24"/>
                <w:highlight w:val="none"/>
                <w:lang w:val="en-US" w:eastAsia="zh-CN"/>
              </w:rPr>
              <w:t>淮</w:t>
            </w:r>
            <w:r>
              <w:rPr>
                <w:rFonts w:hint="eastAsia" w:ascii="Times New Roman"/>
                <w:color w:val="auto"/>
                <w:sz w:val="24"/>
                <w:highlight w:val="none"/>
              </w:rPr>
              <w:t>河水环境质量</w:t>
            </w:r>
            <w:r>
              <w:rPr>
                <w:rFonts w:ascii="Times New Roman"/>
                <w:color w:val="auto"/>
                <w:sz w:val="24"/>
                <w:highlight w:val="none"/>
              </w:rPr>
              <w:t>执行</w:t>
            </w:r>
            <w:r>
              <w:rPr>
                <w:rFonts w:ascii="Times New Roman"/>
                <w:color w:val="auto"/>
                <w:spacing w:val="-2"/>
                <w:sz w:val="24"/>
                <w:highlight w:val="none"/>
              </w:rPr>
              <w:t>《地表水环境质量标准》中的</w:t>
            </w:r>
            <w:r>
              <w:rPr>
                <w:rFonts w:hint="eastAsia" w:ascii="Times New Roman" w:hAnsi="Times New Roman"/>
                <w:color w:val="auto"/>
                <w:spacing w:val="-2"/>
                <w:sz w:val="24"/>
                <w:highlight w:val="none"/>
              </w:rPr>
              <w:t>Ⅲ</w:t>
            </w:r>
            <w:r>
              <w:rPr>
                <w:rFonts w:ascii="Times New Roman"/>
                <w:color w:val="auto"/>
                <w:spacing w:val="-2"/>
                <w:sz w:val="24"/>
                <w:highlight w:val="none"/>
              </w:rPr>
              <w:t>类水质标准要求。</w:t>
            </w:r>
          </w:p>
          <w:p w14:paraId="37822625">
            <w:pPr>
              <w:spacing w:line="360" w:lineRule="auto"/>
              <w:jc w:val="center"/>
              <w:rPr>
                <w:rFonts w:ascii="Times New Roman" w:hAnsi="Times New Roman" w:eastAsia="黑体"/>
                <w:color w:val="auto"/>
                <w:sz w:val="24"/>
                <w:szCs w:val="24"/>
                <w:highlight w:val="none"/>
              </w:rPr>
            </w:pPr>
            <w:r>
              <w:rPr>
                <w:rFonts w:ascii="Times New Roman" w:hAnsi="Times New Roman" w:eastAsia="黑体"/>
                <w:color w:val="auto"/>
                <w:sz w:val="24"/>
                <w:szCs w:val="21"/>
                <w:highlight w:val="none"/>
              </w:rPr>
              <w:t>表3-</w:t>
            </w:r>
            <w:r>
              <w:rPr>
                <w:rFonts w:hint="eastAsia" w:ascii="Times New Roman" w:hAnsi="Times New Roman" w:eastAsia="黑体"/>
                <w:color w:val="auto"/>
                <w:sz w:val="24"/>
                <w:szCs w:val="21"/>
                <w:highlight w:val="none"/>
              </w:rPr>
              <w:t>3</w:t>
            </w:r>
            <w:r>
              <w:rPr>
                <w:rFonts w:ascii="Times New Roman" w:hAnsi="Times New Roman" w:eastAsia="黑体"/>
                <w:color w:val="auto"/>
                <w:sz w:val="24"/>
                <w:szCs w:val="21"/>
                <w:highlight w:val="none"/>
              </w:rPr>
              <w:t xml:space="preserve">  地表水环境质量标准单位</w:t>
            </w:r>
            <w:r>
              <w:rPr>
                <w:rFonts w:ascii="Times New Roman" w:hAnsi="Times New Roman" w:eastAsia="黑体"/>
                <w:color w:val="auto"/>
                <w:sz w:val="24"/>
                <w:szCs w:val="24"/>
                <w:highlight w:val="none"/>
              </w:rPr>
              <w:t>：mg/L，pH无量纲</w:t>
            </w:r>
          </w:p>
          <w:tbl>
            <w:tblPr>
              <w:tblStyle w:val="20"/>
              <w:tblW w:w="5000" w:type="pct"/>
              <w:tblInd w:w="0"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431"/>
              <w:gridCol w:w="1357"/>
              <w:gridCol w:w="1355"/>
              <w:gridCol w:w="1355"/>
              <w:gridCol w:w="1355"/>
            </w:tblGrid>
            <w:tr w14:paraId="5C9780B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1548" w:type="pct"/>
                  <w:noWrap w:val="0"/>
                  <w:vAlign w:val="center"/>
                </w:tcPr>
                <w:p w14:paraId="68A39CFC">
                  <w:pPr>
                    <w:spacing w:line="276" w:lineRule="auto"/>
                    <w:jc w:val="center"/>
                    <w:rPr>
                      <w:rFonts w:ascii="Times New Roman" w:hAnsi="Times New Roman"/>
                      <w:b/>
                      <w:bCs/>
                      <w:color w:val="auto"/>
                      <w:szCs w:val="21"/>
                      <w:highlight w:val="none"/>
                    </w:rPr>
                  </w:pPr>
                  <w:r>
                    <w:rPr>
                      <w:rFonts w:ascii="Times New Roman" w:hAnsi="Times New Roman"/>
                      <w:b/>
                      <w:bCs/>
                      <w:color w:val="auto"/>
                      <w:szCs w:val="21"/>
                      <w:highlight w:val="none"/>
                    </w:rPr>
                    <w:t>标准来源</w:t>
                  </w:r>
                </w:p>
              </w:tc>
              <w:tc>
                <w:tcPr>
                  <w:tcW w:w="864" w:type="pct"/>
                  <w:noWrap w:val="0"/>
                  <w:vAlign w:val="center"/>
                </w:tcPr>
                <w:p w14:paraId="092EA566">
                  <w:pPr>
                    <w:widowControl/>
                    <w:spacing w:line="276" w:lineRule="auto"/>
                    <w:jc w:val="center"/>
                    <w:rPr>
                      <w:rFonts w:ascii="Times New Roman" w:hAnsi="Times New Roman"/>
                      <w:b/>
                      <w:color w:val="auto"/>
                      <w:kern w:val="0"/>
                      <w:szCs w:val="21"/>
                      <w:highlight w:val="none"/>
                    </w:rPr>
                  </w:pPr>
                  <w:r>
                    <w:rPr>
                      <w:rFonts w:ascii="Times New Roman" w:hAnsi="Times New Roman"/>
                      <w:b/>
                      <w:color w:val="auto"/>
                      <w:kern w:val="0"/>
                      <w:szCs w:val="21"/>
                      <w:highlight w:val="none"/>
                    </w:rPr>
                    <w:t>pH</w:t>
                  </w:r>
                </w:p>
              </w:tc>
              <w:tc>
                <w:tcPr>
                  <w:tcW w:w="863" w:type="pct"/>
                  <w:noWrap w:val="0"/>
                  <w:vAlign w:val="center"/>
                </w:tcPr>
                <w:p w14:paraId="686A9B2C">
                  <w:pPr>
                    <w:widowControl/>
                    <w:spacing w:line="276" w:lineRule="auto"/>
                    <w:jc w:val="center"/>
                    <w:rPr>
                      <w:rFonts w:ascii="Times New Roman" w:hAnsi="Times New Roman"/>
                      <w:b/>
                      <w:color w:val="auto"/>
                      <w:kern w:val="0"/>
                      <w:szCs w:val="21"/>
                      <w:highlight w:val="none"/>
                      <w:vertAlign w:val="subscript"/>
                    </w:rPr>
                  </w:pPr>
                  <w:r>
                    <w:rPr>
                      <w:rFonts w:ascii="Times New Roman" w:hAnsi="Times New Roman"/>
                      <w:b/>
                      <w:color w:val="auto"/>
                      <w:kern w:val="0"/>
                      <w:szCs w:val="21"/>
                      <w:highlight w:val="none"/>
                    </w:rPr>
                    <w:t>COD</w:t>
                  </w:r>
                  <w:r>
                    <w:rPr>
                      <w:rFonts w:ascii="Times New Roman" w:hAnsi="Times New Roman"/>
                      <w:b/>
                      <w:color w:val="auto"/>
                      <w:kern w:val="0"/>
                      <w:szCs w:val="21"/>
                      <w:highlight w:val="none"/>
                      <w:vertAlign w:val="subscript"/>
                    </w:rPr>
                    <w:t>Cr</w:t>
                  </w:r>
                </w:p>
              </w:tc>
              <w:tc>
                <w:tcPr>
                  <w:tcW w:w="863" w:type="pct"/>
                  <w:noWrap w:val="0"/>
                  <w:vAlign w:val="center"/>
                </w:tcPr>
                <w:p w14:paraId="13969720">
                  <w:pPr>
                    <w:widowControl/>
                    <w:spacing w:line="276" w:lineRule="auto"/>
                    <w:jc w:val="center"/>
                    <w:rPr>
                      <w:rFonts w:ascii="Times New Roman" w:hAnsi="Times New Roman"/>
                      <w:b/>
                      <w:color w:val="auto"/>
                      <w:kern w:val="0"/>
                      <w:szCs w:val="21"/>
                      <w:highlight w:val="none"/>
                    </w:rPr>
                  </w:pPr>
                  <w:r>
                    <w:rPr>
                      <w:rFonts w:ascii="Times New Roman" w:hAnsi="Times New Roman"/>
                      <w:b/>
                      <w:color w:val="auto"/>
                      <w:kern w:val="0"/>
                      <w:szCs w:val="21"/>
                      <w:highlight w:val="none"/>
                    </w:rPr>
                    <w:t>BOD</w:t>
                  </w:r>
                  <w:r>
                    <w:rPr>
                      <w:rFonts w:ascii="Times New Roman" w:hAnsi="Times New Roman"/>
                      <w:b/>
                      <w:color w:val="auto"/>
                      <w:kern w:val="0"/>
                      <w:szCs w:val="21"/>
                      <w:highlight w:val="none"/>
                      <w:vertAlign w:val="subscript"/>
                    </w:rPr>
                    <w:t>5</w:t>
                  </w:r>
                </w:p>
              </w:tc>
              <w:tc>
                <w:tcPr>
                  <w:tcW w:w="862" w:type="pct"/>
                  <w:noWrap w:val="0"/>
                  <w:vAlign w:val="center"/>
                </w:tcPr>
                <w:p w14:paraId="27DEBB5C">
                  <w:pPr>
                    <w:widowControl/>
                    <w:spacing w:line="276" w:lineRule="auto"/>
                    <w:jc w:val="center"/>
                    <w:rPr>
                      <w:rFonts w:ascii="Times New Roman" w:hAnsi="Times New Roman"/>
                      <w:b/>
                      <w:color w:val="auto"/>
                      <w:kern w:val="0"/>
                      <w:szCs w:val="21"/>
                      <w:highlight w:val="none"/>
                    </w:rPr>
                  </w:pPr>
                  <w:r>
                    <w:rPr>
                      <w:rFonts w:ascii="Times New Roman" w:hAnsi="Times New Roman"/>
                      <w:b/>
                      <w:color w:val="auto"/>
                      <w:kern w:val="0"/>
                      <w:szCs w:val="21"/>
                      <w:highlight w:val="none"/>
                    </w:rPr>
                    <w:t>NH</w:t>
                  </w:r>
                  <w:r>
                    <w:rPr>
                      <w:rFonts w:ascii="Times New Roman" w:hAnsi="Times New Roman"/>
                      <w:b/>
                      <w:color w:val="auto"/>
                      <w:kern w:val="0"/>
                      <w:szCs w:val="21"/>
                      <w:highlight w:val="none"/>
                      <w:vertAlign w:val="subscript"/>
                    </w:rPr>
                    <w:t>3</w:t>
                  </w:r>
                  <w:r>
                    <w:rPr>
                      <w:rFonts w:ascii="Times New Roman" w:hAnsi="Times New Roman"/>
                      <w:b/>
                      <w:color w:val="auto"/>
                      <w:kern w:val="0"/>
                      <w:szCs w:val="21"/>
                      <w:highlight w:val="none"/>
                    </w:rPr>
                    <w:t>-N</w:t>
                  </w:r>
                </w:p>
              </w:tc>
            </w:tr>
            <w:tr w14:paraId="3DC9DE2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1548" w:type="pct"/>
                  <w:noWrap w:val="0"/>
                  <w:vAlign w:val="center"/>
                </w:tcPr>
                <w:p w14:paraId="60AB2AF0">
                  <w:pPr>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Ⅲ类水质标准</w:t>
                  </w:r>
                </w:p>
              </w:tc>
              <w:tc>
                <w:tcPr>
                  <w:tcW w:w="864" w:type="pct"/>
                  <w:noWrap w:val="0"/>
                  <w:vAlign w:val="center"/>
                </w:tcPr>
                <w:p w14:paraId="5420611D">
                  <w:pPr>
                    <w:widowControl/>
                    <w:spacing w:line="276"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6～9</w:t>
                  </w:r>
                </w:p>
              </w:tc>
              <w:tc>
                <w:tcPr>
                  <w:tcW w:w="863" w:type="pct"/>
                  <w:noWrap w:val="0"/>
                  <w:vAlign w:val="center"/>
                </w:tcPr>
                <w:p w14:paraId="321B8390">
                  <w:pPr>
                    <w:spacing w:line="276" w:lineRule="auto"/>
                    <w:jc w:val="center"/>
                    <w:rPr>
                      <w:rFonts w:ascii="Times New Roman" w:hAnsi="Times New Roman"/>
                      <w:color w:val="auto"/>
                      <w:szCs w:val="21"/>
                      <w:highlight w:val="none"/>
                    </w:rPr>
                  </w:pPr>
                  <w:r>
                    <w:rPr>
                      <w:rFonts w:ascii="Times New Roman" w:hAnsi="Times New Roman"/>
                      <w:color w:val="auto"/>
                      <w:kern w:val="0"/>
                      <w:szCs w:val="21"/>
                      <w:highlight w:val="none"/>
                    </w:rPr>
                    <w:t>≤20</w:t>
                  </w:r>
                </w:p>
              </w:tc>
              <w:tc>
                <w:tcPr>
                  <w:tcW w:w="863" w:type="pct"/>
                  <w:noWrap w:val="0"/>
                  <w:vAlign w:val="center"/>
                </w:tcPr>
                <w:p w14:paraId="41CE624A">
                  <w:pPr>
                    <w:widowControl/>
                    <w:spacing w:line="276"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≤4</w:t>
                  </w:r>
                </w:p>
              </w:tc>
              <w:tc>
                <w:tcPr>
                  <w:tcW w:w="862" w:type="pct"/>
                  <w:noWrap w:val="0"/>
                  <w:vAlign w:val="center"/>
                </w:tcPr>
                <w:p w14:paraId="4A2EEFC1">
                  <w:pPr>
                    <w:spacing w:line="276" w:lineRule="auto"/>
                    <w:jc w:val="center"/>
                    <w:rPr>
                      <w:rFonts w:ascii="Times New Roman" w:hAnsi="Times New Roman"/>
                      <w:color w:val="auto"/>
                      <w:szCs w:val="21"/>
                      <w:highlight w:val="none"/>
                    </w:rPr>
                  </w:pPr>
                  <w:r>
                    <w:rPr>
                      <w:rFonts w:ascii="Times New Roman" w:hAnsi="Times New Roman"/>
                      <w:color w:val="auto"/>
                      <w:kern w:val="0"/>
                      <w:szCs w:val="21"/>
                      <w:highlight w:val="none"/>
                    </w:rPr>
                    <w:t>≤</w:t>
                  </w:r>
                  <w:r>
                    <w:rPr>
                      <w:rFonts w:ascii="Times New Roman" w:hAnsi="Times New Roman"/>
                      <w:color w:val="auto"/>
                      <w:szCs w:val="21"/>
                      <w:highlight w:val="none"/>
                    </w:rPr>
                    <w:t>1.0</w:t>
                  </w:r>
                </w:p>
              </w:tc>
            </w:tr>
          </w:tbl>
          <w:p w14:paraId="415459E7">
            <w:pPr>
              <w:autoSpaceDE w:val="0"/>
              <w:autoSpaceDN w:val="0"/>
              <w:spacing w:line="360" w:lineRule="auto"/>
              <w:ind w:firstLine="480" w:firstLineChars="200"/>
              <w:rPr>
                <w:rFonts w:ascii="Times New Roman"/>
                <w:color w:val="auto"/>
                <w:sz w:val="24"/>
                <w:highlight w:val="none"/>
              </w:rPr>
            </w:pPr>
            <w:r>
              <w:rPr>
                <w:rFonts w:ascii="Times New Roman" w:hAnsi="Times New Roman"/>
                <w:color w:val="auto"/>
                <w:sz w:val="24"/>
                <w:highlight w:val="none"/>
              </w:rPr>
              <w:t>根据</w:t>
            </w:r>
            <w:r>
              <w:rPr>
                <w:rFonts w:hint="default" w:ascii="Times New Roman" w:hAnsi="Times New Roman" w:eastAsia="宋体" w:cs="Times New Roman"/>
                <w:bCs/>
                <w:color w:val="auto"/>
                <w:sz w:val="24"/>
                <w:szCs w:val="24"/>
                <w:highlight w:val="none"/>
                <w:lang w:val="en-US" w:eastAsia="zh-CN"/>
              </w:rPr>
              <w:t>2025年淮南市生态环境质量状况</w:t>
            </w:r>
            <w:r>
              <w:rPr>
                <w:rFonts w:hint="eastAsia" w:ascii="Times New Roman" w:hAnsi="Times New Roman" w:eastAsia="宋体" w:cs="Times New Roman"/>
                <w:bCs/>
                <w:color w:val="auto"/>
                <w:sz w:val="24"/>
                <w:szCs w:val="24"/>
                <w:highlight w:val="none"/>
                <w:lang w:val="en-US" w:eastAsia="zh-CN"/>
              </w:rPr>
              <w:t>通报</w:t>
            </w:r>
            <w:r>
              <w:rPr>
                <w:rFonts w:ascii="Times New Roman" w:hAnsi="Times New Roman"/>
                <w:color w:val="auto"/>
                <w:sz w:val="24"/>
                <w:highlight w:val="none"/>
              </w:rPr>
              <w:t>，</w:t>
            </w:r>
            <w:r>
              <w:rPr>
                <w:rFonts w:ascii="Times New Roman" w:hAnsi="Times New Roman"/>
                <w:color w:val="auto"/>
                <w:sz w:val="24"/>
                <w:szCs w:val="24"/>
                <w:highlight w:val="none"/>
              </w:rPr>
              <w:t>项目所在区域地表水</w:t>
            </w:r>
            <w:r>
              <w:rPr>
                <w:rFonts w:hint="eastAsia" w:ascii="Times New Roman" w:hAnsi="Times New Roman"/>
                <w:color w:val="auto"/>
                <w:sz w:val="24"/>
                <w:szCs w:val="24"/>
                <w:highlight w:val="none"/>
                <w:lang w:val="en-US" w:eastAsia="zh-CN"/>
              </w:rPr>
              <w:t>淮</w:t>
            </w:r>
            <w:r>
              <w:rPr>
                <w:rFonts w:hint="eastAsia" w:ascii="Times New Roman" w:hAnsi="Times New Roman"/>
                <w:color w:val="auto"/>
                <w:sz w:val="24"/>
                <w:szCs w:val="24"/>
                <w:highlight w:val="none"/>
              </w:rPr>
              <w:t>河</w:t>
            </w:r>
            <w:r>
              <w:rPr>
                <w:rFonts w:ascii="Times New Roman" w:hAnsi="Times New Roman"/>
                <w:color w:val="auto"/>
                <w:sz w:val="24"/>
                <w:szCs w:val="24"/>
                <w:highlight w:val="none"/>
              </w:rPr>
              <w:t>环境质量总体满足《地表水环境质量标准》（GB3838-2002）Ⅲ类标准，地表水水质良好。</w:t>
            </w:r>
          </w:p>
          <w:p w14:paraId="09D78DE2">
            <w:pPr>
              <w:wordWrap w:val="0"/>
              <w:autoSpaceDE w:val="0"/>
              <w:autoSpaceDN w:val="0"/>
              <w:spacing w:line="360" w:lineRule="auto"/>
              <w:ind w:firstLine="482" w:firstLineChars="200"/>
              <w:jc w:val="left"/>
              <w:rPr>
                <w:rFonts w:ascii="Times New Roman" w:hAnsi="Times New Roman"/>
                <w:b/>
                <w:color w:val="auto"/>
                <w:sz w:val="24"/>
                <w:szCs w:val="24"/>
                <w:highlight w:val="none"/>
              </w:rPr>
            </w:pPr>
            <w:r>
              <w:rPr>
                <w:rFonts w:ascii="Times New Roman" w:hAnsi="Times New Roman"/>
                <w:b/>
                <w:color w:val="auto"/>
                <w:sz w:val="24"/>
                <w:szCs w:val="24"/>
                <w:highlight w:val="none"/>
              </w:rPr>
              <w:t>3、</w:t>
            </w:r>
            <w:r>
              <w:rPr>
                <w:rFonts w:hint="eastAsia" w:ascii="Times New Roman" w:hAnsi="Times New Roman"/>
                <w:b/>
                <w:color w:val="auto"/>
                <w:sz w:val="24"/>
                <w:szCs w:val="24"/>
                <w:highlight w:val="none"/>
              </w:rPr>
              <w:t>声环境质量现状</w:t>
            </w:r>
          </w:p>
          <w:p w14:paraId="6D0C454B">
            <w:pPr>
              <w:autoSpaceDE w:val="0"/>
              <w:autoSpaceDN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根据现场勘查，项目厂界外50m范围内无声环境保护目标，无需进行声环境现状质量监测。</w:t>
            </w:r>
          </w:p>
          <w:p w14:paraId="1874DE16">
            <w:pPr>
              <w:autoSpaceDE w:val="0"/>
              <w:autoSpaceDN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4、生态环境</w:t>
            </w:r>
          </w:p>
          <w:p w14:paraId="149EA7D3">
            <w:pPr>
              <w:autoSpaceDE w:val="0"/>
              <w:autoSpaceDN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本项目位于</w:t>
            </w:r>
            <w:r>
              <w:rPr>
                <w:rFonts w:hint="default" w:ascii="Times New Roman" w:hAnsi="Times New Roman" w:cs="Times New Roman"/>
                <w:bCs/>
                <w:color w:val="auto"/>
                <w:sz w:val="24"/>
                <w:highlight w:val="none"/>
                <w:lang w:eastAsia="zh-CN"/>
              </w:rPr>
              <w:t>安徽省淮南市凤台经济开发区国晟</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eastAsia="zh-CN"/>
              </w:rPr>
              <w:t>凤台</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eastAsia="zh-CN"/>
              </w:rPr>
              <w:t>异质结双碳产业园</w:t>
            </w:r>
            <w:r>
              <w:rPr>
                <w:rFonts w:hint="default" w:ascii="Times New Roman" w:hAnsi="Times New Roman" w:cs="Times New Roman"/>
                <w:bCs/>
                <w:color w:val="auto"/>
                <w:sz w:val="24"/>
                <w:highlight w:val="none"/>
              </w:rPr>
              <w:t>，项目属于工业用地，用地范围内不存在生态环境敏感点，无需进行生态现状调查。</w:t>
            </w:r>
          </w:p>
          <w:p w14:paraId="64561B59">
            <w:pPr>
              <w:wordWrap w:val="0"/>
              <w:autoSpaceDE w:val="0"/>
              <w:autoSpaceDN w:val="0"/>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5、地下水、土壤环境质量现状</w:t>
            </w:r>
          </w:p>
          <w:p w14:paraId="4AD242FA">
            <w:pPr>
              <w:autoSpaceDE w:val="0"/>
              <w:autoSpaceDN w:val="0"/>
              <w:spacing w:line="360" w:lineRule="auto"/>
              <w:ind w:firstLine="480" w:firstLineChars="200"/>
              <w:rPr>
                <w:rFonts w:ascii="Times New Roman" w:hAnsi="宋体"/>
                <w:bCs/>
                <w:color w:val="auto"/>
                <w:sz w:val="24"/>
                <w:highlight w:val="none"/>
              </w:rPr>
            </w:pPr>
            <w:r>
              <w:rPr>
                <w:rFonts w:hint="default" w:ascii="Times New Roman" w:hAnsi="Times New Roman" w:cs="Times New Roman"/>
                <w:bCs/>
                <w:color w:val="auto"/>
                <w:sz w:val="24"/>
                <w:highlight w:val="none"/>
              </w:rPr>
              <w:t>根据《建设项目环境影响报告表编制技术指南（污染影响类）</w:t>
            </w:r>
            <w:r>
              <w:rPr>
                <w:rFonts w:hint="eastAsia" w:ascii="Times New Roman" w:hAnsi="Times New Roman" w:cs="Times New Roman"/>
                <w:bCs/>
                <w:color w:val="auto"/>
                <w:sz w:val="24"/>
                <w:highlight w:val="none"/>
                <w:lang w:eastAsia="zh-CN"/>
              </w:rPr>
              <w:t>（试行）》</w:t>
            </w:r>
            <w:r>
              <w:rPr>
                <w:rFonts w:hint="default" w:ascii="Times New Roman" w:hAnsi="Times New Roman" w:cs="Times New Roman"/>
                <w:bCs/>
                <w:color w:val="auto"/>
                <w:sz w:val="24"/>
                <w:highlight w:val="none"/>
              </w:rPr>
              <w:t>，原则上对地下水和土壤不开展环境质量现状调查，本项目位于</w:t>
            </w:r>
            <w:r>
              <w:rPr>
                <w:rFonts w:hint="default" w:ascii="Times New Roman" w:hAnsi="Times New Roman" w:cs="Times New Roman"/>
                <w:bCs/>
                <w:color w:val="auto"/>
                <w:sz w:val="24"/>
                <w:highlight w:val="none"/>
                <w:lang w:eastAsia="zh-CN"/>
              </w:rPr>
              <w:t>安徽省淮南市凤台经济开发区国晟</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eastAsia="zh-CN"/>
              </w:rPr>
              <w:t>凤台</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eastAsia="zh-CN"/>
              </w:rPr>
              <w:t>异质结双碳产业园</w:t>
            </w:r>
            <w:r>
              <w:rPr>
                <w:rFonts w:hint="default" w:ascii="Times New Roman" w:hAnsi="Times New Roman" w:cs="Times New Roman"/>
                <w:bCs/>
                <w:color w:val="auto"/>
                <w:sz w:val="24"/>
                <w:highlight w:val="none"/>
              </w:rPr>
              <w:t>，租赁</w:t>
            </w:r>
            <w:r>
              <w:rPr>
                <w:rFonts w:hint="default" w:ascii="Times New Roman" w:hAnsi="Times New Roman" w:cs="Times New Roman"/>
                <w:bCs/>
                <w:color w:val="auto"/>
                <w:sz w:val="24"/>
                <w:highlight w:val="none"/>
                <w:lang w:val="en-US" w:eastAsia="zh-CN"/>
              </w:rPr>
              <w:t>园区内11</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12</w:t>
            </w:r>
            <w:r>
              <w:rPr>
                <w:rFonts w:hint="default" w:ascii="Times New Roman" w:hAnsi="Times New Roman" w:cs="Times New Roman"/>
                <w:color w:val="auto"/>
                <w:kern w:val="0"/>
                <w:sz w:val="24"/>
                <w:szCs w:val="24"/>
                <w:highlight w:val="none"/>
              </w:rPr>
              <w:t>#厂房，目前厂房内已做硬化处理</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危废库和化学品库</w:t>
            </w:r>
            <w:r>
              <w:rPr>
                <w:rFonts w:hint="default" w:ascii="Times New Roman" w:hAnsi="Times New Roman" w:cs="Times New Roman"/>
                <w:bCs/>
                <w:color w:val="auto"/>
                <w:sz w:val="24"/>
                <w:szCs w:val="28"/>
                <w:highlight w:val="none"/>
              </w:rPr>
              <w:t>采取全面防腐、防渗处理，</w:t>
            </w:r>
            <w:r>
              <w:rPr>
                <w:rFonts w:hint="eastAsia" w:ascii="Times New Roman" w:hAnsi="Times New Roman" w:cs="Times New Roman"/>
                <w:bCs/>
                <w:color w:val="auto"/>
                <w:sz w:val="24"/>
                <w:szCs w:val="28"/>
                <w:highlight w:val="none"/>
                <w:lang w:val="en-US" w:eastAsia="zh-CN"/>
              </w:rPr>
              <w:t>其它</w:t>
            </w:r>
            <w:r>
              <w:rPr>
                <w:rFonts w:hint="default" w:ascii="Times New Roman" w:hAnsi="Times New Roman" w:cs="Times New Roman"/>
                <w:bCs/>
                <w:color w:val="auto"/>
                <w:sz w:val="24"/>
                <w:szCs w:val="28"/>
                <w:highlight w:val="none"/>
              </w:rPr>
              <w:t>一般防渗区采用防渗水泥进行硬化方式处理，基本上不存在地下</w:t>
            </w:r>
            <w:r>
              <w:rPr>
                <w:rFonts w:ascii="Times New Roman" w:hAnsi="Times New Roman"/>
                <w:bCs/>
                <w:color w:val="auto"/>
                <w:sz w:val="24"/>
                <w:szCs w:val="28"/>
                <w:highlight w:val="none"/>
              </w:rPr>
              <w:t>水和土壤污染途径。</w:t>
            </w:r>
            <w:r>
              <w:rPr>
                <w:rFonts w:hint="eastAsia" w:ascii="Times New Roman" w:hAnsi="宋体"/>
                <w:bCs/>
                <w:color w:val="auto"/>
                <w:sz w:val="24"/>
                <w:highlight w:val="none"/>
              </w:rPr>
              <w:t>因此，本次不开展地下水和土壤环境现状监测。</w:t>
            </w:r>
          </w:p>
          <w:p w14:paraId="3518AAB6">
            <w:pPr>
              <w:autoSpaceDE w:val="0"/>
              <w:autoSpaceDN w:val="0"/>
              <w:spacing w:line="360" w:lineRule="auto"/>
              <w:ind w:firstLine="480" w:firstLineChars="200"/>
              <w:rPr>
                <w:rFonts w:ascii="Times New Roman" w:hAnsi="宋体"/>
                <w:bCs/>
                <w:color w:val="auto"/>
                <w:sz w:val="24"/>
                <w:highlight w:val="none"/>
              </w:rPr>
            </w:pPr>
          </w:p>
          <w:p w14:paraId="392407C0">
            <w:pPr>
              <w:autoSpaceDE w:val="0"/>
              <w:autoSpaceDN w:val="0"/>
              <w:spacing w:line="360" w:lineRule="auto"/>
              <w:ind w:firstLine="480" w:firstLineChars="200"/>
              <w:rPr>
                <w:rFonts w:ascii="Times New Roman" w:hAnsi="宋体"/>
                <w:bCs/>
                <w:color w:val="auto"/>
                <w:sz w:val="24"/>
                <w:highlight w:val="none"/>
              </w:rPr>
            </w:pPr>
          </w:p>
          <w:p w14:paraId="6ADB98E8">
            <w:pPr>
              <w:autoSpaceDE w:val="0"/>
              <w:autoSpaceDN w:val="0"/>
              <w:spacing w:line="360" w:lineRule="auto"/>
              <w:ind w:firstLine="480" w:firstLineChars="200"/>
              <w:rPr>
                <w:rFonts w:ascii="Times New Roman" w:hAnsi="宋体"/>
                <w:bCs/>
                <w:color w:val="auto"/>
                <w:sz w:val="24"/>
                <w:highlight w:val="none"/>
              </w:rPr>
            </w:pPr>
          </w:p>
          <w:p w14:paraId="5AC602DD">
            <w:pPr>
              <w:autoSpaceDE w:val="0"/>
              <w:autoSpaceDN w:val="0"/>
              <w:spacing w:line="360" w:lineRule="auto"/>
              <w:ind w:firstLine="480" w:firstLineChars="200"/>
              <w:rPr>
                <w:rFonts w:ascii="Times New Roman" w:hAnsi="宋体"/>
                <w:bCs/>
                <w:color w:val="auto"/>
                <w:sz w:val="24"/>
                <w:highlight w:val="none"/>
              </w:rPr>
            </w:pPr>
          </w:p>
          <w:p w14:paraId="36C46C90">
            <w:pPr>
              <w:autoSpaceDE w:val="0"/>
              <w:autoSpaceDN w:val="0"/>
              <w:spacing w:line="360" w:lineRule="auto"/>
              <w:ind w:firstLine="480" w:firstLineChars="200"/>
              <w:rPr>
                <w:rFonts w:ascii="Times New Roman" w:hAnsi="宋体"/>
                <w:bCs/>
                <w:color w:val="auto"/>
                <w:sz w:val="24"/>
                <w:highlight w:val="none"/>
              </w:rPr>
            </w:pPr>
          </w:p>
          <w:p w14:paraId="5C20573E">
            <w:pPr>
              <w:autoSpaceDE w:val="0"/>
              <w:autoSpaceDN w:val="0"/>
              <w:spacing w:line="360" w:lineRule="auto"/>
              <w:ind w:firstLine="480" w:firstLineChars="200"/>
              <w:rPr>
                <w:rFonts w:ascii="Times New Roman" w:hAnsi="宋体"/>
                <w:bCs/>
                <w:color w:val="auto"/>
                <w:sz w:val="24"/>
                <w:highlight w:val="none"/>
              </w:rPr>
            </w:pPr>
          </w:p>
          <w:p w14:paraId="4176DD7D">
            <w:pPr>
              <w:autoSpaceDE w:val="0"/>
              <w:autoSpaceDN w:val="0"/>
              <w:spacing w:line="360" w:lineRule="auto"/>
              <w:rPr>
                <w:rFonts w:ascii="Times New Roman" w:hAnsi="宋体"/>
                <w:bCs/>
                <w:color w:val="auto"/>
                <w:sz w:val="24"/>
                <w:highlight w:val="none"/>
              </w:rPr>
            </w:pPr>
          </w:p>
        </w:tc>
      </w:tr>
      <w:tr w14:paraId="37E50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72" w:hRule="atLeast"/>
          <w:jc w:val="center"/>
        </w:trPr>
        <w:tc>
          <w:tcPr>
            <w:tcW w:w="457" w:type="dxa"/>
            <w:noWrap w:val="0"/>
            <w:vAlign w:val="center"/>
          </w:tcPr>
          <w:p w14:paraId="7D4F214C">
            <w:pPr>
              <w:spacing w:line="240" w:lineRule="atLeast"/>
              <w:jc w:val="center"/>
              <w:rPr>
                <w:rFonts w:ascii="Times New Roman" w:hAnsi="宋体"/>
                <w:color w:val="auto"/>
                <w:kern w:val="0"/>
                <w:sz w:val="24"/>
                <w:szCs w:val="24"/>
                <w:highlight w:val="none"/>
              </w:rPr>
            </w:pPr>
            <w:r>
              <w:rPr>
                <w:rFonts w:ascii="Times New Roman" w:hAnsi="宋体"/>
                <w:color w:val="auto"/>
                <w:kern w:val="0"/>
                <w:sz w:val="24"/>
                <w:szCs w:val="24"/>
                <w:highlight w:val="none"/>
              </w:rPr>
              <w:t>环境保护目标</w:t>
            </w:r>
          </w:p>
        </w:tc>
        <w:tc>
          <w:tcPr>
            <w:tcW w:w="8065" w:type="dxa"/>
            <w:noWrap w:val="0"/>
            <w:vAlign w:val="top"/>
          </w:tcPr>
          <w:p w14:paraId="7B32ACD3">
            <w:pPr>
              <w:wordWrap w:val="0"/>
              <w:spacing w:line="360" w:lineRule="auto"/>
              <w:ind w:firstLine="482" w:firstLineChars="200"/>
              <w:jc w:val="left"/>
              <w:rPr>
                <w:rFonts w:ascii="Times New Roman" w:hAnsi="Times New Roman"/>
                <w:b/>
                <w:color w:val="auto"/>
                <w:sz w:val="24"/>
                <w:szCs w:val="24"/>
                <w:highlight w:val="none"/>
              </w:rPr>
            </w:pPr>
            <w:r>
              <w:rPr>
                <w:rFonts w:hint="eastAsia" w:ascii="Times New Roman" w:hAnsi="Times New Roman"/>
                <w:b/>
                <w:color w:val="auto"/>
                <w:sz w:val="24"/>
                <w:szCs w:val="24"/>
                <w:highlight w:val="none"/>
              </w:rPr>
              <w:t>1、大气环境</w:t>
            </w:r>
          </w:p>
          <w:p w14:paraId="6DA5F0BF">
            <w:pPr>
              <w:wordWrap w:val="0"/>
              <w:spacing w:line="360" w:lineRule="auto"/>
              <w:ind w:firstLine="480" w:firstLineChars="200"/>
              <w:jc w:val="left"/>
              <w:rPr>
                <w:rFonts w:hint="default" w:ascii="Times New Roman" w:hAnsi="Times New Roman" w:cs="Times New Roman"/>
                <w:color w:val="auto"/>
                <w:sz w:val="24"/>
                <w:szCs w:val="24"/>
                <w:highlight w:val="none"/>
              </w:rPr>
            </w:pPr>
            <w:r>
              <w:rPr>
                <w:rFonts w:hint="eastAsia" w:ascii="Times New Roman" w:hAnsi="Times New Roman"/>
                <w:color w:val="auto"/>
                <w:sz w:val="24"/>
                <w:szCs w:val="24"/>
                <w:highlight w:val="none"/>
              </w:rPr>
              <w:t>项目厂</w:t>
            </w:r>
            <w:r>
              <w:rPr>
                <w:rFonts w:hint="default" w:ascii="Times New Roman" w:hAnsi="Times New Roman" w:cs="Times New Roman"/>
                <w:color w:val="auto"/>
                <w:sz w:val="24"/>
                <w:szCs w:val="24"/>
                <w:highlight w:val="none"/>
              </w:rPr>
              <w:t>界500m范围内存在大气环境保护目标，具体信息见下表。</w:t>
            </w:r>
          </w:p>
          <w:p w14:paraId="0A952BDE">
            <w:pPr>
              <w:wordWrap w:val="0"/>
              <w:spacing w:line="360" w:lineRule="auto"/>
              <w:ind w:firstLine="482" w:firstLineChars="200"/>
              <w:jc w:val="lef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2、声环境</w:t>
            </w:r>
          </w:p>
          <w:p w14:paraId="056A28C8">
            <w:pPr>
              <w:wordWrap w:val="0"/>
              <w:spacing w:line="360" w:lineRule="auto"/>
              <w:ind w:firstLine="480" w:firstLineChars="200"/>
              <w:jc w:val="left"/>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本项目厂界外50米范围内无声环境保护目标。</w:t>
            </w:r>
          </w:p>
          <w:p w14:paraId="3A2BABA7">
            <w:pPr>
              <w:wordWrap w:val="0"/>
              <w:spacing w:line="360" w:lineRule="auto"/>
              <w:ind w:firstLine="482" w:firstLineChars="200"/>
              <w:jc w:val="lef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、地下水环境</w:t>
            </w:r>
          </w:p>
          <w:p w14:paraId="2EBB2B03">
            <w:pPr>
              <w:wordWrap w:val="0"/>
              <w:spacing w:line="360" w:lineRule="auto"/>
              <w:ind w:firstLine="480" w:firstLineChars="200"/>
              <w:jc w:val="left"/>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本项目</w:t>
            </w:r>
            <w:r>
              <w:rPr>
                <w:rFonts w:hint="eastAsia" w:ascii="Times New Roman" w:hAnsi="Times New Roman"/>
                <w:color w:val="auto"/>
                <w:sz w:val="24"/>
                <w:szCs w:val="24"/>
                <w:highlight w:val="none"/>
              </w:rPr>
              <w:t>厂界外500米范围内无地下水集中式饮用水水源和热水、矿泉水、温泉等特殊地下水资源，无地下水环境保护目标。</w:t>
            </w:r>
          </w:p>
          <w:p w14:paraId="67E9582B">
            <w:pPr>
              <w:spacing w:line="360" w:lineRule="auto"/>
              <w:ind w:firstLine="482" w:firstLineChars="200"/>
              <w:rPr>
                <w:rFonts w:ascii="Times New Roman" w:hAnsi="宋体"/>
                <w:b/>
                <w:snapToGrid w:val="0"/>
                <w:color w:val="auto"/>
                <w:sz w:val="24"/>
                <w:highlight w:val="none"/>
              </w:rPr>
            </w:pPr>
            <w:r>
              <w:rPr>
                <w:rFonts w:hint="eastAsia" w:ascii="Times New Roman" w:hAnsi="Times New Roman"/>
                <w:b/>
                <w:snapToGrid w:val="0"/>
                <w:color w:val="auto"/>
                <w:sz w:val="24"/>
                <w:highlight w:val="none"/>
                <w:lang w:val="en-US" w:eastAsia="zh-CN"/>
              </w:rPr>
              <w:t>4</w:t>
            </w:r>
            <w:r>
              <w:rPr>
                <w:rFonts w:ascii="Times New Roman" w:hAnsi="宋体"/>
                <w:b/>
                <w:snapToGrid w:val="0"/>
                <w:color w:val="auto"/>
                <w:sz w:val="24"/>
                <w:highlight w:val="none"/>
              </w:rPr>
              <w:t>、生态环境</w:t>
            </w:r>
          </w:p>
          <w:p w14:paraId="59258DAE">
            <w:pPr>
              <w:spacing w:line="360" w:lineRule="auto"/>
              <w:ind w:firstLine="480" w:firstLineChars="200"/>
              <w:rPr>
                <w:rFonts w:ascii="Times New Roman" w:hAnsi="宋体"/>
                <w:snapToGrid w:val="0"/>
                <w:color w:val="auto"/>
                <w:sz w:val="24"/>
                <w:highlight w:val="none"/>
              </w:rPr>
            </w:pPr>
            <w:r>
              <w:rPr>
                <w:rFonts w:ascii="Times New Roman" w:hAnsi="宋体"/>
                <w:snapToGrid w:val="0"/>
                <w:color w:val="auto"/>
                <w:sz w:val="24"/>
                <w:highlight w:val="none"/>
              </w:rPr>
              <w:t>本项目位于</w:t>
            </w:r>
            <w:r>
              <w:rPr>
                <w:rFonts w:hint="eastAsia" w:ascii="Times New Roman" w:hAnsi="宋体"/>
                <w:snapToGrid w:val="0"/>
                <w:color w:val="auto"/>
                <w:sz w:val="24"/>
                <w:highlight w:val="none"/>
                <w:lang w:eastAsia="zh-CN"/>
              </w:rPr>
              <w:t>安徽省淮南市凤台经济开发区国晟（凤台）异质结双碳产业园</w:t>
            </w:r>
            <w:r>
              <w:rPr>
                <w:rFonts w:hint="eastAsia" w:ascii="Times New Roman" w:hAnsi="宋体"/>
                <w:snapToGrid w:val="0"/>
                <w:color w:val="auto"/>
                <w:sz w:val="24"/>
                <w:highlight w:val="none"/>
              </w:rPr>
              <w:t>，利用已有的工业用地，本项目用地范围内无生态环境保护目标。</w:t>
            </w:r>
          </w:p>
          <w:p w14:paraId="37E6B4F0">
            <w:pPr>
              <w:spacing w:line="360" w:lineRule="auto"/>
              <w:jc w:val="center"/>
              <w:rPr>
                <w:rFonts w:ascii="Times New Roman" w:hAnsi="Times New Roman" w:eastAsia="黑体"/>
                <w:color w:val="auto"/>
                <w:sz w:val="24"/>
                <w:szCs w:val="21"/>
                <w:highlight w:val="none"/>
              </w:rPr>
            </w:pPr>
            <w:r>
              <w:rPr>
                <w:rFonts w:ascii="Times New Roman" w:hAnsi="黑体" w:eastAsia="黑体"/>
                <w:color w:val="auto"/>
                <w:sz w:val="24"/>
                <w:szCs w:val="21"/>
                <w:highlight w:val="none"/>
              </w:rPr>
              <w:t>表</w:t>
            </w:r>
            <w:r>
              <w:rPr>
                <w:rFonts w:hint="eastAsia" w:ascii="Times New Roman" w:hAnsi="Times New Roman" w:eastAsia="黑体"/>
                <w:color w:val="auto"/>
                <w:sz w:val="24"/>
                <w:szCs w:val="21"/>
                <w:highlight w:val="none"/>
              </w:rPr>
              <w:t>3-4</w:t>
            </w:r>
            <w:r>
              <w:rPr>
                <w:rFonts w:hint="eastAsia" w:ascii="Times New Roman" w:hAnsi="Times New Roman" w:eastAsia="黑体"/>
                <w:color w:val="auto"/>
                <w:sz w:val="24"/>
                <w:szCs w:val="21"/>
                <w:highlight w:val="none"/>
                <w:lang w:val="en-US" w:eastAsia="zh-CN"/>
              </w:rPr>
              <w:t xml:space="preserve"> </w:t>
            </w:r>
            <w:r>
              <w:rPr>
                <w:rFonts w:ascii="Times New Roman" w:hAnsi="黑体" w:eastAsia="黑体"/>
                <w:color w:val="auto"/>
                <w:sz w:val="24"/>
                <w:szCs w:val="21"/>
                <w:highlight w:val="none"/>
              </w:rPr>
              <w:t>主要环境保护目标一览表</w:t>
            </w:r>
          </w:p>
          <w:tbl>
            <w:tblPr>
              <w:tblStyle w:val="20"/>
              <w:tblW w:w="78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8"/>
              <w:gridCol w:w="1000"/>
              <w:gridCol w:w="664"/>
              <w:gridCol w:w="485"/>
              <w:gridCol w:w="565"/>
              <w:gridCol w:w="706"/>
              <w:gridCol w:w="2129"/>
              <w:gridCol w:w="885"/>
              <w:gridCol w:w="757"/>
            </w:tblGrid>
            <w:tr w14:paraId="7BFD9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58" w:type="dxa"/>
                  <w:tcBorders>
                    <w:top w:val="single" w:color="auto" w:sz="8" w:space="0"/>
                  </w:tcBorders>
                  <w:noWrap w:val="0"/>
                  <w:vAlign w:val="center"/>
                </w:tcPr>
                <w:p w14:paraId="3F9F4AF4">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环境要素</w:t>
                  </w:r>
                </w:p>
              </w:tc>
              <w:tc>
                <w:tcPr>
                  <w:tcW w:w="1000" w:type="dxa"/>
                  <w:tcBorders>
                    <w:top w:val="single" w:color="auto" w:sz="8" w:space="0"/>
                  </w:tcBorders>
                  <w:noWrap w:val="0"/>
                  <w:vAlign w:val="center"/>
                </w:tcPr>
                <w:p w14:paraId="12BA5925">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保护目标</w:t>
                  </w:r>
                </w:p>
              </w:tc>
              <w:tc>
                <w:tcPr>
                  <w:tcW w:w="1149" w:type="dxa"/>
                  <w:gridSpan w:val="2"/>
                  <w:tcBorders>
                    <w:top w:val="single" w:color="auto" w:sz="8" w:space="0"/>
                  </w:tcBorders>
                  <w:noWrap w:val="0"/>
                  <w:vAlign w:val="center"/>
                </w:tcPr>
                <w:p w14:paraId="5AFEFD22">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坐标/m（X，Y）</w:t>
                  </w:r>
                </w:p>
              </w:tc>
              <w:tc>
                <w:tcPr>
                  <w:tcW w:w="565" w:type="dxa"/>
                  <w:tcBorders>
                    <w:top w:val="single" w:color="auto" w:sz="8" w:space="0"/>
                  </w:tcBorders>
                  <w:noWrap w:val="0"/>
                  <w:vAlign w:val="center"/>
                </w:tcPr>
                <w:p w14:paraId="111FA92E">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保护对象</w:t>
                  </w:r>
                </w:p>
              </w:tc>
              <w:tc>
                <w:tcPr>
                  <w:tcW w:w="706" w:type="dxa"/>
                  <w:tcBorders>
                    <w:top w:val="single" w:color="auto" w:sz="8" w:space="0"/>
                  </w:tcBorders>
                  <w:noWrap w:val="0"/>
                  <w:vAlign w:val="center"/>
                </w:tcPr>
                <w:p w14:paraId="76064D23">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保护内容</w:t>
                  </w:r>
                </w:p>
              </w:tc>
              <w:tc>
                <w:tcPr>
                  <w:tcW w:w="2129" w:type="dxa"/>
                  <w:tcBorders>
                    <w:top w:val="single" w:color="auto" w:sz="8" w:space="0"/>
                  </w:tcBorders>
                  <w:noWrap w:val="0"/>
                  <w:vAlign w:val="center"/>
                </w:tcPr>
                <w:p w14:paraId="031CC2AF">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保护级别</w:t>
                  </w:r>
                </w:p>
              </w:tc>
              <w:tc>
                <w:tcPr>
                  <w:tcW w:w="885" w:type="dxa"/>
                  <w:tcBorders>
                    <w:top w:val="single" w:color="auto" w:sz="8" w:space="0"/>
                  </w:tcBorders>
                  <w:noWrap w:val="0"/>
                  <w:vAlign w:val="center"/>
                </w:tcPr>
                <w:p w14:paraId="5AFB73B0">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相对厂址方位</w:t>
                  </w:r>
                </w:p>
              </w:tc>
              <w:tc>
                <w:tcPr>
                  <w:tcW w:w="757" w:type="dxa"/>
                  <w:tcBorders>
                    <w:top w:val="single" w:color="auto" w:sz="8" w:space="0"/>
                  </w:tcBorders>
                  <w:noWrap w:val="0"/>
                  <w:vAlign w:val="center"/>
                </w:tcPr>
                <w:p w14:paraId="25588433">
                  <w:pPr>
                    <w:adjustRightInd w:val="0"/>
                    <w:snapToGrid w:val="0"/>
                    <w:spacing w:line="276"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相对厂界距离/m</w:t>
                  </w:r>
                </w:p>
              </w:tc>
            </w:tr>
            <w:tr w14:paraId="70B99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58" w:type="dxa"/>
                  <w:noWrap w:val="0"/>
                  <w:vAlign w:val="center"/>
                </w:tcPr>
                <w:p w14:paraId="53B5D36F">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000" w:type="dxa"/>
                  <w:noWrap w:val="0"/>
                  <w:vAlign w:val="center"/>
                </w:tcPr>
                <w:p w14:paraId="3D80FA47">
                  <w:pPr>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拐集社区</w:t>
                  </w:r>
                </w:p>
              </w:tc>
              <w:tc>
                <w:tcPr>
                  <w:tcW w:w="664" w:type="dxa"/>
                  <w:noWrap w:val="0"/>
                  <w:vAlign w:val="center"/>
                </w:tcPr>
                <w:p w14:paraId="17390EDF">
                  <w:pPr>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241</w:t>
                  </w:r>
                </w:p>
              </w:tc>
              <w:tc>
                <w:tcPr>
                  <w:tcW w:w="485" w:type="dxa"/>
                  <w:noWrap w:val="0"/>
                  <w:vAlign w:val="center"/>
                </w:tcPr>
                <w:p w14:paraId="7D43DEF8">
                  <w:pPr>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-115</w:t>
                  </w:r>
                </w:p>
              </w:tc>
              <w:tc>
                <w:tcPr>
                  <w:tcW w:w="565" w:type="dxa"/>
                  <w:noWrap w:val="0"/>
                  <w:vAlign w:val="center"/>
                </w:tcPr>
                <w:p w14:paraId="6A8963CB">
                  <w:pPr>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居民</w:t>
                  </w:r>
                </w:p>
              </w:tc>
              <w:tc>
                <w:tcPr>
                  <w:tcW w:w="706" w:type="dxa"/>
                  <w:noWrap w:val="0"/>
                  <w:vAlign w:val="center"/>
                </w:tcPr>
                <w:p w14:paraId="22634ADC">
                  <w:pPr>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约</w:t>
                  </w:r>
                  <w:r>
                    <w:rPr>
                      <w:rFonts w:hint="default" w:ascii="Times New Roman" w:hAnsi="Times New Roman" w:cs="Times New Roman"/>
                      <w:color w:val="auto"/>
                      <w:kern w:val="0"/>
                      <w:szCs w:val="21"/>
                      <w:highlight w:val="none"/>
                      <w:lang w:val="en-US" w:eastAsia="zh-CN"/>
                    </w:rPr>
                    <w:t>200</w:t>
                  </w:r>
                  <w:r>
                    <w:rPr>
                      <w:rFonts w:hint="default" w:ascii="Times New Roman" w:hAnsi="Times New Roman" w:cs="Times New Roman"/>
                      <w:color w:val="auto"/>
                      <w:kern w:val="0"/>
                      <w:szCs w:val="21"/>
                      <w:highlight w:val="none"/>
                    </w:rPr>
                    <w:t>户，</w:t>
                  </w:r>
                  <w:r>
                    <w:rPr>
                      <w:rFonts w:hint="default" w:ascii="Times New Roman" w:hAnsi="Times New Roman" w:cs="Times New Roman"/>
                      <w:color w:val="auto"/>
                      <w:kern w:val="0"/>
                      <w:szCs w:val="21"/>
                      <w:highlight w:val="none"/>
                      <w:lang w:val="en-US" w:eastAsia="zh-CN"/>
                    </w:rPr>
                    <w:t>700</w:t>
                  </w:r>
                  <w:r>
                    <w:rPr>
                      <w:rFonts w:hint="default" w:ascii="Times New Roman" w:hAnsi="Times New Roman" w:cs="Times New Roman"/>
                      <w:color w:val="auto"/>
                      <w:kern w:val="0"/>
                      <w:szCs w:val="21"/>
                      <w:highlight w:val="none"/>
                    </w:rPr>
                    <w:t>人</w:t>
                  </w:r>
                </w:p>
              </w:tc>
              <w:tc>
                <w:tcPr>
                  <w:tcW w:w="2129" w:type="dxa"/>
                  <w:noWrap w:val="0"/>
                  <w:vAlign w:val="center"/>
                </w:tcPr>
                <w:p w14:paraId="1D9B2C2B">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《环境空气质量标准》（GB3095-20</w:t>
                  </w:r>
                  <w:r>
                    <w:rPr>
                      <w:rFonts w:hint="default" w:ascii="Times New Roman" w:hAnsi="Times New Roman" w:cs="Times New Roman"/>
                      <w:color w:val="auto"/>
                      <w:szCs w:val="21"/>
                      <w:highlight w:val="none"/>
                      <w:lang w:val="en-US" w:eastAsia="zh-CN"/>
                    </w:rPr>
                    <w:t>26</w:t>
                  </w:r>
                  <w:r>
                    <w:rPr>
                      <w:rFonts w:hint="default" w:ascii="Times New Roman" w:hAnsi="Times New Roman" w:cs="Times New Roman"/>
                      <w:color w:val="auto"/>
                      <w:szCs w:val="21"/>
                      <w:highlight w:val="none"/>
                    </w:rPr>
                    <w:t>）二级标准</w:t>
                  </w:r>
                </w:p>
              </w:tc>
              <w:tc>
                <w:tcPr>
                  <w:tcW w:w="885" w:type="dxa"/>
                  <w:noWrap w:val="0"/>
                  <w:vAlign w:val="center"/>
                </w:tcPr>
                <w:p w14:paraId="5D2AEC57">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WS</w:t>
                  </w:r>
                </w:p>
              </w:tc>
              <w:tc>
                <w:tcPr>
                  <w:tcW w:w="757" w:type="dxa"/>
                  <w:noWrap w:val="0"/>
                  <w:vAlign w:val="center"/>
                </w:tcPr>
                <w:p w14:paraId="5CF5F7E9">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260</w:t>
                  </w:r>
                </w:p>
              </w:tc>
            </w:tr>
            <w:tr w14:paraId="095B3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58" w:type="dxa"/>
                  <w:noWrap w:val="0"/>
                  <w:vAlign w:val="center"/>
                </w:tcPr>
                <w:p w14:paraId="67731A2F">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1000" w:type="dxa"/>
                  <w:noWrap w:val="0"/>
                  <w:vAlign w:val="center"/>
                </w:tcPr>
                <w:p w14:paraId="4BA73485">
                  <w:pPr>
                    <w:adjustRightInd w:val="0"/>
                    <w:spacing w:line="276" w:lineRule="auto"/>
                    <w:jc w:val="center"/>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淮</w:t>
                  </w:r>
                  <w:r>
                    <w:rPr>
                      <w:rFonts w:hint="default" w:ascii="Times New Roman" w:hAnsi="Times New Roman" w:cs="Times New Roman"/>
                      <w:color w:val="auto"/>
                      <w:kern w:val="0"/>
                      <w:szCs w:val="21"/>
                      <w:highlight w:val="none"/>
                    </w:rPr>
                    <w:t>河</w:t>
                  </w:r>
                </w:p>
              </w:tc>
              <w:tc>
                <w:tcPr>
                  <w:tcW w:w="664" w:type="dxa"/>
                  <w:noWrap w:val="0"/>
                  <w:vAlign w:val="center"/>
                </w:tcPr>
                <w:p w14:paraId="36B7CD11">
                  <w:pPr>
                    <w:snapToGrid w:val="0"/>
                    <w:spacing w:line="276"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485" w:type="dxa"/>
                  <w:noWrap w:val="0"/>
                  <w:vAlign w:val="center"/>
                </w:tcPr>
                <w:p w14:paraId="69A1BEE8">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271" w:type="dxa"/>
                  <w:gridSpan w:val="2"/>
                  <w:noWrap w:val="0"/>
                  <w:vAlign w:val="center"/>
                </w:tcPr>
                <w:p w14:paraId="66C9BD97">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大</w:t>
                  </w:r>
                  <w:r>
                    <w:rPr>
                      <w:rFonts w:hint="default" w:ascii="Times New Roman" w:hAnsi="Times New Roman" w:cs="Times New Roman"/>
                      <w:color w:val="auto"/>
                      <w:szCs w:val="21"/>
                      <w:highlight w:val="none"/>
                    </w:rPr>
                    <w:t>型河流</w:t>
                  </w:r>
                </w:p>
              </w:tc>
              <w:tc>
                <w:tcPr>
                  <w:tcW w:w="2129" w:type="dxa"/>
                  <w:noWrap w:val="0"/>
                  <w:vAlign w:val="center"/>
                </w:tcPr>
                <w:p w14:paraId="10944653">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GB3838-2002中III类</w:t>
                  </w:r>
                </w:p>
              </w:tc>
              <w:tc>
                <w:tcPr>
                  <w:tcW w:w="885" w:type="dxa"/>
                  <w:noWrap w:val="0"/>
                  <w:vAlign w:val="center"/>
                </w:tcPr>
                <w:p w14:paraId="43449448">
                  <w:pPr>
                    <w:snapToGrid w:val="0"/>
                    <w:spacing w:line="276"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N</w:t>
                  </w:r>
                </w:p>
              </w:tc>
              <w:tc>
                <w:tcPr>
                  <w:tcW w:w="757" w:type="dxa"/>
                  <w:noWrap w:val="0"/>
                  <w:vAlign w:val="center"/>
                </w:tcPr>
                <w:p w14:paraId="16F00436">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600</w:t>
                  </w:r>
                </w:p>
              </w:tc>
            </w:tr>
            <w:tr w14:paraId="0C7B3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58" w:type="dxa"/>
                  <w:noWrap w:val="0"/>
                  <w:vAlign w:val="center"/>
                </w:tcPr>
                <w:p w14:paraId="320CACD4">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地下水环境</w:t>
                  </w:r>
                </w:p>
              </w:tc>
              <w:tc>
                <w:tcPr>
                  <w:tcW w:w="7191" w:type="dxa"/>
                  <w:gridSpan w:val="8"/>
                  <w:noWrap w:val="0"/>
                  <w:vAlign w:val="center"/>
                </w:tcPr>
                <w:p w14:paraId="4EE84D7F">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本项目位于</w:t>
                  </w:r>
                  <w:r>
                    <w:rPr>
                      <w:rFonts w:hint="default" w:ascii="Times New Roman" w:hAnsi="Times New Roman" w:cs="Times New Roman"/>
                      <w:color w:val="auto"/>
                      <w:szCs w:val="21"/>
                      <w:highlight w:val="none"/>
                      <w:lang w:eastAsia="zh-CN"/>
                    </w:rPr>
                    <w:t>淮南市凤台经济开发区国晟</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eastAsia="zh-CN"/>
                    </w:rPr>
                    <w:t>凤台</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eastAsia="zh-CN"/>
                    </w:rPr>
                    <w:t>异质结双碳产业园</w:t>
                  </w:r>
                  <w:r>
                    <w:rPr>
                      <w:rFonts w:hint="default" w:ascii="Times New Roman" w:hAnsi="Times New Roman" w:cs="Times New Roman"/>
                      <w:color w:val="auto"/>
                      <w:szCs w:val="21"/>
                      <w:highlight w:val="none"/>
                    </w:rPr>
                    <w:t>，项目所在区域均采用自来水作为饮用水源，项目厂界外500m范围内无地下水集中式饮用水水源、矿泉水、温泉等特殊地下水资源</w:t>
                  </w:r>
                </w:p>
              </w:tc>
            </w:tr>
            <w:tr w14:paraId="46259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58" w:type="dxa"/>
                  <w:tcBorders>
                    <w:bottom w:val="single" w:color="auto" w:sz="8" w:space="0"/>
                  </w:tcBorders>
                  <w:noWrap w:val="0"/>
                  <w:vAlign w:val="center"/>
                </w:tcPr>
                <w:p w14:paraId="1046F550">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7191" w:type="dxa"/>
                  <w:gridSpan w:val="8"/>
                  <w:tcBorders>
                    <w:bottom w:val="single" w:color="auto" w:sz="8" w:space="0"/>
                  </w:tcBorders>
                  <w:noWrap w:val="0"/>
                  <w:vAlign w:val="center"/>
                </w:tcPr>
                <w:p w14:paraId="44DDE5B5">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本项目利用已有的工业用地进行项目建设，本项目用地范围内无生态环境保护目标</w:t>
                  </w:r>
                </w:p>
              </w:tc>
            </w:tr>
          </w:tbl>
          <w:p w14:paraId="05D51CD9">
            <w:pPr>
              <w:wordWrap w:val="0"/>
              <w:jc w:val="left"/>
              <w:rPr>
                <w:rFonts w:ascii="宋体" w:hAnsi="宋体"/>
                <w:snapToGrid w:val="0"/>
                <w:color w:val="auto"/>
                <w:szCs w:val="21"/>
                <w:highlight w:val="none"/>
              </w:rPr>
            </w:pPr>
            <w:r>
              <w:rPr>
                <w:rFonts w:hint="default" w:ascii="Times New Roman" w:hAnsi="Times New Roman" w:cs="Times New Roman"/>
                <w:snapToGrid w:val="0"/>
                <w:color w:val="auto"/>
                <w:szCs w:val="21"/>
                <w:highlight w:val="none"/>
              </w:rPr>
              <w:t>注：以项目西南角为坐标原点（0，0）。</w:t>
            </w:r>
          </w:p>
        </w:tc>
      </w:tr>
    </w:tbl>
    <w:p w14:paraId="77490355">
      <w:pPr>
        <w:ind w:firstLine="48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85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4"/>
      </w:tblGrid>
      <w:tr w14:paraId="09484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57" w:type="dxa"/>
            <w:noWrap w:val="0"/>
            <w:tcMar>
              <w:left w:w="28" w:type="dxa"/>
              <w:right w:w="28" w:type="dxa"/>
            </w:tcMar>
            <w:vAlign w:val="center"/>
          </w:tcPr>
          <w:p w14:paraId="498E382B">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污染</w:t>
            </w:r>
          </w:p>
          <w:p w14:paraId="01F9F84A">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物排</w:t>
            </w:r>
          </w:p>
          <w:p w14:paraId="0642B650">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放控</w:t>
            </w:r>
          </w:p>
          <w:p w14:paraId="15248317">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制标</w:t>
            </w:r>
          </w:p>
          <w:p w14:paraId="6F81CA1F">
            <w:pPr>
              <w:jc w:val="center"/>
              <w:rPr>
                <w:rFonts w:ascii="宋体" w:hAnsi="宋体" w:cs="宋体"/>
                <w:color w:val="auto"/>
                <w:kern w:val="0"/>
                <w:szCs w:val="21"/>
                <w:highlight w:val="none"/>
              </w:rPr>
            </w:pPr>
            <w:r>
              <w:rPr>
                <w:rFonts w:hint="eastAsia" w:ascii="宋体" w:hAnsi="宋体" w:cs="宋体"/>
                <w:bCs/>
                <w:color w:val="auto"/>
                <w:sz w:val="24"/>
                <w:szCs w:val="24"/>
                <w:highlight w:val="none"/>
              </w:rPr>
              <w:t>准</w:t>
            </w:r>
          </w:p>
        </w:tc>
        <w:tc>
          <w:tcPr>
            <w:tcW w:w="8064" w:type="dxa"/>
            <w:noWrap w:val="0"/>
            <w:vAlign w:val="center"/>
          </w:tcPr>
          <w:p w14:paraId="47702206">
            <w:pPr>
              <w:widowControl/>
              <w:spacing w:line="360" w:lineRule="auto"/>
              <w:ind w:firstLine="482" w:firstLineChars="200"/>
              <w:jc w:val="left"/>
              <w:rPr>
                <w:rFonts w:ascii="Times New Roman" w:hAnsi="Times New Roman"/>
                <w:b/>
                <w:bCs/>
                <w:color w:val="auto"/>
                <w:kern w:val="0"/>
                <w:sz w:val="24"/>
                <w:szCs w:val="24"/>
                <w:highlight w:val="none"/>
              </w:rPr>
            </w:pPr>
            <w:r>
              <w:rPr>
                <w:rFonts w:ascii="Times New Roman" w:hAnsi="Times New Roman"/>
                <w:b/>
                <w:bCs/>
                <w:color w:val="auto"/>
                <w:kern w:val="0"/>
                <w:sz w:val="24"/>
                <w:szCs w:val="24"/>
                <w:highlight w:val="none"/>
              </w:rPr>
              <w:t>1、大气污染物排放标准</w:t>
            </w:r>
          </w:p>
          <w:p w14:paraId="7498FAAD">
            <w:pPr>
              <w:widowControl/>
              <w:kinsoku w:val="0"/>
              <w:autoSpaceDE w:val="0"/>
              <w:autoSpaceDN w:val="0"/>
              <w:adjustRightInd w:val="0"/>
              <w:snapToGrid w:val="0"/>
              <w:spacing w:line="360" w:lineRule="auto"/>
              <w:ind w:firstLine="484" w:firstLineChars="200"/>
              <w:jc w:val="left"/>
              <w:textAlignment w:val="baseline"/>
              <w:rPr>
                <w:rFonts w:ascii="宋体" w:hAnsi="宋体" w:cs="宋体"/>
                <w:snapToGrid w:val="0"/>
                <w:color w:val="auto"/>
                <w:kern w:val="0"/>
                <w:sz w:val="24"/>
                <w:szCs w:val="24"/>
                <w:highlight w:val="none"/>
              </w:rPr>
            </w:pPr>
            <w:r>
              <w:rPr>
                <w:rFonts w:hint="eastAsia" w:ascii="Times New Roman" w:hAnsi="Times New Roman"/>
                <w:snapToGrid w:val="0"/>
                <w:color w:val="auto"/>
                <w:spacing w:val="1"/>
                <w:kern w:val="0"/>
                <w:sz w:val="24"/>
                <w:szCs w:val="24"/>
                <w:highlight w:val="none"/>
              </w:rPr>
              <w:t>本项目运营期产生的非甲烷总烃执行《玻璃工业大气污染物排放标准》</w:t>
            </w:r>
            <w:r>
              <w:rPr>
                <w:rFonts w:hint="eastAsia" w:ascii="Times New Roman" w:hAnsi="Times New Roman"/>
                <w:snapToGrid w:val="0"/>
                <w:color w:val="auto"/>
                <w:spacing w:val="1"/>
                <w:kern w:val="0"/>
                <w:sz w:val="24"/>
                <w:szCs w:val="24"/>
                <w:highlight w:val="none"/>
                <w:lang w:eastAsia="zh-CN"/>
              </w:rPr>
              <w:t>（</w:t>
            </w:r>
            <w:r>
              <w:rPr>
                <w:rFonts w:hint="eastAsia" w:ascii="Times New Roman" w:hAnsi="Times New Roman"/>
                <w:snapToGrid w:val="0"/>
                <w:color w:val="auto"/>
                <w:spacing w:val="1"/>
                <w:kern w:val="0"/>
                <w:sz w:val="24"/>
                <w:szCs w:val="24"/>
                <w:highlight w:val="none"/>
              </w:rPr>
              <w:t>GB26453-2022</w:t>
            </w:r>
            <w:r>
              <w:rPr>
                <w:rFonts w:hint="eastAsia" w:ascii="Times New Roman" w:hAnsi="Times New Roman"/>
                <w:snapToGrid w:val="0"/>
                <w:color w:val="auto"/>
                <w:spacing w:val="1"/>
                <w:kern w:val="0"/>
                <w:sz w:val="24"/>
                <w:szCs w:val="24"/>
                <w:highlight w:val="none"/>
                <w:lang w:eastAsia="zh-CN"/>
              </w:rPr>
              <w:t>）</w:t>
            </w:r>
            <w:r>
              <w:rPr>
                <w:rFonts w:hint="eastAsia" w:ascii="Times New Roman" w:hAnsi="Times New Roman"/>
                <w:snapToGrid w:val="0"/>
                <w:color w:val="auto"/>
                <w:spacing w:val="1"/>
                <w:kern w:val="0"/>
                <w:sz w:val="24"/>
                <w:szCs w:val="24"/>
                <w:highlight w:val="none"/>
              </w:rPr>
              <w:t>中表1</w:t>
            </w:r>
            <w:r>
              <w:rPr>
                <w:rFonts w:hint="eastAsia" w:ascii="Times New Roman" w:hAnsi="Times New Roman"/>
                <w:snapToGrid w:val="0"/>
                <w:color w:val="auto"/>
                <w:spacing w:val="1"/>
                <w:kern w:val="0"/>
                <w:sz w:val="24"/>
                <w:szCs w:val="24"/>
                <w:highlight w:val="none"/>
                <w:lang w:val="en-US" w:eastAsia="zh-CN"/>
              </w:rPr>
              <w:t>的</w:t>
            </w:r>
            <w:r>
              <w:rPr>
                <w:rFonts w:hint="eastAsia" w:ascii="Times New Roman" w:hAnsi="Times New Roman"/>
                <w:snapToGrid w:val="0"/>
                <w:color w:val="auto"/>
                <w:spacing w:val="1"/>
                <w:kern w:val="0"/>
                <w:sz w:val="24"/>
                <w:szCs w:val="24"/>
                <w:highlight w:val="none"/>
              </w:rPr>
              <w:t>排放限值。厂</w:t>
            </w:r>
            <w:r>
              <w:rPr>
                <w:rFonts w:hint="eastAsia" w:ascii="Times New Roman" w:hAnsi="Times New Roman"/>
                <w:snapToGrid w:val="0"/>
                <w:color w:val="auto"/>
                <w:spacing w:val="1"/>
                <w:kern w:val="0"/>
                <w:sz w:val="24"/>
                <w:szCs w:val="24"/>
                <w:highlight w:val="none"/>
                <w:lang w:val="en-US" w:eastAsia="zh-CN"/>
              </w:rPr>
              <w:t>界</w:t>
            </w:r>
            <w:r>
              <w:rPr>
                <w:rFonts w:hint="eastAsia" w:ascii="Times New Roman" w:hAnsi="Times New Roman"/>
                <w:snapToGrid w:val="0"/>
                <w:color w:val="auto"/>
                <w:spacing w:val="1"/>
                <w:kern w:val="0"/>
                <w:sz w:val="24"/>
                <w:szCs w:val="24"/>
                <w:highlight w:val="none"/>
              </w:rPr>
              <w:t>非甲烷总烃无组织执行《大气污染物</w:t>
            </w:r>
            <w:r>
              <w:rPr>
                <w:rFonts w:hint="eastAsia" w:ascii="Times New Roman" w:hAnsi="Times New Roman"/>
                <w:snapToGrid w:val="0"/>
                <w:color w:val="auto"/>
                <w:spacing w:val="1"/>
                <w:kern w:val="0"/>
                <w:sz w:val="24"/>
                <w:szCs w:val="24"/>
                <w:highlight w:val="none"/>
                <w:lang w:val="en-US" w:eastAsia="zh-CN"/>
              </w:rPr>
              <w:t>综合</w:t>
            </w:r>
            <w:r>
              <w:rPr>
                <w:rFonts w:hint="eastAsia" w:ascii="Times New Roman" w:hAnsi="Times New Roman"/>
                <w:snapToGrid w:val="0"/>
                <w:color w:val="auto"/>
                <w:spacing w:val="1"/>
                <w:kern w:val="0"/>
                <w:sz w:val="24"/>
                <w:szCs w:val="24"/>
                <w:highlight w:val="none"/>
              </w:rPr>
              <w:t>排放标准》</w:t>
            </w:r>
            <w:r>
              <w:rPr>
                <w:rFonts w:hint="eastAsia" w:ascii="Times New Roman" w:hAnsi="Times New Roman"/>
                <w:snapToGrid w:val="0"/>
                <w:color w:val="auto"/>
                <w:spacing w:val="1"/>
                <w:kern w:val="0"/>
                <w:sz w:val="24"/>
                <w:szCs w:val="24"/>
                <w:highlight w:val="none"/>
                <w:lang w:eastAsia="zh-CN"/>
              </w:rPr>
              <w:t>（GB 16297-1996</w:t>
            </w:r>
            <w:r>
              <w:rPr>
                <w:rFonts w:hint="eastAsia" w:ascii="Times New Roman" w:hAnsi="Times New Roman"/>
                <w:snapToGrid w:val="0"/>
                <w:color w:val="auto"/>
                <w:spacing w:val="1"/>
                <w:kern w:val="0"/>
                <w:sz w:val="24"/>
                <w:szCs w:val="24"/>
                <w:highlight w:val="none"/>
                <w:lang w:val="en-US" w:eastAsia="zh-CN"/>
              </w:rPr>
              <w:t>）中无组织排放监控浓度</w:t>
            </w:r>
            <w:r>
              <w:rPr>
                <w:rFonts w:hint="eastAsia" w:ascii="Times New Roman" w:hAnsi="Times New Roman"/>
                <w:snapToGrid w:val="0"/>
                <w:color w:val="auto"/>
                <w:spacing w:val="1"/>
                <w:kern w:val="0"/>
                <w:sz w:val="24"/>
                <w:szCs w:val="24"/>
                <w:highlight w:val="none"/>
              </w:rPr>
              <w:t>限值，</w:t>
            </w:r>
            <w:r>
              <w:rPr>
                <w:rFonts w:hint="eastAsia" w:ascii="Times New Roman" w:hAnsi="Times New Roman"/>
                <w:snapToGrid w:val="0"/>
                <w:color w:val="auto"/>
                <w:spacing w:val="1"/>
                <w:kern w:val="0"/>
                <w:sz w:val="24"/>
                <w:szCs w:val="24"/>
                <w:highlight w:val="none"/>
                <w:lang w:val="en-US" w:eastAsia="zh-CN"/>
              </w:rPr>
              <w:t>厂区内</w:t>
            </w:r>
            <w:r>
              <w:rPr>
                <w:rFonts w:hint="eastAsia" w:ascii="Times New Roman" w:hAnsi="Times New Roman"/>
                <w:snapToGrid w:val="0"/>
                <w:color w:val="auto"/>
                <w:spacing w:val="1"/>
                <w:kern w:val="0"/>
                <w:sz w:val="24"/>
                <w:szCs w:val="24"/>
                <w:highlight w:val="none"/>
              </w:rPr>
              <w:t>非甲烷总烃无组织执行《玻璃工业大气污染物排放标准》</w:t>
            </w:r>
            <w:r>
              <w:rPr>
                <w:rFonts w:hint="eastAsia" w:ascii="Times New Roman" w:hAnsi="Times New Roman"/>
                <w:snapToGrid w:val="0"/>
                <w:color w:val="auto"/>
                <w:spacing w:val="1"/>
                <w:kern w:val="0"/>
                <w:sz w:val="24"/>
                <w:szCs w:val="24"/>
                <w:highlight w:val="none"/>
                <w:lang w:eastAsia="zh-CN"/>
              </w:rPr>
              <w:t>（</w:t>
            </w:r>
            <w:r>
              <w:rPr>
                <w:rFonts w:hint="eastAsia" w:ascii="Times New Roman" w:hAnsi="Times New Roman"/>
                <w:snapToGrid w:val="0"/>
                <w:color w:val="auto"/>
                <w:spacing w:val="1"/>
                <w:kern w:val="0"/>
                <w:sz w:val="24"/>
                <w:szCs w:val="24"/>
                <w:highlight w:val="none"/>
              </w:rPr>
              <w:t>GB26453-2022</w:t>
            </w:r>
            <w:r>
              <w:rPr>
                <w:rFonts w:hint="eastAsia" w:ascii="Times New Roman" w:hAnsi="Times New Roman"/>
                <w:snapToGrid w:val="0"/>
                <w:color w:val="auto"/>
                <w:spacing w:val="1"/>
                <w:kern w:val="0"/>
                <w:sz w:val="24"/>
                <w:szCs w:val="24"/>
                <w:highlight w:val="none"/>
                <w:lang w:eastAsia="zh-CN"/>
              </w:rPr>
              <w:t>）</w:t>
            </w:r>
            <w:r>
              <w:rPr>
                <w:rFonts w:hint="eastAsia" w:ascii="Times New Roman" w:hAnsi="Times New Roman"/>
                <w:snapToGrid w:val="0"/>
                <w:color w:val="auto"/>
                <w:spacing w:val="1"/>
                <w:kern w:val="0"/>
                <w:sz w:val="24"/>
                <w:szCs w:val="24"/>
                <w:highlight w:val="none"/>
                <w:lang w:val="en-US" w:eastAsia="zh-CN"/>
              </w:rPr>
              <w:t>中附录B表B.1</w:t>
            </w:r>
            <w:r>
              <w:rPr>
                <w:rFonts w:hint="eastAsia" w:ascii="Times New Roman" w:hAnsi="Times New Roman"/>
                <w:snapToGrid w:val="0"/>
                <w:color w:val="auto"/>
                <w:spacing w:val="1"/>
                <w:kern w:val="0"/>
                <w:sz w:val="24"/>
                <w:szCs w:val="24"/>
                <w:highlight w:val="none"/>
              </w:rPr>
              <w:t>排放限值</w:t>
            </w:r>
            <w:r>
              <w:rPr>
                <w:rFonts w:hint="eastAsia" w:ascii="Times New Roman" w:hAnsi="Times New Roman"/>
                <w:snapToGrid w:val="0"/>
                <w:color w:val="auto"/>
                <w:spacing w:val="1"/>
                <w:kern w:val="0"/>
                <w:sz w:val="24"/>
                <w:szCs w:val="24"/>
                <w:highlight w:val="none"/>
                <w:lang w:val="en-US" w:eastAsia="zh-CN"/>
              </w:rPr>
              <w:t>要求</w:t>
            </w:r>
            <w:r>
              <w:rPr>
                <w:rFonts w:hint="eastAsia" w:ascii="Times New Roman" w:hAnsi="Times New Roman"/>
                <w:snapToGrid w:val="0"/>
                <w:color w:val="auto"/>
                <w:spacing w:val="1"/>
                <w:kern w:val="0"/>
                <w:sz w:val="24"/>
                <w:szCs w:val="24"/>
                <w:highlight w:val="none"/>
              </w:rPr>
              <w:t>，</w:t>
            </w:r>
            <w:r>
              <w:rPr>
                <w:rFonts w:ascii="宋体" w:hAnsi="宋体" w:cs="宋体"/>
                <w:snapToGrid w:val="0"/>
                <w:color w:val="auto"/>
                <w:spacing w:val="1"/>
                <w:kern w:val="0"/>
                <w:sz w:val="24"/>
                <w:szCs w:val="24"/>
                <w:highlight w:val="none"/>
              </w:rPr>
              <w:t>具体见</w:t>
            </w:r>
            <w:r>
              <w:rPr>
                <w:rFonts w:hint="eastAsia" w:ascii="宋体" w:hAnsi="宋体" w:cs="宋体"/>
                <w:snapToGrid w:val="0"/>
                <w:color w:val="auto"/>
                <w:spacing w:val="1"/>
                <w:kern w:val="0"/>
                <w:sz w:val="24"/>
                <w:szCs w:val="24"/>
                <w:highlight w:val="none"/>
              </w:rPr>
              <w:t>下</w:t>
            </w:r>
            <w:r>
              <w:rPr>
                <w:rFonts w:ascii="宋体" w:hAnsi="宋体" w:cs="宋体"/>
                <w:snapToGrid w:val="0"/>
                <w:color w:val="auto"/>
                <w:spacing w:val="1"/>
                <w:kern w:val="0"/>
                <w:sz w:val="24"/>
                <w:szCs w:val="24"/>
                <w:highlight w:val="none"/>
              </w:rPr>
              <w:t>表</w:t>
            </w:r>
            <w:r>
              <w:rPr>
                <w:rFonts w:ascii="宋体" w:hAnsi="宋体" w:cs="宋体"/>
                <w:snapToGrid w:val="0"/>
                <w:color w:val="auto"/>
                <w:spacing w:val="-9"/>
                <w:kern w:val="0"/>
                <w:sz w:val="24"/>
                <w:szCs w:val="24"/>
                <w:highlight w:val="none"/>
              </w:rPr>
              <w:t>。</w:t>
            </w:r>
          </w:p>
          <w:p w14:paraId="4FFD82DC">
            <w:pPr>
              <w:spacing w:line="360" w:lineRule="auto"/>
              <w:jc w:val="center"/>
              <w:rPr>
                <w:rFonts w:ascii="Times New Roman" w:hAnsi="黑体" w:eastAsia="黑体"/>
                <w:color w:val="auto"/>
                <w:sz w:val="24"/>
                <w:szCs w:val="21"/>
                <w:highlight w:val="none"/>
              </w:rPr>
            </w:pPr>
            <w:r>
              <w:rPr>
                <w:rFonts w:ascii="Times New Roman" w:hAnsi="黑体" w:eastAsia="黑体"/>
                <w:color w:val="auto"/>
                <w:sz w:val="24"/>
                <w:szCs w:val="21"/>
                <w:highlight w:val="none"/>
              </w:rPr>
              <w:t>表3-5  大气污染物排放限值  单位：mg/m</w:t>
            </w:r>
            <w:r>
              <w:rPr>
                <w:rFonts w:ascii="Times New Roman" w:hAnsi="黑体" w:eastAsia="黑体"/>
                <w:color w:val="auto"/>
                <w:sz w:val="24"/>
                <w:szCs w:val="21"/>
                <w:highlight w:val="none"/>
                <w:vertAlign w:val="superscript"/>
              </w:rPr>
              <w:t>3</w:t>
            </w:r>
          </w:p>
          <w:tbl>
            <w:tblPr>
              <w:tblStyle w:val="2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92"/>
              <w:gridCol w:w="1568"/>
              <w:gridCol w:w="1747"/>
              <w:gridCol w:w="3238"/>
            </w:tblGrid>
            <w:tr w14:paraId="6CAC52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3" w:type="pct"/>
                  <w:tcBorders>
                    <w:bottom w:val="single" w:color="auto" w:sz="4" w:space="0"/>
                  </w:tcBorders>
                  <w:noWrap w:val="0"/>
                  <w:vAlign w:val="center"/>
                </w:tcPr>
                <w:p w14:paraId="678E432B">
                  <w:pPr>
                    <w:snapToGrid w:val="0"/>
                    <w:spacing w:line="276" w:lineRule="auto"/>
                    <w:jc w:val="center"/>
                    <w:rPr>
                      <w:rFonts w:ascii="Times New Roman" w:hAnsi="Times New Roman"/>
                      <w:b/>
                      <w:bCs/>
                      <w:color w:val="auto"/>
                      <w:szCs w:val="21"/>
                      <w:highlight w:val="none"/>
                    </w:rPr>
                  </w:pPr>
                  <w:r>
                    <w:rPr>
                      <w:rFonts w:ascii="Times New Roman" w:hAnsi="Times New Roman"/>
                      <w:b/>
                      <w:bCs/>
                      <w:color w:val="auto"/>
                      <w:szCs w:val="21"/>
                      <w:highlight w:val="none"/>
                    </w:rPr>
                    <w:t>污染物</w:t>
                  </w:r>
                </w:p>
              </w:tc>
              <w:tc>
                <w:tcPr>
                  <w:tcW w:w="999" w:type="pct"/>
                  <w:tcBorders>
                    <w:bottom w:val="single" w:color="auto" w:sz="4" w:space="0"/>
                  </w:tcBorders>
                  <w:noWrap w:val="0"/>
                  <w:vAlign w:val="center"/>
                </w:tcPr>
                <w:p w14:paraId="03928C0D">
                  <w:pPr>
                    <w:snapToGrid w:val="0"/>
                    <w:spacing w:line="276" w:lineRule="auto"/>
                    <w:jc w:val="center"/>
                    <w:rPr>
                      <w:rFonts w:ascii="Times New Roman" w:hAnsi="Times New Roman"/>
                      <w:b/>
                      <w:bCs/>
                      <w:color w:val="auto"/>
                      <w:szCs w:val="21"/>
                      <w:highlight w:val="none"/>
                    </w:rPr>
                  </w:pPr>
                  <w:r>
                    <w:rPr>
                      <w:rFonts w:hint="eastAsia" w:ascii="Times New Roman" w:hAnsi="Times New Roman"/>
                      <w:b/>
                      <w:bCs/>
                      <w:color w:val="auto"/>
                      <w:szCs w:val="21"/>
                      <w:highlight w:val="none"/>
                    </w:rPr>
                    <w:t>有组织排放</w:t>
                  </w:r>
                  <w:r>
                    <w:rPr>
                      <w:rFonts w:ascii="Times New Roman" w:hAnsi="Times New Roman"/>
                      <w:b/>
                      <w:bCs/>
                      <w:color w:val="auto"/>
                      <w:szCs w:val="21"/>
                      <w:highlight w:val="none"/>
                    </w:rPr>
                    <w:t>监控浓度限值</w:t>
                  </w:r>
                </w:p>
              </w:tc>
              <w:tc>
                <w:tcPr>
                  <w:tcW w:w="1113" w:type="pct"/>
                  <w:tcBorders>
                    <w:bottom w:val="single" w:color="auto" w:sz="4" w:space="0"/>
                  </w:tcBorders>
                  <w:noWrap w:val="0"/>
                  <w:vAlign w:val="center"/>
                </w:tcPr>
                <w:p w14:paraId="2BEE0006">
                  <w:pPr>
                    <w:widowControl/>
                    <w:kinsoku w:val="0"/>
                    <w:autoSpaceDE w:val="0"/>
                    <w:autoSpaceDN w:val="0"/>
                    <w:adjustRightInd w:val="0"/>
                    <w:snapToGrid w:val="0"/>
                    <w:spacing w:line="276" w:lineRule="auto"/>
                    <w:jc w:val="center"/>
                    <w:textAlignment w:val="baseline"/>
                    <w:rPr>
                      <w:rFonts w:ascii="Times New Roman" w:hAnsi="Times New Roman"/>
                      <w:b/>
                      <w:bCs/>
                      <w:color w:val="auto"/>
                      <w:szCs w:val="21"/>
                      <w:highlight w:val="none"/>
                    </w:rPr>
                  </w:pPr>
                  <w:r>
                    <w:rPr>
                      <w:rFonts w:ascii="Times New Roman" w:hAnsi="Times New Roman"/>
                      <w:b/>
                      <w:bCs/>
                      <w:snapToGrid w:val="0"/>
                      <w:color w:val="auto"/>
                      <w:spacing w:val="8"/>
                      <w:kern w:val="0"/>
                      <w:szCs w:val="21"/>
                      <w:highlight w:val="none"/>
                      <w:lang w:eastAsia="en-US"/>
                    </w:rPr>
                    <w:t>污染物排放监控位置</w:t>
                  </w:r>
                </w:p>
              </w:tc>
              <w:tc>
                <w:tcPr>
                  <w:tcW w:w="2063" w:type="pct"/>
                  <w:tcBorders>
                    <w:bottom w:val="single" w:color="auto" w:sz="4" w:space="0"/>
                  </w:tcBorders>
                  <w:noWrap w:val="0"/>
                  <w:vAlign w:val="center"/>
                </w:tcPr>
                <w:p w14:paraId="25766E55">
                  <w:pPr>
                    <w:snapToGrid w:val="0"/>
                    <w:spacing w:line="276" w:lineRule="auto"/>
                    <w:jc w:val="center"/>
                    <w:rPr>
                      <w:rFonts w:ascii="Times New Roman" w:hAnsi="Times New Roman"/>
                      <w:b/>
                      <w:bCs/>
                      <w:color w:val="auto"/>
                      <w:szCs w:val="21"/>
                      <w:highlight w:val="none"/>
                    </w:rPr>
                  </w:pPr>
                  <w:r>
                    <w:rPr>
                      <w:rFonts w:ascii="Times New Roman" w:hAnsi="Times New Roman"/>
                      <w:b/>
                      <w:bCs/>
                      <w:color w:val="auto"/>
                      <w:szCs w:val="21"/>
                      <w:highlight w:val="none"/>
                    </w:rPr>
                    <w:t>执行标准</w:t>
                  </w:r>
                </w:p>
              </w:tc>
            </w:tr>
            <w:tr w14:paraId="7D1539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23" w:type="pct"/>
                  <w:tcBorders>
                    <w:top w:val="single" w:color="auto" w:sz="4" w:space="0"/>
                    <w:bottom w:val="single" w:color="auto" w:sz="8" w:space="0"/>
                  </w:tcBorders>
                  <w:noWrap w:val="0"/>
                  <w:vAlign w:val="center"/>
                </w:tcPr>
                <w:p w14:paraId="73B6FC68">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非甲烷总烃</w:t>
                  </w:r>
                </w:p>
              </w:tc>
              <w:tc>
                <w:tcPr>
                  <w:tcW w:w="999" w:type="pct"/>
                  <w:tcBorders>
                    <w:top w:val="single" w:color="auto" w:sz="4" w:space="0"/>
                    <w:bottom w:val="single" w:color="auto" w:sz="8" w:space="0"/>
                  </w:tcBorders>
                  <w:noWrap w:val="0"/>
                  <w:vAlign w:val="center"/>
                </w:tcPr>
                <w:p w14:paraId="788236E2">
                  <w:pPr>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80</w:t>
                  </w:r>
                </w:p>
              </w:tc>
              <w:tc>
                <w:tcPr>
                  <w:tcW w:w="1113" w:type="pct"/>
                  <w:tcBorders>
                    <w:top w:val="single" w:color="auto" w:sz="4" w:space="0"/>
                    <w:bottom w:val="single" w:color="auto" w:sz="8" w:space="0"/>
                  </w:tcBorders>
                  <w:noWrap w:val="0"/>
                  <w:vAlign w:val="center"/>
                </w:tcPr>
                <w:p w14:paraId="32ACF72A">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车间或生产设施排气筒</w:t>
                  </w:r>
                </w:p>
              </w:tc>
              <w:tc>
                <w:tcPr>
                  <w:tcW w:w="2063" w:type="pct"/>
                  <w:tcBorders>
                    <w:top w:val="single" w:color="auto" w:sz="4" w:space="0"/>
                    <w:bottom w:val="single" w:color="auto" w:sz="8" w:space="0"/>
                  </w:tcBorders>
                  <w:noWrap w:val="0"/>
                  <w:vAlign w:val="center"/>
                </w:tcPr>
                <w:p w14:paraId="164D012F">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《玻璃工业大气污染物排放标准》</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GB26453-2022</w:t>
                  </w:r>
                  <w:r>
                    <w:rPr>
                      <w:rFonts w:hint="eastAsia" w:ascii="Times New Roman" w:hAnsi="Times New Roman"/>
                      <w:color w:val="auto"/>
                      <w:szCs w:val="21"/>
                      <w:highlight w:val="none"/>
                      <w:lang w:eastAsia="zh-CN"/>
                    </w:rPr>
                    <w:t>）</w:t>
                  </w:r>
                </w:p>
              </w:tc>
            </w:tr>
          </w:tbl>
          <w:p w14:paraId="070AB15B">
            <w:pPr>
              <w:spacing w:line="360" w:lineRule="auto"/>
              <w:jc w:val="center"/>
              <w:rPr>
                <w:rFonts w:ascii="Times New Roman" w:hAnsi="黑体" w:eastAsia="黑体"/>
                <w:color w:val="auto"/>
                <w:sz w:val="24"/>
                <w:szCs w:val="21"/>
                <w:highlight w:val="none"/>
              </w:rPr>
            </w:pPr>
            <w:r>
              <w:rPr>
                <w:rFonts w:ascii="Times New Roman" w:hAnsi="黑体" w:eastAsia="黑体"/>
                <w:color w:val="auto"/>
                <w:sz w:val="24"/>
                <w:szCs w:val="21"/>
                <w:highlight w:val="none"/>
              </w:rPr>
              <w:t xml:space="preserve">表3-5  </w:t>
            </w:r>
            <w:r>
              <w:rPr>
                <w:rFonts w:hint="eastAsia" w:ascii="Times New Roman" w:hAnsi="黑体" w:eastAsia="黑体"/>
                <w:color w:val="auto"/>
                <w:sz w:val="24"/>
                <w:szCs w:val="21"/>
                <w:highlight w:val="none"/>
                <w:lang w:val="en-US" w:eastAsia="zh-CN"/>
              </w:rPr>
              <w:t>厂界</w:t>
            </w:r>
            <w:r>
              <w:rPr>
                <w:rFonts w:ascii="Times New Roman" w:hAnsi="黑体" w:eastAsia="黑体"/>
                <w:color w:val="auto"/>
                <w:sz w:val="24"/>
                <w:szCs w:val="21"/>
                <w:highlight w:val="none"/>
              </w:rPr>
              <w:t>大气污染物排放限值  单位：mg/m</w:t>
            </w:r>
            <w:r>
              <w:rPr>
                <w:rFonts w:ascii="Times New Roman" w:hAnsi="黑体" w:eastAsia="黑体"/>
                <w:color w:val="auto"/>
                <w:sz w:val="24"/>
                <w:szCs w:val="21"/>
                <w:highlight w:val="none"/>
                <w:vertAlign w:val="superscript"/>
              </w:rPr>
              <w:t>3</w:t>
            </w:r>
          </w:p>
          <w:tbl>
            <w:tblPr>
              <w:tblStyle w:val="2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60"/>
              <w:gridCol w:w="2865"/>
              <w:gridCol w:w="3320"/>
            </w:tblGrid>
            <w:tr w14:paraId="51C9C0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8" w:type="pct"/>
                  <w:tcBorders>
                    <w:bottom w:val="single" w:color="auto" w:sz="4" w:space="0"/>
                  </w:tcBorders>
                  <w:noWrap w:val="0"/>
                  <w:vAlign w:val="center"/>
                </w:tcPr>
                <w:p w14:paraId="38757546">
                  <w:pPr>
                    <w:snapToGrid w:val="0"/>
                    <w:spacing w:line="276" w:lineRule="auto"/>
                    <w:jc w:val="center"/>
                    <w:rPr>
                      <w:rFonts w:ascii="Times New Roman" w:hAnsi="Times New Roman"/>
                      <w:b/>
                      <w:bCs/>
                      <w:color w:val="auto"/>
                      <w:szCs w:val="21"/>
                      <w:highlight w:val="none"/>
                    </w:rPr>
                  </w:pPr>
                  <w:r>
                    <w:rPr>
                      <w:rFonts w:ascii="Times New Roman" w:hAnsi="Times New Roman"/>
                      <w:b/>
                      <w:bCs/>
                      <w:color w:val="auto"/>
                      <w:szCs w:val="21"/>
                      <w:highlight w:val="none"/>
                    </w:rPr>
                    <w:t>污染物</w:t>
                  </w:r>
                </w:p>
              </w:tc>
              <w:tc>
                <w:tcPr>
                  <w:tcW w:w="1825" w:type="pct"/>
                  <w:tcBorders>
                    <w:bottom w:val="single" w:color="auto" w:sz="4" w:space="0"/>
                  </w:tcBorders>
                  <w:noWrap w:val="0"/>
                  <w:vAlign w:val="center"/>
                </w:tcPr>
                <w:p w14:paraId="35340DF7">
                  <w:pPr>
                    <w:snapToGrid w:val="0"/>
                    <w:spacing w:line="276" w:lineRule="auto"/>
                    <w:jc w:val="center"/>
                    <w:rPr>
                      <w:rFonts w:ascii="Times New Roman" w:hAnsi="Times New Roman"/>
                      <w:b/>
                      <w:bCs/>
                      <w:color w:val="auto"/>
                      <w:szCs w:val="21"/>
                      <w:highlight w:val="none"/>
                    </w:rPr>
                  </w:pPr>
                  <w:r>
                    <w:rPr>
                      <w:rFonts w:hint="eastAsia" w:ascii="Times New Roman" w:hAnsi="Times New Roman"/>
                      <w:b/>
                      <w:bCs/>
                      <w:color w:val="auto"/>
                      <w:szCs w:val="21"/>
                      <w:highlight w:val="none"/>
                      <w:lang w:val="en-US" w:eastAsia="zh-CN"/>
                    </w:rPr>
                    <w:t>无</w:t>
                  </w:r>
                  <w:r>
                    <w:rPr>
                      <w:rFonts w:hint="eastAsia" w:ascii="Times New Roman" w:hAnsi="Times New Roman"/>
                      <w:b/>
                      <w:bCs/>
                      <w:color w:val="auto"/>
                      <w:szCs w:val="21"/>
                      <w:highlight w:val="none"/>
                    </w:rPr>
                    <w:t>组织排放</w:t>
                  </w:r>
                  <w:r>
                    <w:rPr>
                      <w:rFonts w:ascii="Times New Roman" w:hAnsi="Times New Roman"/>
                      <w:b/>
                      <w:bCs/>
                      <w:color w:val="auto"/>
                      <w:szCs w:val="21"/>
                      <w:highlight w:val="none"/>
                    </w:rPr>
                    <w:t>监控浓度限值</w:t>
                  </w:r>
                </w:p>
              </w:tc>
              <w:tc>
                <w:tcPr>
                  <w:tcW w:w="2115" w:type="pct"/>
                  <w:tcBorders>
                    <w:bottom w:val="single" w:color="auto" w:sz="4" w:space="0"/>
                  </w:tcBorders>
                  <w:noWrap w:val="0"/>
                  <w:vAlign w:val="center"/>
                </w:tcPr>
                <w:p w14:paraId="04CE5E3E">
                  <w:pPr>
                    <w:snapToGrid w:val="0"/>
                    <w:spacing w:line="276" w:lineRule="auto"/>
                    <w:jc w:val="center"/>
                    <w:rPr>
                      <w:rFonts w:ascii="Times New Roman" w:hAnsi="Times New Roman"/>
                      <w:b/>
                      <w:bCs/>
                      <w:color w:val="auto"/>
                      <w:szCs w:val="21"/>
                      <w:highlight w:val="none"/>
                    </w:rPr>
                  </w:pPr>
                  <w:r>
                    <w:rPr>
                      <w:rFonts w:ascii="Times New Roman" w:hAnsi="Times New Roman"/>
                      <w:b/>
                      <w:bCs/>
                      <w:color w:val="auto"/>
                      <w:szCs w:val="21"/>
                      <w:highlight w:val="none"/>
                    </w:rPr>
                    <w:t>执行标准</w:t>
                  </w:r>
                </w:p>
              </w:tc>
            </w:tr>
            <w:tr w14:paraId="377104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8" w:type="pct"/>
                  <w:tcBorders>
                    <w:top w:val="single" w:color="auto" w:sz="4" w:space="0"/>
                    <w:bottom w:val="single" w:color="auto" w:sz="8" w:space="0"/>
                  </w:tcBorders>
                  <w:noWrap w:val="0"/>
                  <w:vAlign w:val="center"/>
                </w:tcPr>
                <w:p w14:paraId="461C87D7">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非甲烷总烃</w:t>
                  </w:r>
                </w:p>
              </w:tc>
              <w:tc>
                <w:tcPr>
                  <w:tcW w:w="1825" w:type="pct"/>
                  <w:tcBorders>
                    <w:top w:val="single" w:color="auto" w:sz="4" w:space="0"/>
                    <w:bottom w:val="single" w:color="auto" w:sz="8" w:space="0"/>
                  </w:tcBorders>
                  <w:noWrap w:val="0"/>
                  <w:vAlign w:val="center"/>
                </w:tcPr>
                <w:p w14:paraId="1D132728">
                  <w:pPr>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4.0</w:t>
                  </w:r>
                </w:p>
              </w:tc>
              <w:tc>
                <w:tcPr>
                  <w:tcW w:w="2115" w:type="pct"/>
                  <w:tcBorders>
                    <w:top w:val="single" w:color="auto" w:sz="4" w:space="0"/>
                    <w:bottom w:val="single" w:color="auto" w:sz="8" w:space="0"/>
                  </w:tcBorders>
                  <w:noWrap w:val="0"/>
                  <w:vAlign w:val="center"/>
                </w:tcPr>
                <w:p w14:paraId="54A7ED47">
                  <w:pPr>
                    <w:snapToGrid w:val="0"/>
                    <w:spacing w:line="276"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《大气污染物</w:t>
                  </w:r>
                  <w:r>
                    <w:rPr>
                      <w:rFonts w:hint="eastAsia" w:ascii="Times New Roman" w:hAnsi="Times New Roman"/>
                      <w:color w:val="auto"/>
                      <w:szCs w:val="21"/>
                      <w:highlight w:val="none"/>
                      <w:lang w:val="en-US" w:eastAsia="zh-CN"/>
                    </w:rPr>
                    <w:t>综合</w:t>
                  </w:r>
                  <w:r>
                    <w:rPr>
                      <w:rFonts w:hint="eastAsia" w:ascii="Times New Roman" w:hAnsi="Times New Roman"/>
                      <w:color w:val="auto"/>
                      <w:szCs w:val="21"/>
                      <w:highlight w:val="none"/>
                    </w:rPr>
                    <w:t>排放标准》</w:t>
                  </w:r>
                </w:p>
                <w:p w14:paraId="558EA982">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lang w:eastAsia="zh-CN"/>
                    </w:rPr>
                    <w:t>(GB 16297-1996</w:t>
                  </w:r>
                  <w:r>
                    <w:rPr>
                      <w:rFonts w:hint="eastAsia" w:ascii="Times New Roman" w:hAnsi="Times New Roman"/>
                      <w:color w:val="auto"/>
                      <w:szCs w:val="21"/>
                      <w:highlight w:val="none"/>
                    </w:rPr>
                    <w:t>)</w:t>
                  </w:r>
                </w:p>
              </w:tc>
            </w:tr>
          </w:tbl>
          <w:p w14:paraId="26664FA7">
            <w:pPr>
              <w:spacing w:line="360" w:lineRule="auto"/>
              <w:jc w:val="center"/>
              <w:rPr>
                <w:rFonts w:ascii="Times New Roman" w:hAnsi="黑体" w:eastAsia="黑体"/>
                <w:color w:val="auto"/>
                <w:sz w:val="24"/>
                <w:szCs w:val="21"/>
                <w:highlight w:val="none"/>
                <w:vertAlign w:val="superscript"/>
              </w:rPr>
            </w:pPr>
            <w:r>
              <w:rPr>
                <w:rFonts w:ascii="Times New Roman" w:hAnsi="黑体" w:eastAsia="黑体"/>
                <w:color w:val="auto"/>
                <w:sz w:val="24"/>
                <w:szCs w:val="21"/>
                <w:highlight w:val="none"/>
              </w:rPr>
              <w:t>表3-</w:t>
            </w:r>
            <w:r>
              <w:rPr>
                <w:rFonts w:hint="eastAsia" w:ascii="Times New Roman" w:hAnsi="黑体" w:eastAsia="黑体"/>
                <w:color w:val="auto"/>
                <w:sz w:val="24"/>
                <w:szCs w:val="21"/>
                <w:highlight w:val="none"/>
              </w:rPr>
              <w:t>6</w:t>
            </w:r>
            <w:r>
              <w:rPr>
                <w:rFonts w:ascii="Times New Roman" w:hAnsi="黑体" w:eastAsia="黑体"/>
                <w:color w:val="auto"/>
                <w:sz w:val="24"/>
                <w:szCs w:val="21"/>
                <w:highlight w:val="none"/>
              </w:rPr>
              <w:t xml:space="preserve">  </w:t>
            </w:r>
            <w:r>
              <w:rPr>
                <w:rFonts w:hint="eastAsia" w:ascii="Times New Roman" w:hAnsi="黑体" w:eastAsia="黑体"/>
                <w:color w:val="auto"/>
                <w:sz w:val="24"/>
                <w:szCs w:val="21"/>
                <w:highlight w:val="none"/>
              </w:rPr>
              <w:t>厂区内VOCs无组织排放限值</w:t>
            </w:r>
            <w:r>
              <w:rPr>
                <w:rFonts w:ascii="Times New Roman" w:hAnsi="黑体" w:eastAsia="黑体"/>
                <w:color w:val="auto"/>
                <w:sz w:val="24"/>
                <w:szCs w:val="21"/>
                <w:highlight w:val="none"/>
              </w:rPr>
              <w:t xml:space="preserve">  单位：mg/m</w:t>
            </w:r>
            <w:r>
              <w:rPr>
                <w:rFonts w:ascii="Times New Roman" w:hAnsi="黑体" w:eastAsia="黑体"/>
                <w:color w:val="auto"/>
                <w:sz w:val="24"/>
                <w:szCs w:val="21"/>
                <w:highlight w:val="none"/>
                <w:vertAlign w:val="superscript"/>
              </w:rPr>
              <w:t>3</w:t>
            </w:r>
          </w:p>
          <w:tbl>
            <w:tblPr>
              <w:tblStyle w:val="20"/>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371"/>
              <w:gridCol w:w="2650"/>
              <w:gridCol w:w="2395"/>
            </w:tblGrid>
            <w:tr w14:paraId="40B60D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noWrap w:val="0"/>
                  <w:vAlign w:val="center"/>
                </w:tcPr>
                <w:p w14:paraId="54458C82">
                  <w:pPr>
                    <w:snapToGrid w:val="0"/>
                    <w:spacing w:line="276" w:lineRule="auto"/>
                    <w:jc w:val="center"/>
                    <w:rPr>
                      <w:rFonts w:ascii="Times New Roman" w:hAnsi="Times New Roman"/>
                      <w:b/>
                      <w:bCs/>
                      <w:color w:val="auto"/>
                      <w:szCs w:val="21"/>
                      <w:highlight w:val="none"/>
                    </w:rPr>
                  </w:pPr>
                  <w:r>
                    <w:rPr>
                      <w:rFonts w:hint="eastAsia" w:ascii="Times New Roman" w:hAnsi="Times New Roman"/>
                      <w:b/>
                      <w:bCs/>
                      <w:color w:val="auto"/>
                      <w:szCs w:val="21"/>
                      <w:highlight w:val="none"/>
                    </w:rPr>
                    <w:t>污染物项目</w:t>
                  </w:r>
                </w:p>
              </w:tc>
              <w:tc>
                <w:tcPr>
                  <w:tcW w:w="1371" w:type="dxa"/>
                  <w:noWrap w:val="0"/>
                  <w:vAlign w:val="center"/>
                </w:tcPr>
                <w:p w14:paraId="4C58886F">
                  <w:pPr>
                    <w:snapToGrid w:val="0"/>
                    <w:spacing w:line="276" w:lineRule="auto"/>
                    <w:jc w:val="center"/>
                    <w:rPr>
                      <w:rFonts w:hint="default" w:ascii="Times New Roman" w:hAnsi="Times New Roman"/>
                      <w:b/>
                      <w:bCs/>
                      <w:color w:val="auto"/>
                      <w:szCs w:val="21"/>
                      <w:highlight w:val="none"/>
                      <w:lang w:val="en-US"/>
                    </w:rPr>
                  </w:pPr>
                  <w:r>
                    <w:rPr>
                      <w:rFonts w:hint="eastAsia" w:ascii="Times New Roman" w:hAnsi="Times New Roman"/>
                      <w:b/>
                      <w:bCs/>
                      <w:color w:val="auto"/>
                      <w:szCs w:val="21"/>
                      <w:highlight w:val="none"/>
                    </w:rPr>
                    <w:t>最高允许排</w:t>
                  </w:r>
                  <w:r>
                    <w:rPr>
                      <w:rFonts w:hint="eastAsia" w:ascii="Times New Roman" w:hAnsi="Times New Roman"/>
                      <w:b/>
                      <w:bCs/>
                      <w:color w:val="auto"/>
                      <w:szCs w:val="21"/>
                      <w:highlight w:val="none"/>
                      <w:lang w:val="en-US" w:eastAsia="zh-CN"/>
                    </w:rPr>
                    <w:t>放限值</w:t>
                  </w:r>
                </w:p>
              </w:tc>
              <w:tc>
                <w:tcPr>
                  <w:tcW w:w="2650" w:type="dxa"/>
                  <w:noWrap w:val="0"/>
                  <w:vAlign w:val="center"/>
                </w:tcPr>
                <w:p w14:paraId="07AB3E9F">
                  <w:pPr>
                    <w:snapToGrid w:val="0"/>
                    <w:spacing w:line="276" w:lineRule="auto"/>
                    <w:jc w:val="center"/>
                    <w:rPr>
                      <w:rFonts w:ascii="Times New Roman" w:hAnsi="Times New Roman"/>
                      <w:b/>
                      <w:bCs/>
                      <w:color w:val="auto"/>
                      <w:szCs w:val="21"/>
                      <w:highlight w:val="none"/>
                    </w:rPr>
                  </w:pPr>
                  <w:r>
                    <w:rPr>
                      <w:rFonts w:hint="eastAsia" w:ascii="Times New Roman" w:hAnsi="Times New Roman"/>
                      <w:b/>
                      <w:bCs/>
                      <w:color w:val="auto"/>
                      <w:szCs w:val="21"/>
                      <w:highlight w:val="none"/>
                    </w:rPr>
                    <w:t>排放限值含义</w:t>
                  </w:r>
                </w:p>
              </w:tc>
              <w:tc>
                <w:tcPr>
                  <w:tcW w:w="2395" w:type="dxa"/>
                  <w:noWrap w:val="0"/>
                  <w:vAlign w:val="center"/>
                </w:tcPr>
                <w:p w14:paraId="79FA3890">
                  <w:pPr>
                    <w:snapToGrid w:val="0"/>
                    <w:spacing w:line="276" w:lineRule="auto"/>
                    <w:jc w:val="center"/>
                    <w:rPr>
                      <w:rFonts w:ascii="Times New Roman" w:hAnsi="Times New Roman"/>
                      <w:b/>
                      <w:bCs/>
                      <w:color w:val="auto"/>
                      <w:szCs w:val="21"/>
                      <w:highlight w:val="none"/>
                    </w:rPr>
                  </w:pPr>
                  <w:r>
                    <w:rPr>
                      <w:rFonts w:hint="eastAsia" w:ascii="Times New Roman" w:hAnsi="Times New Roman"/>
                      <w:b/>
                      <w:bCs/>
                      <w:color w:val="auto"/>
                      <w:szCs w:val="21"/>
                      <w:highlight w:val="none"/>
                    </w:rPr>
                    <w:t>无组织排放监控位置</w:t>
                  </w:r>
                </w:p>
              </w:tc>
            </w:tr>
            <w:tr w14:paraId="173110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B97666">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NMHC</w:t>
                  </w:r>
                </w:p>
              </w:tc>
              <w:tc>
                <w:tcPr>
                  <w:tcW w:w="1371" w:type="dxa"/>
                  <w:noWrap w:val="0"/>
                  <w:vAlign w:val="center"/>
                </w:tcPr>
                <w:p w14:paraId="54EB47DC">
                  <w:pPr>
                    <w:snapToGrid w:val="0"/>
                    <w:spacing w:line="276" w:lineRule="auto"/>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5</w:t>
                  </w:r>
                </w:p>
              </w:tc>
              <w:tc>
                <w:tcPr>
                  <w:tcW w:w="2650" w:type="dxa"/>
                  <w:noWrap w:val="0"/>
                  <w:vAlign w:val="center"/>
                </w:tcPr>
                <w:p w14:paraId="370BC57C">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监控点除1h平均浓度值</w:t>
                  </w:r>
                </w:p>
              </w:tc>
              <w:tc>
                <w:tcPr>
                  <w:tcW w:w="2395" w:type="dxa"/>
                  <w:vMerge w:val="restart"/>
                  <w:noWrap w:val="0"/>
                  <w:vAlign w:val="center"/>
                </w:tcPr>
                <w:p w14:paraId="13E6802B">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在厂房外设置监控点</w:t>
                  </w:r>
                </w:p>
              </w:tc>
            </w:tr>
            <w:tr w14:paraId="7C6D7B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6589AC">
                  <w:pPr>
                    <w:snapToGrid w:val="0"/>
                    <w:spacing w:line="276" w:lineRule="auto"/>
                    <w:ind w:firstLine="360"/>
                    <w:jc w:val="center"/>
                    <w:rPr>
                      <w:rFonts w:ascii="Times New Roman" w:hAnsi="Times New Roman"/>
                      <w:color w:val="auto"/>
                      <w:szCs w:val="21"/>
                      <w:highlight w:val="none"/>
                    </w:rPr>
                  </w:pPr>
                </w:p>
              </w:tc>
              <w:tc>
                <w:tcPr>
                  <w:tcW w:w="1371" w:type="dxa"/>
                  <w:noWrap w:val="0"/>
                  <w:vAlign w:val="center"/>
                </w:tcPr>
                <w:p w14:paraId="65F83DBB">
                  <w:pPr>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15</w:t>
                  </w:r>
                </w:p>
              </w:tc>
              <w:tc>
                <w:tcPr>
                  <w:tcW w:w="2650" w:type="dxa"/>
                  <w:noWrap w:val="0"/>
                  <w:vAlign w:val="center"/>
                </w:tcPr>
                <w:p w14:paraId="602EC213">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监控点处任意一次浓度值</w:t>
                  </w:r>
                </w:p>
              </w:tc>
              <w:tc>
                <w:tcPr>
                  <w:tcW w:w="2395" w:type="dxa"/>
                  <w:vMerge w:val="continue"/>
                  <w:noWrap w:val="0"/>
                  <w:vAlign w:val="center"/>
                </w:tcPr>
                <w:p w14:paraId="55A028E8">
                  <w:pPr>
                    <w:snapToGrid w:val="0"/>
                    <w:spacing w:line="276" w:lineRule="auto"/>
                    <w:ind w:firstLine="360"/>
                    <w:jc w:val="center"/>
                    <w:rPr>
                      <w:rFonts w:ascii="Times New Roman" w:hAnsi="Times New Roman"/>
                      <w:color w:val="auto"/>
                      <w:szCs w:val="21"/>
                      <w:highlight w:val="none"/>
                    </w:rPr>
                  </w:pPr>
                </w:p>
              </w:tc>
            </w:tr>
          </w:tbl>
          <w:p w14:paraId="1230E64D">
            <w:pPr>
              <w:numPr>
                <w:ilvl w:val="0"/>
                <w:numId w:val="3"/>
              </w:numPr>
              <w:spacing w:line="360" w:lineRule="auto"/>
              <w:ind w:firstLine="482" w:firstLineChars="200"/>
              <w:jc w:val="left"/>
              <w:rPr>
                <w:rFonts w:ascii="Times New Roman" w:hAnsi="Times New Roman"/>
                <w:b/>
                <w:color w:val="auto"/>
                <w:sz w:val="24"/>
                <w:szCs w:val="24"/>
                <w:highlight w:val="none"/>
              </w:rPr>
            </w:pPr>
            <w:r>
              <w:rPr>
                <w:rFonts w:ascii="Times New Roman" w:hAnsi="Times New Roman"/>
                <w:b/>
                <w:color w:val="auto"/>
                <w:sz w:val="24"/>
                <w:szCs w:val="24"/>
                <w:highlight w:val="none"/>
              </w:rPr>
              <w:t>水污染物排放标准</w:t>
            </w:r>
          </w:p>
          <w:p w14:paraId="56BA19B6">
            <w:pPr>
              <w:widowControl/>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本项目运营期员工生活污水经园区化粪池处理后</w:t>
            </w:r>
            <w:r>
              <w:rPr>
                <w:rFonts w:hint="eastAsia" w:ascii="Times New Roman" w:hAnsi="Times New Roman" w:eastAsia="宋体" w:cs="Times New Roman"/>
                <w:color w:val="auto"/>
                <w:sz w:val="24"/>
                <w:highlight w:val="none"/>
                <w:lang w:val="en-US" w:eastAsia="zh-CN"/>
              </w:rPr>
              <w:t>与纯水制备浓水和超浓水</w:t>
            </w:r>
            <w:r>
              <w:rPr>
                <w:rFonts w:hint="default" w:ascii="Times New Roman" w:hAnsi="Times New Roman" w:eastAsia="宋体" w:cs="Times New Roman"/>
                <w:color w:val="auto"/>
                <w:sz w:val="24"/>
                <w:highlight w:val="none"/>
              </w:rPr>
              <w:t>进入</w:t>
            </w:r>
            <w:r>
              <w:rPr>
                <w:rFonts w:hint="eastAsia" w:ascii="Times New Roman" w:hAnsi="Times New Roman" w:eastAsia="宋体" w:cs="Times New Roman"/>
                <w:color w:val="auto"/>
                <w:sz w:val="24"/>
                <w:highlight w:val="none"/>
                <w:lang w:eastAsia="zh-CN"/>
              </w:rPr>
              <w:t>凤台经济开发区污水处理厂</w:t>
            </w:r>
            <w:r>
              <w:rPr>
                <w:rFonts w:hint="default" w:ascii="Times New Roman" w:hAnsi="Times New Roman" w:eastAsia="宋体" w:cs="Times New Roman"/>
                <w:color w:val="auto"/>
                <w:sz w:val="24"/>
                <w:highlight w:val="none"/>
                <w:lang w:val="en-US" w:eastAsia="zh-CN"/>
              </w:rPr>
              <w:t>处理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处理后的</w:t>
            </w:r>
            <w:r>
              <w:rPr>
                <w:rFonts w:hint="default" w:ascii="Times New Roman" w:hAnsi="Times New Roman" w:eastAsia="宋体" w:cs="Times New Roman"/>
                <w:color w:val="auto"/>
                <w:sz w:val="24"/>
                <w:highlight w:val="none"/>
              </w:rPr>
              <w:t>尾水排入淮河。污水排</w:t>
            </w:r>
            <w:r>
              <w:rPr>
                <w:rFonts w:hint="default" w:ascii="Times New Roman" w:hAnsi="Times New Roman" w:cs="Times New Roman"/>
                <w:color w:val="auto"/>
                <w:sz w:val="24"/>
                <w:highlight w:val="none"/>
              </w:rPr>
              <w:t>放执行</w:t>
            </w:r>
            <w:r>
              <w:rPr>
                <w:rFonts w:hint="eastAsia" w:ascii="Times New Roman" w:hAnsi="Times New Roman" w:cs="Times New Roman"/>
                <w:color w:val="auto"/>
                <w:sz w:val="24"/>
                <w:highlight w:val="none"/>
                <w:lang w:eastAsia="zh-CN"/>
              </w:rPr>
              <w:t>凤台经济开发区污水处理厂</w:t>
            </w:r>
            <w:r>
              <w:rPr>
                <w:rFonts w:hint="default" w:ascii="Times New Roman" w:hAnsi="Times New Roman" w:cs="Times New Roman"/>
                <w:color w:val="auto"/>
                <w:sz w:val="24"/>
                <w:highlight w:val="none"/>
              </w:rPr>
              <w:t>的接管限值及《污水综合排放标准》（GB8978-1996）表4中三级标准，氨氮排放执行污水排入城镇下水道水质标准（GB/T 31962-2015）。其标准值见下表：</w:t>
            </w:r>
          </w:p>
          <w:p w14:paraId="29A08CF0">
            <w:pPr>
              <w:spacing w:line="360" w:lineRule="auto"/>
              <w:jc w:val="center"/>
              <w:rPr>
                <w:rFonts w:ascii="Times New Roman" w:hAnsi="黑体" w:eastAsia="黑体" w:cs="Times New Roman"/>
                <w:color w:val="auto"/>
                <w:sz w:val="24"/>
                <w:szCs w:val="21"/>
                <w:highlight w:val="none"/>
              </w:rPr>
            </w:pPr>
            <w:r>
              <w:rPr>
                <w:rFonts w:hint="eastAsia" w:ascii="Times New Roman" w:hAnsi="黑体" w:eastAsia="黑体" w:cs="Times New Roman"/>
                <w:color w:val="auto"/>
                <w:sz w:val="24"/>
                <w:szCs w:val="21"/>
                <w:highlight w:val="none"/>
              </w:rPr>
              <w:t>表3-11</w:t>
            </w:r>
            <w:r>
              <w:rPr>
                <w:rFonts w:ascii="Times New Roman" w:hAnsi="黑体" w:eastAsia="黑体" w:cs="Times New Roman"/>
                <w:color w:val="auto"/>
                <w:sz w:val="24"/>
                <w:szCs w:val="21"/>
                <w:highlight w:val="none"/>
              </w:rPr>
              <w:t xml:space="preserve">  </w:t>
            </w:r>
            <w:r>
              <w:rPr>
                <w:rFonts w:hint="eastAsia" w:ascii="Times New Roman" w:hAnsi="黑体" w:eastAsia="黑体" w:cs="Times New Roman"/>
                <w:color w:val="auto"/>
                <w:sz w:val="24"/>
                <w:szCs w:val="21"/>
                <w:highlight w:val="none"/>
              </w:rPr>
              <w:t>废水污染物排放标准</w:t>
            </w:r>
            <w:r>
              <w:rPr>
                <w:rFonts w:ascii="Times New Roman" w:hAnsi="黑体" w:eastAsia="黑体" w:cs="Times New Roman"/>
                <w:color w:val="auto"/>
                <w:sz w:val="24"/>
                <w:szCs w:val="21"/>
                <w:highlight w:val="none"/>
              </w:rPr>
              <w:t xml:space="preserve">  </w:t>
            </w:r>
            <w:r>
              <w:rPr>
                <w:rFonts w:hint="eastAsia" w:ascii="Times New Roman" w:hAnsi="黑体" w:eastAsia="黑体" w:cs="Times New Roman"/>
                <w:color w:val="auto"/>
                <w:sz w:val="24"/>
                <w:szCs w:val="21"/>
                <w:highlight w:val="none"/>
              </w:rPr>
              <w:t>单位：</w:t>
            </w:r>
            <w:r>
              <w:rPr>
                <w:rFonts w:ascii="Times New Roman" w:hAnsi="黑体" w:eastAsia="黑体" w:cs="Times New Roman"/>
                <w:color w:val="auto"/>
                <w:sz w:val="24"/>
                <w:szCs w:val="21"/>
                <w:highlight w:val="none"/>
              </w:rPr>
              <w:t>mg/L</w:t>
            </w:r>
            <w:r>
              <w:rPr>
                <w:rFonts w:hint="eastAsia" w:ascii="Times New Roman" w:hAnsi="黑体" w:eastAsia="黑体" w:cs="Times New Roman"/>
                <w:color w:val="auto"/>
                <w:sz w:val="24"/>
                <w:szCs w:val="21"/>
                <w:highlight w:val="none"/>
              </w:rPr>
              <w:t>，</w:t>
            </w:r>
            <w:r>
              <w:rPr>
                <w:rFonts w:ascii="Times New Roman" w:hAnsi="黑体" w:eastAsia="黑体" w:cs="Times New Roman"/>
                <w:color w:val="auto"/>
                <w:sz w:val="24"/>
                <w:szCs w:val="21"/>
                <w:highlight w:val="none"/>
              </w:rPr>
              <w:t>pH</w:t>
            </w:r>
            <w:r>
              <w:rPr>
                <w:rFonts w:hint="eastAsia" w:ascii="Times New Roman" w:hAnsi="黑体" w:eastAsia="黑体" w:cs="Times New Roman"/>
                <w:color w:val="auto"/>
                <w:sz w:val="24"/>
                <w:szCs w:val="21"/>
                <w:highlight w:val="none"/>
              </w:rPr>
              <w:t>无量纲</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5"/>
              <w:gridCol w:w="1055"/>
              <w:gridCol w:w="1882"/>
              <w:gridCol w:w="1448"/>
              <w:gridCol w:w="1496"/>
              <w:gridCol w:w="1479"/>
            </w:tblGrid>
            <w:tr w14:paraId="6756C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9" w:type="pct"/>
                  <w:tcBorders>
                    <w:top w:val="single" w:color="auto" w:sz="8" w:space="0"/>
                    <w:bottom w:val="single" w:color="auto" w:sz="4" w:space="0"/>
                    <w:right w:val="single" w:color="auto" w:sz="4" w:space="0"/>
                  </w:tcBorders>
                  <w:noWrap w:val="0"/>
                  <w:vAlign w:val="center"/>
                </w:tcPr>
                <w:p w14:paraId="1B7364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序号</w:t>
                  </w:r>
                </w:p>
              </w:tc>
              <w:tc>
                <w:tcPr>
                  <w:tcW w:w="672" w:type="pct"/>
                  <w:tcBorders>
                    <w:top w:val="single" w:color="auto" w:sz="8" w:space="0"/>
                    <w:left w:val="single" w:color="auto" w:sz="4" w:space="0"/>
                    <w:bottom w:val="single" w:color="auto" w:sz="4" w:space="0"/>
                    <w:right w:val="single" w:color="auto" w:sz="4" w:space="0"/>
                  </w:tcBorders>
                  <w:noWrap w:val="0"/>
                  <w:vAlign w:val="center"/>
                </w:tcPr>
                <w:p w14:paraId="18AE7BB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污染物项目</w:t>
                  </w:r>
                </w:p>
              </w:tc>
              <w:tc>
                <w:tcPr>
                  <w:tcW w:w="1199" w:type="pct"/>
                  <w:tcBorders>
                    <w:top w:val="single" w:color="auto" w:sz="8" w:space="0"/>
                    <w:left w:val="single" w:color="auto" w:sz="4" w:space="0"/>
                    <w:bottom w:val="single" w:color="auto" w:sz="4" w:space="0"/>
                    <w:right w:val="single" w:color="auto" w:sz="4" w:space="0"/>
                  </w:tcBorders>
                  <w:noWrap w:val="0"/>
                  <w:vAlign w:val="center"/>
                </w:tcPr>
                <w:p w14:paraId="1CB9194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（GB8978-1996）三级标准</w:t>
                  </w:r>
                </w:p>
              </w:tc>
              <w:tc>
                <w:tcPr>
                  <w:tcW w:w="922" w:type="pct"/>
                  <w:tcBorders>
                    <w:top w:val="single" w:color="auto" w:sz="8" w:space="0"/>
                    <w:left w:val="single" w:color="auto" w:sz="4" w:space="0"/>
                    <w:bottom w:val="single" w:color="auto" w:sz="4" w:space="0"/>
                    <w:right w:val="single" w:color="auto" w:sz="4" w:space="0"/>
                  </w:tcBorders>
                  <w:noWrap w:val="0"/>
                  <w:vAlign w:val="center"/>
                </w:tcPr>
                <w:p w14:paraId="2BBCF80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凤台经济开发区污水处理厂接管标准</w:t>
                  </w:r>
                </w:p>
              </w:tc>
              <w:tc>
                <w:tcPr>
                  <w:tcW w:w="953" w:type="pct"/>
                  <w:tcBorders>
                    <w:top w:val="single" w:color="auto" w:sz="8" w:space="0"/>
                    <w:left w:val="single" w:color="auto" w:sz="4" w:space="0"/>
                    <w:bottom w:val="single" w:color="auto" w:sz="4" w:space="0"/>
                    <w:right w:val="single" w:color="auto" w:sz="4" w:space="0"/>
                  </w:tcBorders>
                  <w:noWrap w:val="0"/>
                  <w:vAlign w:val="center"/>
                </w:tcPr>
                <w:p w14:paraId="6B6B5D6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污水排入城镇</w:t>
                  </w:r>
                </w:p>
                <w:p w14:paraId="30CEDF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下水道水质标准</w:t>
                  </w:r>
                </w:p>
              </w:tc>
              <w:tc>
                <w:tcPr>
                  <w:tcW w:w="942" w:type="pct"/>
                  <w:tcBorders>
                    <w:top w:val="single" w:color="auto" w:sz="8" w:space="0"/>
                    <w:left w:val="single" w:color="auto" w:sz="4" w:space="0"/>
                    <w:bottom w:val="single" w:color="auto" w:sz="4" w:space="0"/>
                  </w:tcBorders>
                  <w:noWrap w:val="0"/>
                  <w:vAlign w:val="center"/>
                </w:tcPr>
                <w:p w14:paraId="737591D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本项目废水排放标准限值</w:t>
                  </w:r>
                </w:p>
              </w:tc>
            </w:tr>
            <w:tr w14:paraId="482CE5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9" w:type="pct"/>
                  <w:tcBorders>
                    <w:top w:val="single" w:color="auto" w:sz="4" w:space="0"/>
                    <w:bottom w:val="single" w:color="auto" w:sz="4" w:space="0"/>
                    <w:right w:val="single" w:color="auto" w:sz="4" w:space="0"/>
                  </w:tcBorders>
                  <w:noWrap w:val="0"/>
                  <w:vAlign w:val="center"/>
                </w:tcPr>
                <w:p w14:paraId="56AE135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672" w:type="pct"/>
                  <w:tcBorders>
                    <w:top w:val="single" w:color="auto" w:sz="4" w:space="0"/>
                    <w:left w:val="single" w:color="auto" w:sz="4" w:space="0"/>
                    <w:bottom w:val="single" w:color="auto" w:sz="4" w:space="0"/>
                    <w:right w:val="single" w:color="auto" w:sz="4" w:space="0"/>
                  </w:tcBorders>
                  <w:noWrap w:val="0"/>
                  <w:vAlign w:val="center"/>
                </w:tcPr>
                <w:p w14:paraId="5EE8850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pH值</w:t>
                  </w:r>
                </w:p>
              </w:tc>
              <w:tc>
                <w:tcPr>
                  <w:tcW w:w="1199" w:type="pct"/>
                  <w:tcBorders>
                    <w:top w:val="single" w:color="auto" w:sz="4" w:space="0"/>
                    <w:left w:val="single" w:color="auto" w:sz="4" w:space="0"/>
                    <w:bottom w:val="single" w:color="auto" w:sz="4" w:space="0"/>
                    <w:right w:val="single" w:color="auto" w:sz="4" w:space="0"/>
                  </w:tcBorders>
                  <w:noWrap w:val="0"/>
                  <w:vAlign w:val="center"/>
                </w:tcPr>
                <w:p w14:paraId="2D38D0A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≤6~9</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420442A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6~9</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0C0FED7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42" w:type="pct"/>
                  <w:tcBorders>
                    <w:top w:val="single" w:color="auto" w:sz="4" w:space="0"/>
                    <w:left w:val="single" w:color="auto" w:sz="4" w:space="0"/>
                    <w:bottom w:val="single" w:color="auto" w:sz="4" w:space="0"/>
                  </w:tcBorders>
                  <w:noWrap w:val="0"/>
                  <w:vAlign w:val="center"/>
                </w:tcPr>
                <w:p w14:paraId="6F8ECDE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6~9</w:t>
                  </w:r>
                </w:p>
              </w:tc>
            </w:tr>
            <w:tr w14:paraId="3C3334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9" w:type="pct"/>
                  <w:tcBorders>
                    <w:top w:val="single" w:color="auto" w:sz="4" w:space="0"/>
                    <w:bottom w:val="single" w:color="auto" w:sz="4" w:space="0"/>
                    <w:right w:val="single" w:color="auto" w:sz="4" w:space="0"/>
                  </w:tcBorders>
                  <w:noWrap w:val="0"/>
                  <w:vAlign w:val="center"/>
                </w:tcPr>
                <w:p w14:paraId="58F89A4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672" w:type="pct"/>
                  <w:tcBorders>
                    <w:top w:val="single" w:color="auto" w:sz="4" w:space="0"/>
                    <w:left w:val="single" w:color="auto" w:sz="4" w:space="0"/>
                    <w:bottom w:val="single" w:color="auto" w:sz="4" w:space="0"/>
                    <w:right w:val="single" w:color="auto" w:sz="4" w:space="0"/>
                  </w:tcBorders>
                  <w:noWrap w:val="0"/>
                  <w:vAlign w:val="center"/>
                </w:tcPr>
                <w:p w14:paraId="1583240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COD</w:t>
                  </w:r>
                  <w:r>
                    <w:rPr>
                      <w:rFonts w:ascii="Times New Roman" w:hAnsi="Times New Roman" w:eastAsia="宋体" w:cs="Times New Roman"/>
                      <w:color w:val="auto"/>
                      <w:szCs w:val="21"/>
                      <w:highlight w:val="none"/>
                      <w:vertAlign w:val="subscript"/>
                    </w:rPr>
                    <w:t>Cr</w:t>
                  </w:r>
                </w:p>
              </w:tc>
              <w:tc>
                <w:tcPr>
                  <w:tcW w:w="1199" w:type="pct"/>
                  <w:tcBorders>
                    <w:top w:val="single" w:color="auto" w:sz="4" w:space="0"/>
                    <w:left w:val="single" w:color="auto" w:sz="4" w:space="0"/>
                    <w:bottom w:val="single" w:color="auto" w:sz="4" w:space="0"/>
                    <w:right w:val="single" w:color="auto" w:sz="4" w:space="0"/>
                  </w:tcBorders>
                  <w:noWrap w:val="0"/>
                  <w:vAlign w:val="center"/>
                </w:tcPr>
                <w:p w14:paraId="0BD957B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≤500</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10201B0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500</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2357CBC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42" w:type="pct"/>
                  <w:tcBorders>
                    <w:top w:val="single" w:color="auto" w:sz="4" w:space="0"/>
                    <w:left w:val="single" w:color="auto" w:sz="4" w:space="0"/>
                    <w:bottom w:val="single" w:color="auto" w:sz="4" w:space="0"/>
                  </w:tcBorders>
                  <w:noWrap w:val="0"/>
                  <w:vAlign w:val="center"/>
                </w:tcPr>
                <w:p w14:paraId="58CD05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500</w:t>
                  </w:r>
                </w:p>
              </w:tc>
            </w:tr>
            <w:tr w14:paraId="6D37E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9" w:type="pct"/>
                  <w:tcBorders>
                    <w:top w:val="single" w:color="auto" w:sz="4" w:space="0"/>
                    <w:bottom w:val="single" w:color="auto" w:sz="4" w:space="0"/>
                    <w:right w:val="single" w:color="auto" w:sz="4" w:space="0"/>
                  </w:tcBorders>
                  <w:noWrap w:val="0"/>
                  <w:vAlign w:val="center"/>
                </w:tcPr>
                <w:p w14:paraId="19F2CA9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672" w:type="pct"/>
                  <w:tcBorders>
                    <w:top w:val="single" w:color="auto" w:sz="4" w:space="0"/>
                    <w:left w:val="single" w:color="auto" w:sz="4" w:space="0"/>
                    <w:bottom w:val="single" w:color="auto" w:sz="4" w:space="0"/>
                    <w:right w:val="single" w:color="auto" w:sz="4" w:space="0"/>
                  </w:tcBorders>
                  <w:noWrap w:val="0"/>
                  <w:vAlign w:val="center"/>
                </w:tcPr>
                <w:p w14:paraId="333C24E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BOD</w:t>
                  </w:r>
                  <w:r>
                    <w:rPr>
                      <w:rFonts w:ascii="Times New Roman" w:hAnsi="Times New Roman" w:eastAsia="宋体" w:cs="Times New Roman"/>
                      <w:color w:val="auto"/>
                      <w:szCs w:val="21"/>
                      <w:highlight w:val="none"/>
                      <w:vertAlign w:val="subscript"/>
                    </w:rPr>
                    <w:t>5</w:t>
                  </w:r>
                </w:p>
              </w:tc>
              <w:tc>
                <w:tcPr>
                  <w:tcW w:w="1199" w:type="pct"/>
                  <w:tcBorders>
                    <w:top w:val="single" w:color="auto" w:sz="4" w:space="0"/>
                    <w:left w:val="single" w:color="auto" w:sz="4" w:space="0"/>
                    <w:bottom w:val="single" w:color="auto" w:sz="4" w:space="0"/>
                    <w:right w:val="single" w:color="auto" w:sz="4" w:space="0"/>
                  </w:tcBorders>
                  <w:noWrap w:val="0"/>
                  <w:vAlign w:val="center"/>
                </w:tcPr>
                <w:p w14:paraId="2B20315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≤400</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2EC5F37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300</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056DBBA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42" w:type="pct"/>
                  <w:tcBorders>
                    <w:top w:val="single" w:color="auto" w:sz="4" w:space="0"/>
                    <w:left w:val="single" w:color="auto" w:sz="4" w:space="0"/>
                    <w:bottom w:val="single" w:color="auto" w:sz="4" w:space="0"/>
                  </w:tcBorders>
                  <w:noWrap w:val="0"/>
                  <w:vAlign w:val="center"/>
                </w:tcPr>
                <w:p w14:paraId="04A19C5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300</w:t>
                  </w:r>
                </w:p>
              </w:tc>
            </w:tr>
            <w:tr w14:paraId="4EAB07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9" w:type="pct"/>
                  <w:tcBorders>
                    <w:top w:val="single" w:color="auto" w:sz="4" w:space="0"/>
                    <w:bottom w:val="single" w:color="auto" w:sz="4" w:space="0"/>
                    <w:right w:val="single" w:color="auto" w:sz="4" w:space="0"/>
                  </w:tcBorders>
                  <w:noWrap w:val="0"/>
                  <w:vAlign w:val="center"/>
                </w:tcPr>
                <w:p w14:paraId="3951DA6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672" w:type="pct"/>
                  <w:tcBorders>
                    <w:top w:val="single" w:color="auto" w:sz="4" w:space="0"/>
                    <w:left w:val="single" w:color="auto" w:sz="4" w:space="0"/>
                    <w:bottom w:val="single" w:color="auto" w:sz="4" w:space="0"/>
                    <w:right w:val="single" w:color="auto" w:sz="4" w:space="0"/>
                  </w:tcBorders>
                  <w:noWrap w:val="0"/>
                  <w:vAlign w:val="center"/>
                </w:tcPr>
                <w:p w14:paraId="2CEEBF3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SS</w:t>
                  </w:r>
                </w:p>
              </w:tc>
              <w:tc>
                <w:tcPr>
                  <w:tcW w:w="1199" w:type="pct"/>
                  <w:tcBorders>
                    <w:top w:val="single" w:color="auto" w:sz="4" w:space="0"/>
                    <w:left w:val="single" w:color="auto" w:sz="4" w:space="0"/>
                    <w:bottom w:val="single" w:color="auto" w:sz="4" w:space="0"/>
                    <w:right w:val="single" w:color="auto" w:sz="4" w:space="0"/>
                  </w:tcBorders>
                  <w:noWrap w:val="0"/>
                  <w:vAlign w:val="center"/>
                </w:tcPr>
                <w:p w14:paraId="04E2195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≤300</w:t>
                  </w:r>
                </w:p>
              </w:tc>
              <w:tc>
                <w:tcPr>
                  <w:tcW w:w="922" w:type="pct"/>
                  <w:tcBorders>
                    <w:top w:val="single" w:color="auto" w:sz="4" w:space="0"/>
                    <w:left w:val="single" w:color="auto" w:sz="4" w:space="0"/>
                    <w:bottom w:val="single" w:color="auto" w:sz="4" w:space="0"/>
                    <w:right w:val="single" w:color="auto" w:sz="4" w:space="0"/>
                  </w:tcBorders>
                  <w:noWrap w:val="0"/>
                  <w:vAlign w:val="center"/>
                </w:tcPr>
                <w:p w14:paraId="7316F87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53" w:type="pct"/>
                  <w:tcBorders>
                    <w:top w:val="single" w:color="auto" w:sz="4" w:space="0"/>
                    <w:left w:val="single" w:color="auto" w:sz="4" w:space="0"/>
                    <w:bottom w:val="single" w:color="auto" w:sz="4" w:space="0"/>
                    <w:right w:val="single" w:color="auto" w:sz="4" w:space="0"/>
                  </w:tcBorders>
                  <w:noWrap w:val="0"/>
                  <w:vAlign w:val="center"/>
                </w:tcPr>
                <w:p w14:paraId="5F1E4CA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42" w:type="pct"/>
                  <w:tcBorders>
                    <w:top w:val="single" w:color="auto" w:sz="4" w:space="0"/>
                    <w:left w:val="single" w:color="auto" w:sz="4" w:space="0"/>
                    <w:bottom w:val="single" w:color="auto" w:sz="4" w:space="0"/>
                  </w:tcBorders>
                  <w:noWrap w:val="0"/>
                  <w:vAlign w:val="center"/>
                </w:tcPr>
                <w:p w14:paraId="0E2FF08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300</w:t>
                  </w:r>
                </w:p>
              </w:tc>
            </w:tr>
            <w:tr w14:paraId="57086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9" w:type="pct"/>
                  <w:tcBorders>
                    <w:top w:val="single" w:color="auto" w:sz="4" w:space="0"/>
                    <w:bottom w:val="single" w:color="auto" w:sz="8" w:space="0"/>
                    <w:right w:val="single" w:color="auto" w:sz="4" w:space="0"/>
                  </w:tcBorders>
                  <w:noWrap w:val="0"/>
                  <w:vAlign w:val="center"/>
                </w:tcPr>
                <w:p w14:paraId="76C4E01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672" w:type="pct"/>
                  <w:tcBorders>
                    <w:top w:val="single" w:color="auto" w:sz="4" w:space="0"/>
                    <w:left w:val="single" w:color="auto" w:sz="4" w:space="0"/>
                    <w:bottom w:val="single" w:color="auto" w:sz="8" w:space="0"/>
                    <w:right w:val="single" w:color="auto" w:sz="4" w:space="0"/>
                  </w:tcBorders>
                  <w:noWrap w:val="0"/>
                  <w:vAlign w:val="center"/>
                </w:tcPr>
                <w:p w14:paraId="1BBA051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NH</w:t>
                  </w:r>
                  <w:r>
                    <w:rPr>
                      <w:rFonts w:ascii="Times New Roman" w:hAnsi="Times New Roman" w:eastAsia="宋体" w:cs="Times New Roman"/>
                      <w:color w:val="auto"/>
                      <w:szCs w:val="21"/>
                      <w:highlight w:val="none"/>
                      <w:vertAlign w:val="subscript"/>
                    </w:rPr>
                    <w:t>3</w:t>
                  </w:r>
                  <w:r>
                    <w:rPr>
                      <w:rFonts w:ascii="Times New Roman" w:hAnsi="Times New Roman" w:eastAsia="宋体" w:cs="Times New Roman"/>
                      <w:color w:val="auto"/>
                      <w:szCs w:val="21"/>
                      <w:highlight w:val="none"/>
                    </w:rPr>
                    <w:t>-N</w:t>
                  </w:r>
                </w:p>
              </w:tc>
              <w:tc>
                <w:tcPr>
                  <w:tcW w:w="1199" w:type="pct"/>
                  <w:tcBorders>
                    <w:top w:val="single" w:color="auto" w:sz="4" w:space="0"/>
                    <w:left w:val="single" w:color="auto" w:sz="4" w:space="0"/>
                    <w:bottom w:val="single" w:color="auto" w:sz="8" w:space="0"/>
                    <w:right w:val="single" w:color="auto" w:sz="4" w:space="0"/>
                  </w:tcBorders>
                  <w:noWrap w:val="0"/>
                  <w:vAlign w:val="center"/>
                </w:tcPr>
                <w:p w14:paraId="055BFF3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22" w:type="pct"/>
                  <w:tcBorders>
                    <w:top w:val="single" w:color="auto" w:sz="4" w:space="0"/>
                    <w:left w:val="single" w:color="auto" w:sz="4" w:space="0"/>
                    <w:bottom w:val="single" w:color="auto" w:sz="8" w:space="0"/>
                    <w:right w:val="single" w:color="auto" w:sz="4" w:space="0"/>
                  </w:tcBorders>
                  <w:noWrap w:val="0"/>
                  <w:vAlign w:val="center"/>
                </w:tcPr>
                <w:p w14:paraId="4EDBD11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953" w:type="pct"/>
                  <w:tcBorders>
                    <w:top w:val="single" w:color="auto" w:sz="4" w:space="0"/>
                    <w:left w:val="single" w:color="auto" w:sz="4" w:space="0"/>
                    <w:bottom w:val="single" w:color="auto" w:sz="8" w:space="0"/>
                    <w:right w:val="single" w:color="auto" w:sz="4" w:space="0"/>
                  </w:tcBorders>
                  <w:noWrap w:val="0"/>
                  <w:vAlign w:val="center"/>
                </w:tcPr>
                <w:p w14:paraId="68F52F0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45</w:t>
                  </w:r>
                </w:p>
              </w:tc>
              <w:tc>
                <w:tcPr>
                  <w:tcW w:w="942" w:type="pct"/>
                  <w:tcBorders>
                    <w:top w:val="single" w:color="auto" w:sz="4" w:space="0"/>
                    <w:left w:val="single" w:color="auto" w:sz="4" w:space="0"/>
                    <w:bottom w:val="single" w:color="auto" w:sz="8" w:space="0"/>
                  </w:tcBorders>
                  <w:noWrap w:val="0"/>
                  <w:vAlign w:val="center"/>
                </w:tcPr>
                <w:p w14:paraId="417058F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45</w:t>
                  </w:r>
                </w:p>
              </w:tc>
            </w:tr>
          </w:tbl>
          <w:p w14:paraId="473BA24A">
            <w:pPr>
              <w:widowControl/>
              <w:spacing w:line="360" w:lineRule="auto"/>
              <w:ind w:firstLine="482" w:firstLineChars="200"/>
              <w:rPr>
                <w:rFonts w:ascii="Times New Roman" w:hAnsi="Times New Roman"/>
                <w:b/>
                <w:color w:val="auto"/>
                <w:sz w:val="24"/>
                <w:szCs w:val="24"/>
                <w:highlight w:val="none"/>
              </w:rPr>
            </w:pPr>
            <w:r>
              <w:rPr>
                <w:rFonts w:ascii="Times New Roman" w:hAnsi="Times New Roman"/>
                <w:b/>
                <w:color w:val="auto"/>
                <w:sz w:val="24"/>
                <w:szCs w:val="24"/>
                <w:highlight w:val="none"/>
              </w:rPr>
              <w:t>3、噪声</w:t>
            </w:r>
          </w:p>
          <w:p w14:paraId="0596DD37">
            <w:pPr>
              <w:wordWrap w:val="0"/>
              <w:spacing w:line="360" w:lineRule="auto"/>
              <w:ind w:firstLine="480" w:firstLineChars="200"/>
              <w:jc w:val="left"/>
              <w:rPr>
                <w:rFonts w:ascii="Times New Roman" w:hAnsi="Times New Roman"/>
                <w:bCs/>
                <w:color w:val="auto"/>
                <w:kern w:val="0"/>
                <w:sz w:val="24"/>
                <w:szCs w:val="24"/>
                <w:highlight w:val="none"/>
              </w:rPr>
            </w:pPr>
            <w:r>
              <w:rPr>
                <w:rFonts w:ascii="Times New Roman" w:hAnsi="Times New Roman"/>
                <w:bCs/>
                <w:color w:val="auto"/>
                <w:kern w:val="0"/>
                <w:sz w:val="24"/>
                <w:szCs w:val="24"/>
                <w:highlight w:val="none"/>
              </w:rPr>
              <w:t>本项目营运期各厂界噪声排放执行《工业企业厂界环境噪声排放标准》（GB12348-2008）中</w:t>
            </w:r>
            <w:r>
              <w:rPr>
                <w:rFonts w:hint="eastAsia" w:ascii="Times New Roman" w:hAnsi="Times New Roman"/>
                <w:bCs/>
                <w:color w:val="auto"/>
                <w:kern w:val="0"/>
                <w:sz w:val="24"/>
                <w:szCs w:val="24"/>
                <w:highlight w:val="none"/>
              </w:rPr>
              <w:t>3类</w:t>
            </w:r>
            <w:r>
              <w:rPr>
                <w:rFonts w:ascii="Times New Roman" w:hAnsi="Times New Roman"/>
                <w:bCs/>
                <w:color w:val="auto"/>
                <w:kern w:val="0"/>
                <w:sz w:val="24"/>
                <w:szCs w:val="24"/>
                <w:highlight w:val="none"/>
              </w:rPr>
              <w:t>标准</w:t>
            </w:r>
            <w:r>
              <w:rPr>
                <w:rFonts w:ascii="Times New Roman" w:hAnsi="Times New Roman"/>
                <w:bCs/>
                <w:color w:val="auto"/>
                <w:sz w:val="24"/>
                <w:highlight w:val="none"/>
              </w:rPr>
              <w:t>，标准值</w:t>
            </w:r>
            <w:r>
              <w:rPr>
                <w:rFonts w:ascii="Times New Roman" w:hAnsi="Times New Roman"/>
                <w:bCs/>
                <w:color w:val="auto"/>
                <w:kern w:val="0"/>
                <w:sz w:val="24"/>
                <w:szCs w:val="24"/>
                <w:highlight w:val="none"/>
              </w:rPr>
              <w:t>详见下表。</w:t>
            </w:r>
          </w:p>
          <w:p w14:paraId="6EE506BB">
            <w:pPr>
              <w:spacing w:line="360" w:lineRule="auto"/>
              <w:jc w:val="center"/>
              <w:rPr>
                <w:rFonts w:ascii="Times New Roman" w:hAnsi="黑体" w:eastAsia="黑体"/>
                <w:color w:val="auto"/>
                <w:sz w:val="24"/>
                <w:szCs w:val="21"/>
                <w:highlight w:val="none"/>
              </w:rPr>
            </w:pPr>
            <w:r>
              <w:rPr>
                <w:rFonts w:ascii="Times New Roman" w:hAnsi="黑体" w:eastAsia="黑体"/>
                <w:color w:val="auto"/>
                <w:sz w:val="24"/>
                <w:szCs w:val="21"/>
                <w:highlight w:val="none"/>
              </w:rPr>
              <w:t>表3-</w:t>
            </w:r>
            <w:r>
              <w:rPr>
                <w:rFonts w:hint="eastAsia" w:ascii="Times New Roman" w:hAnsi="黑体" w:eastAsia="黑体"/>
                <w:color w:val="auto"/>
                <w:sz w:val="24"/>
                <w:szCs w:val="21"/>
                <w:highlight w:val="none"/>
              </w:rPr>
              <w:t xml:space="preserve">7 </w:t>
            </w:r>
            <w:r>
              <w:rPr>
                <w:rFonts w:ascii="Times New Roman" w:hAnsi="黑体" w:eastAsia="黑体"/>
                <w:color w:val="auto"/>
                <w:sz w:val="24"/>
                <w:szCs w:val="21"/>
                <w:highlight w:val="none"/>
              </w:rPr>
              <w:t>工业企业厂界环境噪声排放标准</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1964"/>
              <w:gridCol w:w="1965"/>
            </w:tblGrid>
            <w:tr w14:paraId="362B0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7" w:type="pct"/>
                  <w:vMerge w:val="restart"/>
                  <w:tcBorders>
                    <w:top w:val="single" w:color="auto" w:sz="8" w:space="0"/>
                  </w:tcBorders>
                  <w:noWrap w:val="0"/>
                  <w:vAlign w:val="center"/>
                </w:tcPr>
                <w:p w14:paraId="3FB1D090">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标准名称</w:t>
                  </w:r>
                </w:p>
              </w:tc>
              <w:tc>
                <w:tcPr>
                  <w:tcW w:w="2503" w:type="pct"/>
                  <w:gridSpan w:val="2"/>
                  <w:tcBorders>
                    <w:top w:val="single" w:color="auto" w:sz="8" w:space="0"/>
                  </w:tcBorders>
                  <w:noWrap w:val="0"/>
                  <w:vAlign w:val="center"/>
                </w:tcPr>
                <w:p w14:paraId="36506B93">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标准值（dB）</w:t>
                  </w:r>
                </w:p>
              </w:tc>
            </w:tr>
            <w:tr w14:paraId="7E890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7" w:type="pct"/>
                  <w:vMerge w:val="continue"/>
                  <w:noWrap w:val="0"/>
                  <w:vAlign w:val="center"/>
                </w:tcPr>
                <w:p w14:paraId="66021C47">
                  <w:pPr>
                    <w:snapToGrid w:val="0"/>
                    <w:spacing w:line="276" w:lineRule="auto"/>
                    <w:ind w:firstLine="360"/>
                    <w:jc w:val="center"/>
                    <w:rPr>
                      <w:rFonts w:ascii="Times New Roman" w:hAnsi="Times New Roman"/>
                      <w:color w:val="auto"/>
                      <w:szCs w:val="21"/>
                      <w:highlight w:val="none"/>
                    </w:rPr>
                  </w:pPr>
                </w:p>
              </w:tc>
              <w:tc>
                <w:tcPr>
                  <w:tcW w:w="1251" w:type="pct"/>
                  <w:noWrap w:val="0"/>
                  <w:vAlign w:val="center"/>
                </w:tcPr>
                <w:p w14:paraId="7D360F12">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昼间</w:t>
                  </w:r>
                </w:p>
              </w:tc>
              <w:tc>
                <w:tcPr>
                  <w:tcW w:w="1251" w:type="pct"/>
                  <w:noWrap w:val="0"/>
                  <w:vAlign w:val="center"/>
                </w:tcPr>
                <w:p w14:paraId="6397D034">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夜间</w:t>
                  </w:r>
                </w:p>
              </w:tc>
            </w:tr>
            <w:tr w14:paraId="32139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7" w:type="pct"/>
                  <w:tcBorders>
                    <w:bottom w:val="single" w:color="auto" w:sz="8" w:space="0"/>
                  </w:tcBorders>
                  <w:noWrap w:val="0"/>
                  <w:vAlign w:val="center"/>
                </w:tcPr>
                <w:p w14:paraId="1D209C1D">
                  <w:pPr>
                    <w:snapToGrid w:val="0"/>
                    <w:spacing w:line="276" w:lineRule="auto"/>
                    <w:jc w:val="center"/>
                    <w:rPr>
                      <w:rFonts w:ascii="Times New Roman" w:hAnsi="Times New Roman"/>
                      <w:color w:val="auto"/>
                      <w:szCs w:val="21"/>
                      <w:highlight w:val="none"/>
                    </w:rPr>
                  </w:pPr>
                  <w:r>
                    <w:rPr>
                      <w:rFonts w:ascii="Times New Roman" w:hAnsi="Times New Roman"/>
                      <w:bCs/>
                      <w:color w:val="auto"/>
                      <w:szCs w:val="21"/>
                      <w:highlight w:val="none"/>
                    </w:rPr>
                    <w:t>（GB12348-2008）中</w:t>
                  </w:r>
                  <w:r>
                    <w:rPr>
                      <w:rFonts w:hint="eastAsia" w:ascii="Times New Roman" w:hAnsi="Times New Roman"/>
                      <w:bCs/>
                      <w:color w:val="auto"/>
                      <w:szCs w:val="21"/>
                      <w:highlight w:val="none"/>
                    </w:rPr>
                    <w:t>3类</w:t>
                  </w:r>
                  <w:r>
                    <w:rPr>
                      <w:rFonts w:ascii="Times New Roman" w:hAnsi="Times New Roman"/>
                      <w:bCs/>
                      <w:color w:val="auto"/>
                      <w:szCs w:val="21"/>
                      <w:highlight w:val="none"/>
                    </w:rPr>
                    <w:t>标准</w:t>
                  </w:r>
                </w:p>
              </w:tc>
              <w:tc>
                <w:tcPr>
                  <w:tcW w:w="1251" w:type="pct"/>
                  <w:tcBorders>
                    <w:bottom w:val="single" w:color="auto" w:sz="8" w:space="0"/>
                  </w:tcBorders>
                  <w:noWrap w:val="0"/>
                  <w:vAlign w:val="center"/>
                </w:tcPr>
                <w:p w14:paraId="5AB8A646">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6</w:t>
                  </w:r>
                  <w:r>
                    <w:rPr>
                      <w:rFonts w:hint="eastAsia" w:ascii="Times New Roman" w:hAnsi="Times New Roman"/>
                      <w:color w:val="auto"/>
                      <w:szCs w:val="21"/>
                      <w:highlight w:val="none"/>
                    </w:rPr>
                    <w:t>5</w:t>
                  </w:r>
                </w:p>
              </w:tc>
              <w:tc>
                <w:tcPr>
                  <w:tcW w:w="1251" w:type="pct"/>
                  <w:tcBorders>
                    <w:bottom w:val="single" w:color="auto" w:sz="8" w:space="0"/>
                  </w:tcBorders>
                  <w:noWrap w:val="0"/>
                  <w:vAlign w:val="center"/>
                </w:tcPr>
                <w:p w14:paraId="0163C9FF">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5</w:t>
                  </w:r>
                  <w:r>
                    <w:rPr>
                      <w:rFonts w:hint="eastAsia" w:ascii="Times New Roman" w:hAnsi="Times New Roman"/>
                      <w:color w:val="auto"/>
                      <w:szCs w:val="21"/>
                      <w:highlight w:val="none"/>
                    </w:rPr>
                    <w:t>5</w:t>
                  </w:r>
                </w:p>
              </w:tc>
            </w:tr>
          </w:tbl>
          <w:p w14:paraId="005AF47C">
            <w:pPr>
              <w:spacing w:line="360" w:lineRule="auto"/>
              <w:ind w:firstLine="482" w:firstLineChars="200"/>
              <w:jc w:val="left"/>
              <w:rPr>
                <w:rFonts w:ascii="Times New Roman" w:hAnsi="Times New Roman"/>
                <w:b/>
                <w:color w:val="auto"/>
                <w:sz w:val="24"/>
                <w:szCs w:val="24"/>
                <w:highlight w:val="none"/>
              </w:rPr>
            </w:pPr>
            <w:r>
              <w:rPr>
                <w:rFonts w:ascii="Times New Roman" w:hAnsi="Times New Roman"/>
                <w:b/>
                <w:color w:val="auto"/>
                <w:sz w:val="24"/>
                <w:szCs w:val="24"/>
                <w:highlight w:val="none"/>
              </w:rPr>
              <w:t>4、固体废物</w:t>
            </w:r>
          </w:p>
          <w:p w14:paraId="0D3629C8">
            <w:pPr>
              <w:spacing w:line="360" w:lineRule="auto"/>
              <w:ind w:firstLine="480" w:firstLineChars="200"/>
              <w:rPr>
                <w:rFonts w:ascii="Times New Roman"/>
                <w:snapToGrid w:val="0"/>
                <w:color w:val="auto"/>
                <w:kern w:val="0"/>
                <w:sz w:val="24"/>
                <w:highlight w:val="none"/>
              </w:rPr>
            </w:pPr>
            <w:r>
              <w:rPr>
                <w:rFonts w:ascii="Times New Roman" w:hAnsi="Times New Roman"/>
                <w:snapToGrid w:val="0"/>
                <w:color w:val="auto"/>
                <w:kern w:val="0"/>
                <w:sz w:val="24"/>
                <w:highlight w:val="none"/>
              </w:rPr>
              <w:t>按照《中华人民共和国固体废物污染环境防治法》的要求，固体废物要妥善处置，不得形成二次污染。一般工业固体废物贮存、处置参照执行《一般工业固体废物贮存和填埋污染控制标准》（GB18599-2020）；危险废物贮存执行《危险废物贮存污染控制标准》（GB18597-2023）。</w:t>
            </w:r>
          </w:p>
        </w:tc>
      </w:tr>
      <w:tr w14:paraId="3BA1A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18" w:hRule="atLeast"/>
          <w:jc w:val="center"/>
        </w:trPr>
        <w:tc>
          <w:tcPr>
            <w:tcW w:w="457" w:type="dxa"/>
            <w:noWrap w:val="0"/>
            <w:tcMar>
              <w:left w:w="28" w:type="dxa"/>
              <w:right w:w="28" w:type="dxa"/>
            </w:tcMar>
            <w:vAlign w:val="center"/>
          </w:tcPr>
          <w:p w14:paraId="0C01A2E2">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总量</w:t>
            </w:r>
          </w:p>
          <w:p w14:paraId="66B2EF54">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控制</w:t>
            </w:r>
          </w:p>
          <w:p w14:paraId="694BDC3E">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指标</w:t>
            </w:r>
          </w:p>
        </w:tc>
        <w:tc>
          <w:tcPr>
            <w:tcW w:w="8064" w:type="dxa"/>
            <w:noWrap w:val="0"/>
            <w:vAlign w:val="center"/>
          </w:tcPr>
          <w:p w14:paraId="510B41EF">
            <w:pPr>
              <w:spacing w:line="360" w:lineRule="auto"/>
              <w:rPr>
                <w:rFonts w:ascii="Times New Roman" w:hAnsi="Times New Roman"/>
                <w:snapToGrid w:val="0"/>
                <w:color w:val="auto"/>
                <w:kern w:val="0"/>
                <w:sz w:val="24"/>
                <w:highlight w:val="none"/>
              </w:rPr>
            </w:pPr>
          </w:p>
          <w:p w14:paraId="4EB47B7F">
            <w:pPr>
              <w:spacing w:line="360" w:lineRule="auto"/>
              <w:rPr>
                <w:rFonts w:ascii="Times New Roman" w:hAnsi="Times New Roman"/>
                <w:snapToGrid w:val="0"/>
                <w:color w:val="auto"/>
                <w:kern w:val="0"/>
                <w:sz w:val="24"/>
                <w:highlight w:val="none"/>
              </w:rPr>
            </w:pPr>
          </w:p>
          <w:p w14:paraId="33FD5A78">
            <w:pPr>
              <w:spacing w:line="360" w:lineRule="auto"/>
              <w:rPr>
                <w:rFonts w:ascii="Times New Roman" w:hAnsi="Times New Roman"/>
                <w:snapToGrid w:val="0"/>
                <w:color w:val="auto"/>
                <w:kern w:val="0"/>
                <w:sz w:val="24"/>
                <w:highlight w:val="none"/>
              </w:rPr>
            </w:pPr>
          </w:p>
          <w:p w14:paraId="28D14848">
            <w:pPr>
              <w:spacing w:line="360" w:lineRule="auto"/>
              <w:rPr>
                <w:rFonts w:ascii="Times New Roman" w:hAnsi="Times New Roman"/>
                <w:snapToGrid w:val="0"/>
                <w:color w:val="auto"/>
                <w:kern w:val="0"/>
                <w:sz w:val="24"/>
                <w:highlight w:val="none"/>
              </w:rPr>
            </w:pPr>
          </w:p>
          <w:p w14:paraId="25632A02">
            <w:pPr>
              <w:spacing w:line="360" w:lineRule="auto"/>
              <w:rPr>
                <w:rFonts w:ascii="Times New Roman" w:hAnsi="Times New Roman"/>
                <w:snapToGrid w:val="0"/>
                <w:color w:val="auto"/>
                <w:kern w:val="0"/>
                <w:sz w:val="24"/>
                <w:highlight w:val="none"/>
              </w:rPr>
            </w:pPr>
          </w:p>
          <w:p w14:paraId="648D8817">
            <w:pPr>
              <w:spacing w:line="360" w:lineRule="auto"/>
              <w:rPr>
                <w:rFonts w:hint="eastAsia"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根据《安徽省环保厅关于进一步加强建设项目新增大气主要污染物总量指标管理工作的通知》</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皖环发[2017]19号</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中有关规定，大气主要污染物总量指标从两项增加为四项，在SO</w:t>
            </w:r>
            <w:r>
              <w:rPr>
                <w:rFonts w:hint="eastAsia" w:ascii="Times New Roman" w:hAnsi="Times New Roman"/>
                <w:snapToGrid w:val="0"/>
                <w:color w:val="auto"/>
                <w:kern w:val="0"/>
                <w:sz w:val="24"/>
                <w:highlight w:val="none"/>
                <w:vertAlign w:val="subscript"/>
              </w:rPr>
              <w:t>2</w:t>
            </w:r>
            <w:r>
              <w:rPr>
                <w:rFonts w:hint="eastAsia" w:ascii="Times New Roman" w:hAnsi="Times New Roman"/>
                <w:snapToGrid w:val="0"/>
                <w:color w:val="auto"/>
                <w:kern w:val="0"/>
                <w:sz w:val="24"/>
                <w:highlight w:val="none"/>
              </w:rPr>
              <w:t>、NO</w:t>
            </w:r>
            <w:r>
              <w:rPr>
                <w:rFonts w:hint="eastAsia" w:ascii="Times New Roman" w:hAnsi="Times New Roman"/>
                <w:snapToGrid w:val="0"/>
                <w:color w:val="auto"/>
                <w:kern w:val="0"/>
                <w:sz w:val="24"/>
                <w:highlight w:val="none"/>
                <w:vertAlign w:val="subscript"/>
              </w:rPr>
              <w:t>x</w:t>
            </w:r>
            <w:r>
              <w:rPr>
                <w:rFonts w:hint="eastAsia" w:ascii="Times New Roman" w:hAnsi="Times New Roman"/>
                <w:snapToGrid w:val="0"/>
                <w:color w:val="auto"/>
                <w:kern w:val="0"/>
                <w:sz w:val="24"/>
                <w:highlight w:val="none"/>
              </w:rPr>
              <w:t>的基础上增加烟</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粉</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尘、挥发性有机物</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VOCs</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两项指标。</w:t>
            </w:r>
          </w:p>
          <w:p w14:paraId="4EFD4046">
            <w:pPr>
              <w:spacing w:line="360" w:lineRule="auto"/>
              <w:rPr>
                <w:rFonts w:hint="eastAsia"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本项目大气污染物主要为VOCs、颗粒物、二氧化硫、氮氧化物。VOCs</w:t>
            </w:r>
            <w:r>
              <w:rPr>
                <w:rFonts w:hint="eastAsia" w:ascii="Times New Roman" w:hAnsi="Times New Roman"/>
                <w:snapToGrid w:val="0"/>
                <w:color w:val="auto"/>
                <w:kern w:val="0"/>
                <w:sz w:val="24"/>
                <w:highlight w:val="none"/>
                <w:lang w:val="en-US" w:eastAsia="zh-CN"/>
              </w:rPr>
              <w:t>有组织</w:t>
            </w:r>
            <w:r>
              <w:rPr>
                <w:rFonts w:hint="eastAsia" w:ascii="Times New Roman" w:hAnsi="Times New Roman"/>
                <w:snapToGrid w:val="0"/>
                <w:color w:val="auto"/>
                <w:kern w:val="0"/>
                <w:sz w:val="24"/>
                <w:highlight w:val="none"/>
              </w:rPr>
              <w:t>排放量为</w:t>
            </w:r>
            <w:r>
              <w:rPr>
                <w:rFonts w:hint="eastAsia" w:ascii="Times New Roman" w:hAnsi="Times New Roman"/>
                <w:snapToGrid w:val="0"/>
                <w:color w:val="auto"/>
                <w:kern w:val="0"/>
                <w:sz w:val="24"/>
                <w:highlight w:val="none"/>
                <w:lang w:val="en-US" w:eastAsia="zh-CN"/>
              </w:rPr>
              <w:t>1.103</w:t>
            </w:r>
            <w:r>
              <w:rPr>
                <w:rFonts w:hint="eastAsia" w:ascii="Times New Roman" w:hAnsi="Times New Roman"/>
                <w:snapToGrid w:val="0"/>
                <w:color w:val="auto"/>
                <w:kern w:val="0"/>
                <w:sz w:val="24"/>
                <w:highlight w:val="none"/>
              </w:rPr>
              <w:t>t/a，</w:t>
            </w:r>
            <w:r>
              <w:rPr>
                <w:rFonts w:hint="eastAsia" w:ascii="Times New Roman" w:hAnsi="Times New Roman"/>
                <w:snapToGrid w:val="0"/>
                <w:color w:val="auto"/>
                <w:kern w:val="0"/>
                <w:sz w:val="24"/>
                <w:highlight w:val="none"/>
                <w:lang w:val="en-US" w:eastAsia="zh-CN"/>
              </w:rPr>
              <w:t>无组织</w:t>
            </w:r>
            <w:r>
              <w:rPr>
                <w:rFonts w:hint="eastAsia" w:ascii="Times New Roman" w:hAnsi="Times New Roman"/>
                <w:snapToGrid w:val="0"/>
                <w:color w:val="auto"/>
                <w:kern w:val="0"/>
                <w:sz w:val="24"/>
                <w:highlight w:val="none"/>
              </w:rPr>
              <w:t>排放量为0.</w:t>
            </w:r>
            <w:r>
              <w:rPr>
                <w:rFonts w:hint="eastAsia" w:ascii="Times New Roman" w:hAnsi="Times New Roman"/>
                <w:snapToGrid w:val="0"/>
                <w:color w:val="auto"/>
                <w:kern w:val="0"/>
                <w:sz w:val="24"/>
                <w:highlight w:val="none"/>
                <w:lang w:val="en-US" w:eastAsia="zh-CN"/>
              </w:rPr>
              <w:t>225</w:t>
            </w:r>
            <w:r>
              <w:rPr>
                <w:rFonts w:hint="eastAsia" w:ascii="Times New Roman" w:hAnsi="Times New Roman"/>
                <w:snapToGrid w:val="0"/>
                <w:color w:val="auto"/>
                <w:kern w:val="0"/>
                <w:sz w:val="24"/>
                <w:highlight w:val="none"/>
              </w:rPr>
              <w:t>t/a。</w:t>
            </w:r>
          </w:p>
          <w:p w14:paraId="23384A11">
            <w:pPr>
              <w:spacing w:line="360" w:lineRule="auto"/>
              <w:rPr>
                <w:rFonts w:hint="eastAsia"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根据安徽省生态环境厅《关于印发&lt;安徽省排污权有偿使用和交易管理办法&gt;的通知》</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2026年2月14日</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、《关于印发&lt;安徽省排污许可管理规程&gt;的通知》</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皖环发[2025]27号</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等文件有关规定，化学需氧量、氨氮、总磷、总氮纳入总量指标管理。</w:t>
            </w:r>
          </w:p>
          <w:p w14:paraId="158053AB">
            <w:pPr>
              <w:spacing w:line="360" w:lineRule="auto"/>
              <w:rPr>
                <w:rFonts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项目运营期员工生活污水经园区化粪池处理后</w:t>
            </w:r>
            <w:r>
              <w:rPr>
                <w:rFonts w:hint="eastAsia" w:ascii="Times New Roman" w:hAnsi="Times New Roman"/>
                <w:snapToGrid w:val="0"/>
                <w:color w:val="auto"/>
                <w:kern w:val="0"/>
                <w:sz w:val="24"/>
                <w:highlight w:val="none"/>
                <w:lang w:val="en-US" w:eastAsia="zh-CN"/>
              </w:rPr>
              <w:t>与纯水制备浓水和超浓水一并经市政管网进入</w:t>
            </w:r>
            <w:r>
              <w:rPr>
                <w:rFonts w:hint="eastAsia" w:ascii="Times New Roman" w:hAnsi="Times New Roman"/>
                <w:snapToGrid w:val="0"/>
                <w:color w:val="auto"/>
                <w:kern w:val="0"/>
                <w:sz w:val="24"/>
                <w:highlight w:val="none"/>
                <w:lang w:eastAsia="zh-CN"/>
              </w:rPr>
              <w:t>凤台经济开发区污水处理厂</w:t>
            </w:r>
            <w:r>
              <w:rPr>
                <w:rFonts w:hint="eastAsia" w:ascii="Times New Roman" w:hAnsi="Times New Roman"/>
                <w:snapToGrid w:val="0"/>
                <w:color w:val="auto"/>
                <w:kern w:val="0"/>
                <w:sz w:val="24"/>
                <w:highlight w:val="none"/>
              </w:rPr>
              <w:t>进行处理，纳入</w:t>
            </w:r>
            <w:r>
              <w:rPr>
                <w:rFonts w:hint="eastAsia" w:ascii="Times New Roman" w:hAnsi="Times New Roman"/>
                <w:snapToGrid w:val="0"/>
                <w:color w:val="auto"/>
                <w:kern w:val="0"/>
                <w:sz w:val="24"/>
                <w:highlight w:val="none"/>
                <w:lang w:eastAsia="zh-CN"/>
              </w:rPr>
              <w:t>凤台经济开发区污水处理厂</w:t>
            </w:r>
            <w:r>
              <w:rPr>
                <w:rFonts w:hint="eastAsia" w:ascii="Times New Roman" w:hAnsi="Times New Roman"/>
                <w:snapToGrid w:val="0"/>
                <w:color w:val="auto"/>
                <w:kern w:val="0"/>
                <w:sz w:val="24"/>
                <w:highlight w:val="none"/>
              </w:rPr>
              <w:t>管理</w:t>
            </w:r>
            <w:r>
              <w:rPr>
                <w:rFonts w:hint="eastAsia" w:ascii="Times New Roman" w:hAnsi="Times New Roman"/>
                <w:snapToGrid w:val="0"/>
                <w:color w:val="auto"/>
                <w:kern w:val="0"/>
                <w:sz w:val="24"/>
                <w:highlight w:val="none"/>
                <w:lang w:eastAsia="zh-CN"/>
              </w:rPr>
              <w:t>，</w:t>
            </w:r>
            <w:r>
              <w:rPr>
                <w:rFonts w:ascii="Times New Roman" w:hAnsi="Times New Roman"/>
                <w:snapToGrid w:val="0"/>
                <w:color w:val="auto"/>
                <w:kern w:val="0"/>
                <w:sz w:val="24"/>
                <w:highlight w:val="none"/>
              </w:rPr>
              <w:t>故无需申请总量指标。</w:t>
            </w:r>
          </w:p>
          <w:p w14:paraId="56BF9404">
            <w:pPr>
              <w:spacing w:line="360" w:lineRule="auto"/>
              <w:rPr>
                <w:rFonts w:ascii="Times New Roman" w:hAnsi="Times New Roman"/>
                <w:snapToGrid w:val="0"/>
                <w:color w:val="auto"/>
                <w:kern w:val="0"/>
                <w:sz w:val="24"/>
                <w:highlight w:val="none"/>
              </w:rPr>
            </w:pPr>
          </w:p>
          <w:p w14:paraId="2C9D37CA">
            <w:pPr>
              <w:spacing w:line="360" w:lineRule="auto"/>
              <w:rPr>
                <w:rFonts w:ascii="Times New Roman" w:hAnsi="Times New Roman"/>
                <w:snapToGrid w:val="0"/>
                <w:color w:val="auto"/>
                <w:kern w:val="0"/>
                <w:sz w:val="24"/>
                <w:highlight w:val="none"/>
              </w:rPr>
            </w:pPr>
          </w:p>
          <w:p w14:paraId="76EE7909">
            <w:pPr>
              <w:spacing w:line="360" w:lineRule="auto"/>
              <w:rPr>
                <w:rFonts w:ascii="Times New Roman" w:hAnsi="Times New Roman"/>
                <w:snapToGrid w:val="0"/>
                <w:color w:val="auto"/>
                <w:kern w:val="0"/>
                <w:sz w:val="24"/>
                <w:highlight w:val="none"/>
              </w:rPr>
            </w:pPr>
          </w:p>
          <w:p w14:paraId="6CE8AB3A">
            <w:pPr>
              <w:spacing w:line="360" w:lineRule="auto"/>
              <w:rPr>
                <w:rFonts w:ascii="Times New Roman" w:hAnsi="Times New Roman"/>
                <w:snapToGrid w:val="0"/>
                <w:color w:val="auto"/>
                <w:kern w:val="0"/>
                <w:sz w:val="24"/>
                <w:highlight w:val="none"/>
              </w:rPr>
            </w:pPr>
          </w:p>
          <w:p w14:paraId="1DD188BB">
            <w:pPr>
              <w:spacing w:line="360" w:lineRule="auto"/>
              <w:rPr>
                <w:rFonts w:ascii="Times New Roman" w:hAnsi="Times New Roman"/>
                <w:snapToGrid w:val="0"/>
                <w:color w:val="auto"/>
                <w:kern w:val="0"/>
                <w:sz w:val="24"/>
                <w:highlight w:val="none"/>
              </w:rPr>
            </w:pPr>
          </w:p>
          <w:p w14:paraId="453FAD6C">
            <w:pPr>
              <w:spacing w:line="360" w:lineRule="auto"/>
              <w:rPr>
                <w:rFonts w:ascii="Times New Roman" w:hAnsi="Times New Roman"/>
                <w:snapToGrid w:val="0"/>
                <w:color w:val="auto"/>
                <w:kern w:val="0"/>
                <w:sz w:val="24"/>
                <w:highlight w:val="none"/>
              </w:rPr>
            </w:pPr>
          </w:p>
          <w:p w14:paraId="2BA38174">
            <w:pPr>
              <w:spacing w:line="360" w:lineRule="auto"/>
              <w:rPr>
                <w:rFonts w:ascii="Times New Roman" w:hAnsi="Times New Roman"/>
                <w:snapToGrid w:val="0"/>
                <w:color w:val="auto"/>
                <w:kern w:val="0"/>
                <w:sz w:val="24"/>
                <w:highlight w:val="none"/>
              </w:rPr>
            </w:pPr>
          </w:p>
          <w:p w14:paraId="39E6E15F">
            <w:pPr>
              <w:spacing w:line="360" w:lineRule="auto"/>
              <w:rPr>
                <w:rFonts w:ascii="Times New Roman" w:hAnsi="Times New Roman"/>
                <w:snapToGrid w:val="0"/>
                <w:color w:val="auto"/>
                <w:kern w:val="0"/>
                <w:sz w:val="24"/>
                <w:highlight w:val="none"/>
              </w:rPr>
            </w:pPr>
          </w:p>
          <w:p w14:paraId="6D585CA8">
            <w:pPr>
              <w:spacing w:line="360" w:lineRule="auto"/>
              <w:rPr>
                <w:rFonts w:ascii="Times New Roman" w:hAnsi="Times New Roman"/>
                <w:snapToGrid w:val="0"/>
                <w:color w:val="auto"/>
                <w:kern w:val="0"/>
                <w:sz w:val="24"/>
                <w:highlight w:val="none"/>
              </w:rPr>
            </w:pPr>
          </w:p>
          <w:p w14:paraId="101E5B79">
            <w:pPr>
              <w:spacing w:line="360" w:lineRule="auto"/>
              <w:rPr>
                <w:rFonts w:ascii="Times New Roman" w:hAnsi="Times New Roman"/>
                <w:snapToGrid w:val="0"/>
                <w:color w:val="auto"/>
                <w:kern w:val="0"/>
                <w:sz w:val="24"/>
                <w:highlight w:val="none"/>
              </w:rPr>
            </w:pPr>
          </w:p>
          <w:p w14:paraId="22B09FE0">
            <w:pPr>
              <w:spacing w:line="360" w:lineRule="auto"/>
              <w:rPr>
                <w:rFonts w:ascii="Times New Roman" w:hAnsi="Times New Roman"/>
                <w:snapToGrid w:val="0"/>
                <w:color w:val="auto"/>
                <w:kern w:val="0"/>
                <w:sz w:val="24"/>
                <w:highlight w:val="none"/>
              </w:rPr>
            </w:pPr>
          </w:p>
        </w:tc>
      </w:tr>
    </w:tbl>
    <w:p w14:paraId="0D11807B">
      <w:pPr>
        <w:jc w:val="center"/>
        <w:rPr>
          <w:rFonts w:ascii="宋体" w:hAnsi="宋体" w:cs="宋体"/>
          <w:bCs/>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7D8E756">
      <w:pPr>
        <w:widowControl/>
        <w:snapToGrid w:val="0"/>
        <w:spacing w:line="360" w:lineRule="auto"/>
        <w:ind w:firstLine="600"/>
        <w:jc w:val="center"/>
        <w:outlineLvl w:val="0"/>
        <w:rPr>
          <w:rFonts w:ascii="黑体" w:hAnsi="黑体" w:eastAsia="黑体"/>
          <w:snapToGrid w:val="0"/>
          <w:color w:val="auto"/>
          <w:kern w:val="0"/>
          <w:sz w:val="30"/>
          <w:szCs w:val="30"/>
          <w:highlight w:val="none"/>
        </w:rPr>
      </w:pPr>
      <w:r>
        <w:rPr>
          <w:rFonts w:hint="eastAsia" w:ascii="黑体" w:hAnsi="黑体" w:eastAsia="黑体"/>
          <w:snapToGrid w:val="0"/>
          <w:color w:val="auto"/>
          <w:kern w:val="0"/>
          <w:sz w:val="30"/>
          <w:szCs w:val="30"/>
          <w:highlight w:val="none"/>
        </w:rPr>
        <w:t>四、主要环境影响和保护措施</w:t>
      </w:r>
    </w:p>
    <w:tbl>
      <w:tblPr>
        <w:tblStyle w:val="20"/>
        <w:tblW w:w="84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7953"/>
      </w:tblGrid>
      <w:tr w14:paraId="5A6F3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dxa"/>
            <w:noWrap w:val="0"/>
            <w:tcMar>
              <w:left w:w="28" w:type="dxa"/>
              <w:right w:w="28" w:type="dxa"/>
            </w:tcMar>
            <w:vAlign w:val="center"/>
          </w:tcPr>
          <w:p w14:paraId="24292821">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施工期环境保护措施</w:t>
            </w:r>
          </w:p>
        </w:tc>
        <w:tc>
          <w:tcPr>
            <w:tcW w:w="7953" w:type="dxa"/>
            <w:noWrap w:val="0"/>
            <w:vAlign w:val="top"/>
          </w:tcPr>
          <w:p w14:paraId="780C2860">
            <w:pPr>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本项目位于</w:t>
            </w:r>
            <w:r>
              <w:rPr>
                <w:rFonts w:hint="eastAsia" w:ascii="Times New Roman" w:hAnsi="宋体"/>
                <w:color w:val="auto"/>
                <w:sz w:val="24"/>
                <w:highlight w:val="none"/>
                <w:lang w:eastAsia="zh-CN"/>
              </w:rPr>
              <w:t>安徽省淮南市凤台经济开发区国晟（凤台）异质结双碳产业园</w:t>
            </w:r>
            <w:r>
              <w:rPr>
                <w:rFonts w:hint="eastAsia" w:ascii="Times New Roman" w:hAnsi="宋体"/>
                <w:color w:val="auto"/>
                <w:sz w:val="24"/>
                <w:highlight w:val="none"/>
              </w:rPr>
              <w:t>租赁园区中</w:t>
            </w:r>
            <w:r>
              <w:rPr>
                <w:rFonts w:hint="eastAsia" w:ascii="Times New Roman" w:hAnsi="宋体"/>
                <w:color w:val="auto"/>
                <w:sz w:val="24"/>
                <w:highlight w:val="none"/>
                <w:lang w:val="en-US" w:eastAsia="zh-CN"/>
              </w:rPr>
              <w:t>11</w:t>
            </w:r>
            <w:r>
              <w:rPr>
                <w:rFonts w:hint="eastAsia" w:ascii="Times New Roman" w:hAnsi="宋体"/>
                <w:color w:val="auto"/>
                <w:sz w:val="24"/>
                <w:highlight w:val="none"/>
              </w:rPr>
              <w:t>#、</w:t>
            </w:r>
            <w:r>
              <w:rPr>
                <w:rFonts w:hint="eastAsia" w:ascii="Times New Roman" w:hAnsi="宋体"/>
                <w:color w:val="auto"/>
                <w:sz w:val="24"/>
                <w:highlight w:val="none"/>
                <w:lang w:val="en-US" w:eastAsia="zh-CN"/>
              </w:rPr>
              <w:t>12</w:t>
            </w:r>
            <w:r>
              <w:rPr>
                <w:rFonts w:hint="eastAsia" w:ascii="Times New Roman" w:hAnsi="宋体"/>
                <w:color w:val="auto"/>
                <w:sz w:val="24"/>
                <w:highlight w:val="none"/>
              </w:rPr>
              <w:t>#标准化厂房进行生产</w:t>
            </w:r>
            <w:r>
              <w:rPr>
                <w:rFonts w:hint="eastAsia" w:ascii="Times New Roman" w:hAnsi="Times New Roman"/>
                <w:color w:val="auto"/>
                <w:sz w:val="24"/>
                <w:highlight w:val="none"/>
              </w:rPr>
              <w:t>，项目施工期主要是在原有建筑基础上进行适当改造装修及设备安装，无需土建施工。故施工扬尘污染小，主要在装修过程中会产生一定的噪声，对周围声环境质量造成一定的影响，但影响是暂时的，施工结束后影响将消失。</w:t>
            </w:r>
          </w:p>
          <w:p w14:paraId="34AF118E">
            <w:pPr>
              <w:spacing w:line="360" w:lineRule="auto"/>
              <w:ind w:firstLine="480" w:firstLineChars="200"/>
              <w:rPr>
                <w:rFonts w:ascii="Times New Roman" w:hAnsi="Times New Roman"/>
                <w:color w:val="auto"/>
                <w:sz w:val="24"/>
                <w:highlight w:val="none"/>
              </w:rPr>
            </w:pPr>
          </w:p>
          <w:p w14:paraId="4730E48A">
            <w:pPr>
              <w:spacing w:line="360" w:lineRule="auto"/>
              <w:ind w:firstLine="480" w:firstLineChars="200"/>
              <w:rPr>
                <w:rFonts w:ascii="Times New Roman" w:hAnsi="Times New Roman"/>
                <w:color w:val="auto"/>
                <w:sz w:val="24"/>
                <w:highlight w:val="none"/>
              </w:rPr>
            </w:pPr>
          </w:p>
          <w:p w14:paraId="251437C2">
            <w:pPr>
              <w:spacing w:line="360" w:lineRule="auto"/>
              <w:ind w:firstLine="480" w:firstLineChars="200"/>
              <w:rPr>
                <w:rFonts w:ascii="Times New Roman" w:hAnsi="Times New Roman"/>
                <w:color w:val="auto"/>
                <w:sz w:val="24"/>
                <w:highlight w:val="none"/>
              </w:rPr>
            </w:pPr>
          </w:p>
          <w:p w14:paraId="3854DBA2">
            <w:pPr>
              <w:spacing w:line="360" w:lineRule="auto"/>
              <w:ind w:firstLine="480" w:firstLineChars="200"/>
              <w:rPr>
                <w:rFonts w:ascii="Times New Roman" w:hAnsi="Times New Roman"/>
                <w:color w:val="auto"/>
                <w:sz w:val="24"/>
                <w:highlight w:val="none"/>
              </w:rPr>
            </w:pPr>
          </w:p>
          <w:p w14:paraId="7998DC99">
            <w:pPr>
              <w:spacing w:line="360" w:lineRule="auto"/>
              <w:ind w:firstLine="480" w:firstLineChars="200"/>
              <w:rPr>
                <w:rFonts w:ascii="Times New Roman" w:hAnsi="Times New Roman"/>
                <w:color w:val="auto"/>
                <w:sz w:val="24"/>
                <w:highlight w:val="none"/>
              </w:rPr>
            </w:pPr>
          </w:p>
          <w:p w14:paraId="20EE8C81">
            <w:pPr>
              <w:spacing w:line="360" w:lineRule="auto"/>
              <w:ind w:firstLine="480" w:firstLineChars="200"/>
              <w:rPr>
                <w:rFonts w:ascii="Times New Roman" w:hAnsi="Times New Roman"/>
                <w:color w:val="auto"/>
                <w:sz w:val="24"/>
                <w:highlight w:val="none"/>
              </w:rPr>
            </w:pPr>
          </w:p>
          <w:p w14:paraId="5B3436B6">
            <w:pPr>
              <w:spacing w:line="360" w:lineRule="auto"/>
              <w:ind w:firstLine="480" w:firstLineChars="200"/>
              <w:rPr>
                <w:rFonts w:ascii="Times New Roman" w:hAnsi="Times New Roman"/>
                <w:color w:val="auto"/>
                <w:sz w:val="24"/>
                <w:highlight w:val="none"/>
              </w:rPr>
            </w:pPr>
          </w:p>
          <w:p w14:paraId="6E4ADE3C">
            <w:pPr>
              <w:spacing w:line="360" w:lineRule="auto"/>
              <w:ind w:firstLine="480" w:firstLineChars="200"/>
              <w:rPr>
                <w:rFonts w:ascii="Times New Roman" w:hAnsi="Times New Roman"/>
                <w:color w:val="auto"/>
                <w:sz w:val="24"/>
                <w:highlight w:val="none"/>
              </w:rPr>
            </w:pPr>
          </w:p>
          <w:p w14:paraId="16565135">
            <w:pPr>
              <w:spacing w:line="360" w:lineRule="auto"/>
              <w:ind w:firstLine="480" w:firstLineChars="200"/>
              <w:rPr>
                <w:rFonts w:ascii="Times New Roman" w:hAnsi="Times New Roman"/>
                <w:color w:val="auto"/>
                <w:sz w:val="24"/>
                <w:highlight w:val="none"/>
              </w:rPr>
            </w:pPr>
          </w:p>
          <w:p w14:paraId="45ECDB9C">
            <w:pPr>
              <w:spacing w:line="360" w:lineRule="auto"/>
              <w:ind w:firstLine="480" w:firstLineChars="200"/>
              <w:rPr>
                <w:rFonts w:ascii="Times New Roman" w:hAnsi="Times New Roman"/>
                <w:color w:val="auto"/>
                <w:sz w:val="24"/>
                <w:highlight w:val="none"/>
              </w:rPr>
            </w:pPr>
          </w:p>
          <w:p w14:paraId="083BB4CC">
            <w:pPr>
              <w:spacing w:line="360" w:lineRule="auto"/>
              <w:ind w:firstLine="480" w:firstLineChars="200"/>
              <w:rPr>
                <w:rFonts w:ascii="Times New Roman" w:hAnsi="Times New Roman"/>
                <w:color w:val="auto"/>
                <w:sz w:val="24"/>
                <w:highlight w:val="none"/>
              </w:rPr>
            </w:pPr>
          </w:p>
          <w:p w14:paraId="5A630B9D">
            <w:pPr>
              <w:spacing w:line="360" w:lineRule="auto"/>
              <w:ind w:firstLine="480" w:firstLineChars="200"/>
              <w:rPr>
                <w:rFonts w:ascii="Times New Roman" w:hAnsi="Times New Roman"/>
                <w:color w:val="auto"/>
                <w:sz w:val="24"/>
                <w:highlight w:val="none"/>
              </w:rPr>
            </w:pPr>
          </w:p>
          <w:p w14:paraId="7CD85065">
            <w:pPr>
              <w:spacing w:line="360" w:lineRule="auto"/>
              <w:ind w:firstLine="480" w:firstLineChars="200"/>
              <w:rPr>
                <w:rFonts w:ascii="Times New Roman" w:hAnsi="Times New Roman"/>
                <w:color w:val="auto"/>
                <w:sz w:val="24"/>
                <w:highlight w:val="none"/>
              </w:rPr>
            </w:pPr>
          </w:p>
          <w:p w14:paraId="75BCCDAE">
            <w:pPr>
              <w:spacing w:line="360" w:lineRule="auto"/>
              <w:ind w:firstLine="480" w:firstLineChars="200"/>
              <w:rPr>
                <w:rFonts w:ascii="Times New Roman" w:hAnsi="Times New Roman"/>
                <w:color w:val="auto"/>
                <w:sz w:val="24"/>
                <w:highlight w:val="none"/>
              </w:rPr>
            </w:pPr>
          </w:p>
          <w:p w14:paraId="2EB603E0">
            <w:pPr>
              <w:spacing w:line="360" w:lineRule="auto"/>
              <w:ind w:firstLine="480" w:firstLineChars="200"/>
              <w:rPr>
                <w:rFonts w:ascii="Times New Roman" w:hAnsi="Times New Roman"/>
                <w:color w:val="auto"/>
                <w:sz w:val="24"/>
                <w:highlight w:val="none"/>
              </w:rPr>
            </w:pPr>
          </w:p>
          <w:p w14:paraId="666ECC74">
            <w:pPr>
              <w:spacing w:line="360" w:lineRule="auto"/>
              <w:rPr>
                <w:rFonts w:ascii="Times New Roman" w:hAnsi="Times New Roman"/>
                <w:color w:val="auto"/>
                <w:sz w:val="24"/>
                <w:highlight w:val="none"/>
              </w:rPr>
            </w:pPr>
          </w:p>
          <w:p w14:paraId="79BFD0A0">
            <w:pPr>
              <w:spacing w:line="360" w:lineRule="auto"/>
              <w:rPr>
                <w:rFonts w:ascii="Times New Roman" w:hAnsi="Times New Roman"/>
                <w:color w:val="auto"/>
                <w:sz w:val="24"/>
                <w:highlight w:val="none"/>
              </w:rPr>
            </w:pPr>
          </w:p>
        </w:tc>
      </w:tr>
      <w:tr w14:paraId="7DD94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0" w:hRule="atLeast"/>
          <w:jc w:val="center"/>
        </w:trPr>
        <w:tc>
          <w:tcPr>
            <w:tcW w:w="495" w:type="dxa"/>
            <w:noWrap w:val="0"/>
            <w:tcMar>
              <w:left w:w="28" w:type="dxa"/>
              <w:right w:w="28" w:type="dxa"/>
            </w:tcMar>
            <w:vAlign w:val="center"/>
          </w:tcPr>
          <w:p w14:paraId="59B91DC4">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运营</w:t>
            </w:r>
          </w:p>
          <w:p w14:paraId="79FCF6DF">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期环</w:t>
            </w:r>
          </w:p>
          <w:p w14:paraId="091AEEC9">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境影</w:t>
            </w:r>
          </w:p>
          <w:p w14:paraId="4181882F">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响和</w:t>
            </w:r>
          </w:p>
          <w:p w14:paraId="259AE9E7">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保护</w:t>
            </w:r>
          </w:p>
          <w:p w14:paraId="2472000C">
            <w:pPr>
              <w:widowControl/>
              <w:jc w:val="center"/>
              <w:rPr>
                <w:rFonts w:ascii="宋体" w:hAnsi="宋体" w:cs="宋体"/>
                <w:bCs/>
                <w:color w:val="auto"/>
                <w:sz w:val="24"/>
                <w:szCs w:val="24"/>
                <w:highlight w:val="none"/>
              </w:rPr>
            </w:pPr>
            <w:r>
              <w:rPr>
                <w:rFonts w:hint="eastAsia" w:ascii="宋体" w:hAnsi="宋体" w:cs="宋体"/>
                <w:bCs/>
                <w:color w:val="auto"/>
                <w:sz w:val="24"/>
                <w:szCs w:val="24"/>
                <w:highlight w:val="none"/>
              </w:rPr>
              <w:t>措施</w:t>
            </w:r>
          </w:p>
        </w:tc>
        <w:tc>
          <w:tcPr>
            <w:tcW w:w="7953" w:type="dxa"/>
            <w:noWrap w:val="0"/>
            <w:vAlign w:val="top"/>
          </w:tcPr>
          <w:p w14:paraId="0E96EA83">
            <w:pPr>
              <w:spacing w:line="360" w:lineRule="auto"/>
              <w:ind w:firstLine="482"/>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lang w:val="en-US" w:eastAsia="zh-CN"/>
              </w:rPr>
              <w:t>一</w:t>
            </w:r>
            <w:r>
              <w:rPr>
                <w:rFonts w:ascii="Times New Roman" w:hAnsi="宋体"/>
                <w:b/>
                <w:bCs/>
                <w:color w:val="auto"/>
                <w:sz w:val="24"/>
                <w:szCs w:val="24"/>
                <w:highlight w:val="none"/>
              </w:rPr>
              <w:t>、运营期大气污染物</w:t>
            </w:r>
            <w:r>
              <w:rPr>
                <w:rFonts w:hint="eastAsia" w:ascii="Times New Roman" w:hAnsi="宋体"/>
                <w:b/>
                <w:bCs/>
                <w:color w:val="auto"/>
                <w:sz w:val="24"/>
                <w:szCs w:val="24"/>
                <w:highlight w:val="none"/>
              </w:rPr>
              <w:t>的</w:t>
            </w:r>
            <w:r>
              <w:rPr>
                <w:rFonts w:ascii="Times New Roman" w:hAnsi="宋体"/>
                <w:b/>
                <w:bCs/>
                <w:color w:val="auto"/>
                <w:sz w:val="24"/>
                <w:szCs w:val="24"/>
                <w:highlight w:val="none"/>
              </w:rPr>
              <w:t>环境影响和保护措施</w:t>
            </w:r>
          </w:p>
          <w:p w14:paraId="687A0B5A">
            <w:pPr>
              <w:spacing w:line="360" w:lineRule="auto"/>
              <w:ind w:firstLine="482" w:firstLineChars="200"/>
              <w:jc w:val="left"/>
              <w:rPr>
                <w:rFonts w:ascii="Times New Roman" w:hAnsi="宋体"/>
                <w:b/>
                <w:bCs/>
                <w:color w:val="auto"/>
                <w:sz w:val="24"/>
                <w:szCs w:val="24"/>
                <w:highlight w:val="none"/>
              </w:rPr>
            </w:pPr>
            <w:r>
              <w:rPr>
                <w:rFonts w:hint="eastAsia" w:ascii="Times New Roman" w:hAnsi="宋体"/>
                <w:b/>
                <w:bCs/>
                <w:color w:val="auto"/>
                <w:sz w:val="24"/>
                <w:szCs w:val="24"/>
                <w:highlight w:val="none"/>
              </w:rPr>
              <w:t>1、运营期大气污染物环境影响分析</w:t>
            </w:r>
          </w:p>
          <w:p w14:paraId="509A3912">
            <w:pPr>
              <w:spacing w:line="358" w:lineRule="auto"/>
              <w:ind w:firstLine="480" w:firstLineChars="200"/>
              <w:rPr>
                <w:rFonts w:ascii="Times New Roman" w:hAnsi="宋体"/>
                <w:bCs/>
                <w:color w:val="auto"/>
                <w:sz w:val="24"/>
                <w:szCs w:val="24"/>
                <w:highlight w:val="none"/>
              </w:rPr>
            </w:pPr>
            <w:r>
              <w:rPr>
                <w:rFonts w:hint="eastAsia" w:ascii="Times New Roman" w:hAnsi="宋体"/>
                <w:bCs/>
                <w:color w:val="auto"/>
                <w:sz w:val="24"/>
                <w:szCs w:val="24"/>
                <w:highlight w:val="none"/>
              </w:rPr>
              <w:t>根据工程分析可知，本项目产生的废气主要为</w:t>
            </w:r>
            <w:r>
              <w:rPr>
                <w:rFonts w:hint="eastAsia" w:ascii="Times New Roman" w:hAnsi="宋体"/>
                <w:bCs/>
                <w:color w:val="auto"/>
                <w:sz w:val="24"/>
                <w:szCs w:val="24"/>
                <w:highlight w:val="none"/>
                <w:lang w:val="en-US" w:eastAsia="zh-CN"/>
              </w:rPr>
              <w:t>丝印、固化工序</w:t>
            </w:r>
            <w:r>
              <w:rPr>
                <w:rFonts w:hint="eastAsia" w:ascii="Times New Roman" w:hAnsi="宋体"/>
                <w:bCs/>
                <w:color w:val="auto"/>
                <w:sz w:val="24"/>
                <w:szCs w:val="24"/>
                <w:highlight w:val="none"/>
              </w:rPr>
              <w:t>产生的</w:t>
            </w:r>
            <w:r>
              <w:rPr>
                <w:rFonts w:hint="eastAsia" w:ascii="Times New Roman" w:hAnsi="宋体"/>
                <w:bCs/>
                <w:color w:val="auto"/>
                <w:sz w:val="24"/>
                <w:szCs w:val="24"/>
                <w:highlight w:val="none"/>
                <w:lang w:val="en-US" w:eastAsia="zh-CN"/>
              </w:rPr>
              <w:t>丝印废气</w:t>
            </w:r>
            <w:r>
              <w:rPr>
                <w:rFonts w:hint="eastAsia" w:ascii="Times New Roman" w:hAnsi="宋体"/>
                <w:bCs/>
                <w:color w:val="auto"/>
                <w:sz w:val="24"/>
                <w:szCs w:val="24"/>
                <w:highlight w:val="none"/>
              </w:rPr>
              <w:t>G1</w:t>
            </w:r>
            <w:r>
              <w:rPr>
                <w:rFonts w:hint="eastAsia" w:ascii="Times New Roman" w:hAnsi="宋体"/>
                <w:bCs/>
                <w:color w:val="auto"/>
                <w:sz w:val="24"/>
                <w:szCs w:val="24"/>
                <w:highlight w:val="none"/>
                <w:lang w:val="en-US" w:eastAsia="zh-CN"/>
              </w:rPr>
              <w:t>和固化废气</w:t>
            </w:r>
            <w:r>
              <w:rPr>
                <w:rFonts w:hint="eastAsia" w:ascii="Times New Roman" w:hAnsi="宋体"/>
                <w:bCs/>
                <w:color w:val="auto"/>
                <w:sz w:val="24"/>
                <w:szCs w:val="24"/>
                <w:highlight w:val="none"/>
              </w:rPr>
              <w:t>G2。</w:t>
            </w:r>
          </w:p>
          <w:p w14:paraId="5F9448DD">
            <w:pPr>
              <w:snapToGrid w:val="0"/>
              <w:spacing w:line="360" w:lineRule="auto"/>
              <w:ind w:firstLine="480" w:firstLineChars="200"/>
              <w:rPr>
                <w:rFonts w:hint="default" w:ascii="Times New Roman" w:hAnsi="Times New Roman"/>
                <w:color w:val="auto"/>
                <w:sz w:val="24"/>
                <w:szCs w:val="24"/>
                <w:highlight w:val="none"/>
                <w:lang w:val="en-US" w:eastAsia="zh-CN"/>
              </w:rPr>
            </w:pPr>
            <w:r>
              <w:rPr>
                <w:rFonts w:ascii="Times New Roman" w:hAnsi="Times New Roman"/>
                <w:color w:val="auto"/>
                <w:sz w:val="24"/>
                <w:szCs w:val="24"/>
                <w:highlight w:val="none"/>
              </w:rPr>
              <w:t>本项目</w:t>
            </w:r>
            <w:r>
              <w:rPr>
                <w:rFonts w:hint="eastAsia" w:ascii="Times New Roman" w:hAnsi="Times New Roman"/>
                <w:color w:val="auto"/>
                <w:sz w:val="24"/>
                <w:szCs w:val="24"/>
                <w:highlight w:val="none"/>
                <w:lang w:val="en-US" w:eastAsia="zh-CN"/>
              </w:rPr>
              <w:t>丝印固化工序中使用的高反射膜材料，会产生有机废气，根据高反射膜材料成分（详见附件4），其中绿色无VOC慢干溶剂在丝印固化过程中会挥发，占比为6~10%，本次按照最不利情况取10%核算废气源强，本项目高反射膜材料年用量为125t/a，则挥发性有机物（以非甲烷总烃计）产生量约为12.5t/a。其中丝印工序废气产生量占10%，固化工序废气产生量占比90%。</w:t>
            </w:r>
          </w:p>
          <w:p w14:paraId="1A89316F">
            <w:pPr>
              <w:snapToGrid w:val="0"/>
              <w:spacing w:line="360" w:lineRule="auto"/>
              <w:ind w:firstLine="472" w:firstLineChars="200"/>
              <w:rPr>
                <w:rFonts w:ascii="Times New Roman" w:hAnsi="Times New Roman"/>
                <w:bCs/>
                <w:color w:val="auto"/>
                <w:sz w:val="24"/>
                <w:szCs w:val="24"/>
                <w:highlight w:val="none"/>
              </w:rPr>
            </w:pPr>
            <w:r>
              <w:rPr>
                <w:rFonts w:ascii="Times New Roman" w:hAnsi="Times New Roman"/>
                <w:color w:val="auto"/>
                <w:spacing w:val="-2"/>
                <w:sz w:val="24"/>
                <w:highlight w:val="none"/>
              </w:rPr>
              <w:t>本项目在</w:t>
            </w:r>
            <w:r>
              <w:rPr>
                <w:rFonts w:hint="eastAsia" w:ascii="Times New Roman" w:hAnsi="Times New Roman"/>
                <w:color w:val="auto"/>
                <w:spacing w:val="-2"/>
                <w:sz w:val="24"/>
                <w:highlight w:val="none"/>
                <w:lang w:val="en-US" w:eastAsia="zh-CN"/>
              </w:rPr>
              <w:t>丝印区域</w:t>
            </w:r>
            <w:r>
              <w:rPr>
                <w:rFonts w:ascii="Times New Roman" w:hAnsi="Times New Roman"/>
                <w:color w:val="auto"/>
                <w:spacing w:val="-2"/>
                <w:sz w:val="24"/>
                <w:highlight w:val="none"/>
              </w:rPr>
              <w:t>上方设置</w:t>
            </w:r>
            <w:r>
              <w:rPr>
                <w:rFonts w:hint="eastAsia" w:ascii="Times New Roman" w:hAnsi="Times New Roman"/>
                <w:color w:val="auto"/>
                <w:spacing w:val="-2"/>
                <w:sz w:val="24"/>
                <w:highlight w:val="none"/>
                <w:lang w:val="en-US" w:eastAsia="zh-CN"/>
              </w:rPr>
              <w:t>密闭式</w:t>
            </w:r>
            <w:r>
              <w:rPr>
                <w:rFonts w:ascii="Times New Roman" w:hAnsi="Times New Roman"/>
                <w:color w:val="auto"/>
                <w:spacing w:val="-2"/>
                <w:sz w:val="24"/>
                <w:highlight w:val="none"/>
              </w:rPr>
              <w:t>集气罩</w:t>
            </w:r>
            <w:r>
              <w:rPr>
                <w:rFonts w:hint="eastAsia" w:ascii="Times New Roman" w:hAnsi="Times New Roman"/>
                <w:color w:val="auto"/>
                <w:spacing w:val="-2"/>
                <w:sz w:val="24"/>
                <w:highlight w:val="none"/>
                <w:lang w:eastAsia="zh-CN"/>
              </w:rPr>
              <w:t>（</w:t>
            </w:r>
            <w:r>
              <w:rPr>
                <w:rFonts w:ascii="Times New Roman" w:hAnsi="Times New Roman"/>
                <w:color w:val="auto"/>
                <w:spacing w:val="-2"/>
                <w:sz w:val="24"/>
                <w:highlight w:val="none"/>
              </w:rPr>
              <w:t>收集效率以</w:t>
            </w:r>
            <w:r>
              <w:rPr>
                <w:rFonts w:hint="eastAsia" w:ascii="Times New Roman" w:hAnsi="Times New Roman"/>
                <w:color w:val="auto"/>
                <w:spacing w:val="-2"/>
                <w:sz w:val="24"/>
                <w:highlight w:val="none"/>
                <w:lang w:val="en-US" w:eastAsia="zh-CN"/>
              </w:rPr>
              <w:t>80</w:t>
            </w:r>
            <w:r>
              <w:rPr>
                <w:rFonts w:ascii="Times New Roman" w:hAnsi="Times New Roman"/>
                <w:color w:val="auto"/>
                <w:spacing w:val="-2"/>
                <w:sz w:val="24"/>
                <w:highlight w:val="none"/>
              </w:rPr>
              <w:t>%计</w:t>
            </w:r>
            <w:r>
              <w:rPr>
                <w:rFonts w:hint="eastAsia" w:ascii="Times New Roman" w:hAnsi="Times New Roman"/>
                <w:color w:val="auto"/>
                <w:spacing w:val="-2"/>
                <w:sz w:val="24"/>
                <w:highlight w:val="none"/>
                <w:lang w:eastAsia="zh-CN"/>
              </w:rPr>
              <w:t>），</w:t>
            </w:r>
            <w:r>
              <w:rPr>
                <w:rFonts w:hint="eastAsia" w:ascii="Times New Roman" w:hAnsi="Times New Roman"/>
                <w:color w:val="auto"/>
                <w:spacing w:val="-2"/>
                <w:sz w:val="24"/>
                <w:highlight w:val="none"/>
                <w:lang w:val="en-US" w:eastAsia="zh-CN"/>
              </w:rPr>
              <w:t>固化工序内部相对封闭，设备上方连接有管道进行废气收集</w:t>
            </w:r>
            <w:r>
              <w:rPr>
                <w:rFonts w:hint="eastAsia" w:ascii="Times New Roman" w:hAnsi="Times New Roman"/>
                <w:color w:val="auto"/>
                <w:spacing w:val="-2"/>
                <w:sz w:val="24"/>
                <w:highlight w:val="none"/>
                <w:lang w:eastAsia="zh-CN"/>
              </w:rPr>
              <w:t>（</w:t>
            </w:r>
            <w:r>
              <w:rPr>
                <w:rFonts w:ascii="Times New Roman" w:hAnsi="Times New Roman"/>
                <w:color w:val="auto"/>
                <w:spacing w:val="-2"/>
                <w:sz w:val="24"/>
                <w:highlight w:val="none"/>
              </w:rPr>
              <w:t>收集效率以</w:t>
            </w:r>
            <w:r>
              <w:rPr>
                <w:rFonts w:hint="eastAsia" w:ascii="Times New Roman" w:hAnsi="Times New Roman"/>
                <w:color w:val="auto"/>
                <w:spacing w:val="-2"/>
                <w:sz w:val="24"/>
                <w:highlight w:val="none"/>
                <w:lang w:val="en-US" w:eastAsia="zh-CN"/>
              </w:rPr>
              <w:t>100</w:t>
            </w:r>
            <w:r>
              <w:rPr>
                <w:rFonts w:ascii="Times New Roman" w:hAnsi="Times New Roman"/>
                <w:color w:val="auto"/>
                <w:spacing w:val="-2"/>
                <w:sz w:val="24"/>
                <w:highlight w:val="none"/>
              </w:rPr>
              <w:t>%计</w:t>
            </w:r>
            <w:r>
              <w:rPr>
                <w:rFonts w:hint="eastAsia" w:ascii="Times New Roman" w:hAnsi="Times New Roman"/>
                <w:color w:val="auto"/>
                <w:spacing w:val="-2"/>
                <w:sz w:val="24"/>
                <w:highlight w:val="none"/>
                <w:lang w:eastAsia="zh-CN"/>
              </w:rPr>
              <w:t>）</w:t>
            </w:r>
            <w:r>
              <w:rPr>
                <w:rFonts w:ascii="Times New Roman" w:hAnsi="Times New Roman"/>
                <w:color w:val="auto"/>
                <w:spacing w:val="-2"/>
                <w:sz w:val="24"/>
                <w:highlight w:val="none"/>
              </w:rPr>
              <w:t>，收集后的废气经一套</w:t>
            </w:r>
            <w:r>
              <w:rPr>
                <w:rFonts w:hint="eastAsia" w:ascii="Times New Roman" w:hAnsi="Times New Roman"/>
                <w:color w:val="auto"/>
                <w:spacing w:val="-2"/>
                <w:sz w:val="24"/>
                <w:highlight w:val="none"/>
                <w:lang w:eastAsia="zh-CN"/>
              </w:rPr>
              <w:t>“</w:t>
            </w:r>
            <w:r>
              <w:rPr>
                <w:rFonts w:hint="eastAsia" w:ascii="Times New Roman" w:hAnsi="Times New Roman"/>
                <w:color w:val="auto"/>
                <w:spacing w:val="-2"/>
                <w:sz w:val="24"/>
                <w:highlight w:val="none"/>
                <w:lang w:val="en-US" w:eastAsia="zh-CN"/>
              </w:rPr>
              <w:t>两级活性炭吸附</w:t>
            </w:r>
            <w:r>
              <w:rPr>
                <w:rFonts w:hint="eastAsia" w:ascii="Times New Roman" w:hAnsi="Times New Roman"/>
                <w:color w:val="auto"/>
                <w:spacing w:val="-2"/>
                <w:sz w:val="24"/>
                <w:highlight w:val="none"/>
                <w:lang w:eastAsia="zh-CN"/>
              </w:rPr>
              <w:t>”</w:t>
            </w:r>
            <w:r>
              <w:rPr>
                <w:rFonts w:ascii="Times New Roman" w:hAnsi="Times New Roman"/>
                <w:color w:val="auto"/>
                <w:spacing w:val="-2"/>
                <w:sz w:val="24"/>
                <w:highlight w:val="none"/>
              </w:rPr>
              <w:t>装置进行处理，处理效率为9</w:t>
            </w:r>
            <w:r>
              <w:rPr>
                <w:rFonts w:hint="eastAsia" w:ascii="Times New Roman" w:hAnsi="Times New Roman"/>
                <w:color w:val="auto"/>
                <w:spacing w:val="-2"/>
                <w:sz w:val="24"/>
                <w:highlight w:val="none"/>
                <w:lang w:val="en-US" w:eastAsia="zh-CN"/>
              </w:rPr>
              <w:t>0</w:t>
            </w:r>
            <w:r>
              <w:rPr>
                <w:rFonts w:ascii="Times New Roman" w:hAnsi="Times New Roman"/>
                <w:color w:val="auto"/>
                <w:spacing w:val="-2"/>
                <w:sz w:val="24"/>
                <w:highlight w:val="none"/>
              </w:rPr>
              <w:t>%，处理后的废气</w:t>
            </w:r>
            <w:r>
              <w:rPr>
                <w:rFonts w:ascii="Times New Roman" w:hAnsi="Times New Roman"/>
                <w:color w:val="auto"/>
                <w:sz w:val="24"/>
                <w:szCs w:val="24"/>
                <w:highlight w:val="none"/>
              </w:rPr>
              <w:t>通过15m高</w:t>
            </w:r>
            <w:r>
              <w:rPr>
                <w:rFonts w:hint="eastAsia" w:ascii="Times New Roman" w:hAnsi="Times New Roman"/>
                <w:color w:val="auto"/>
                <w:sz w:val="24"/>
                <w:szCs w:val="24"/>
                <w:highlight w:val="none"/>
                <w:lang w:eastAsia="zh-CN"/>
              </w:rPr>
              <w:t>DA001排气筒</w:t>
            </w:r>
            <w:r>
              <w:rPr>
                <w:rFonts w:ascii="Times New Roman" w:hAnsi="Times New Roman"/>
                <w:color w:val="auto"/>
                <w:sz w:val="24"/>
                <w:szCs w:val="24"/>
                <w:highlight w:val="none"/>
              </w:rPr>
              <w:t>排放，风机风量为</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rPr>
              <w:t>0000m</w:t>
            </w:r>
            <w:r>
              <w:rPr>
                <w:rFonts w:hint="eastAsia" w:ascii="Times New Roman" w:hAnsi="Times New Roman"/>
                <w:color w:val="auto"/>
                <w:sz w:val="24"/>
                <w:szCs w:val="24"/>
                <w:highlight w:val="none"/>
                <w:vertAlign w:val="superscript"/>
              </w:rPr>
              <w:t>3</w:t>
            </w:r>
            <w:r>
              <w:rPr>
                <w:rFonts w:ascii="Times New Roman" w:hAnsi="Times New Roman"/>
                <w:color w:val="auto"/>
                <w:sz w:val="24"/>
                <w:szCs w:val="24"/>
                <w:highlight w:val="none"/>
              </w:rPr>
              <w:t>/h。</w:t>
            </w:r>
          </w:p>
          <w:p w14:paraId="0A05940F">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项目废气风量核算如下：</w:t>
            </w:r>
          </w:p>
          <w:p w14:paraId="614B3A67">
            <w:pPr>
              <w:spacing w:line="360" w:lineRule="auto"/>
              <w:ind w:firstLine="480" w:firstLineChars="200"/>
              <w:rPr>
                <w:rFonts w:hint="default" w:ascii="Times New Roman" w:hAnsi="Times New Roman" w:eastAsia="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Times New Roman" w:hAnsi="Times New Roman"/>
                <w:color w:val="auto"/>
                <w:sz w:val="24"/>
                <w:szCs w:val="24"/>
                <w:highlight w:val="none"/>
                <w:lang w:val="en-US" w:eastAsia="zh-CN"/>
              </w:rPr>
              <w:t>丝印废气集气罩风量核算</w:t>
            </w:r>
          </w:p>
          <w:p w14:paraId="499CD7EC">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根据建设单位设计方案，</w:t>
            </w:r>
            <w:r>
              <w:rPr>
                <w:rFonts w:hint="eastAsia" w:ascii="Times New Roman" w:hAnsi="Times New Roman"/>
                <w:color w:val="auto"/>
                <w:sz w:val="24"/>
                <w:szCs w:val="24"/>
                <w:highlight w:val="none"/>
                <w:lang w:val="en-US" w:eastAsia="zh-CN"/>
              </w:rPr>
              <w:t>丝印设备上方</w:t>
            </w:r>
            <w:r>
              <w:rPr>
                <w:rFonts w:hint="eastAsia" w:ascii="Times New Roman" w:hAnsi="Times New Roman"/>
                <w:color w:val="auto"/>
                <w:sz w:val="24"/>
                <w:szCs w:val="24"/>
                <w:highlight w:val="none"/>
              </w:rPr>
              <w:t>设置1个集气罩，</w:t>
            </w:r>
            <w:r>
              <w:rPr>
                <w:rFonts w:hint="eastAsia" w:ascii="Times New Roman" w:hAnsi="Times New Roman"/>
                <w:color w:val="auto"/>
                <w:sz w:val="24"/>
                <w:szCs w:val="24"/>
                <w:highlight w:val="none"/>
                <w:lang w:val="en-US" w:eastAsia="zh-CN"/>
              </w:rPr>
              <w:t>本项目有两台丝印机组，因此共设置2个</w:t>
            </w:r>
            <w:r>
              <w:rPr>
                <w:rFonts w:hint="eastAsia" w:ascii="Times New Roman" w:hAnsi="Times New Roman"/>
                <w:color w:val="auto"/>
                <w:sz w:val="24"/>
                <w:szCs w:val="24"/>
                <w:highlight w:val="none"/>
              </w:rPr>
              <w:t>集气罩</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集气罩</w:t>
            </w:r>
            <w:r>
              <w:rPr>
                <w:rFonts w:hint="eastAsia" w:ascii="Times New Roman" w:hAnsi="Times New Roman"/>
                <w:color w:val="auto"/>
                <w:sz w:val="24"/>
                <w:szCs w:val="24"/>
                <w:highlight w:val="none"/>
              </w:rPr>
              <w:t>为</w:t>
            </w: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m×</w:t>
            </w: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m矩形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罩口距离废气出口高度为H= 0.</w:t>
            </w:r>
            <w:r>
              <w:rPr>
                <w:rFonts w:hint="eastAsia" w:ascii="Times New Roman" w:hAnsi="Times New Roman"/>
                <w:color w:val="auto"/>
                <w:sz w:val="24"/>
                <w:szCs w:val="24"/>
                <w:highlight w:val="none"/>
                <w:lang w:val="en-US" w:eastAsia="zh-CN"/>
              </w:rPr>
              <w:t>5</w:t>
            </w:r>
            <w:r>
              <w:rPr>
                <w:rFonts w:hint="eastAsia" w:ascii="Times New Roman" w:hAnsi="Times New Roman"/>
                <w:color w:val="auto"/>
                <w:sz w:val="24"/>
                <w:szCs w:val="24"/>
                <w:highlight w:val="none"/>
              </w:rPr>
              <w:t>m，根据集风系统风量估算公式：</w:t>
            </w:r>
          </w:p>
          <w:p w14:paraId="0C4255BA">
            <w:pPr>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Q=K（a+b）×H×V</w:t>
            </w:r>
            <w:r>
              <w:rPr>
                <w:rFonts w:hint="eastAsia" w:ascii="Times New Roman" w:hAnsi="Times New Roman"/>
                <w:color w:val="auto"/>
                <w:sz w:val="24"/>
                <w:szCs w:val="24"/>
                <w:highlight w:val="none"/>
                <w:vertAlign w:val="subscript"/>
              </w:rPr>
              <w:t>0</w:t>
            </w:r>
            <w:r>
              <w:rPr>
                <w:rFonts w:hint="eastAsia" w:ascii="Times New Roman" w:hAnsi="Times New Roman"/>
                <w:color w:val="auto"/>
                <w:sz w:val="24"/>
                <w:szCs w:val="24"/>
                <w:highlight w:val="none"/>
              </w:rPr>
              <w:t>×3600</w:t>
            </w:r>
          </w:p>
          <w:p w14:paraId="229784E2">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其中：K：为安全系数，取1.4</w:t>
            </w:r>
          </w:p>
          <w:p w14:paraId="741F129A">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（a+b）：为集气罩周长，单位为m</w:t>
            </w:r>
          </w:p>
          <w:p w14:paraId="6E7EB4B5">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H：为罩口至污染源的距离，单位为m</w:t>
            </w:r>
          </w:p>
          <w:p w14:paraId="25201799">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V</w:t>
            </w:r>
            <w:r>
              <w:rPr>
                <w:rFonts w:hint="eastAsia" w:ascii="Times New Roman" w:hAnsi="Times New Roman"/>
                <w:color w:val="auto"/>
                <w:sz w:val="24"/>
                <w:szCs w:val="24"/>
                <w:highlight w:val="none"/>
                <w:vertAlign w:val="subscript"/>
              </w:rPr>
              <w:t>0</w:t>
            </w:r>
            <w:r>
              <w:rPr>
                <w:rFonts w:hint="eastAsia" w:ascii="Times New Roman" w:hAnsi="Times New Roman"/>
                <w:color w:val="auto"/>
                <w:sz w:val="24"/>
                <w:szCs w:val="24"/>
                <w:highlight w:val="none"/>
              </w:rPr>
              <w:t>：为污染源气体流速，本项目取0.</w:t>
            </w:r>
            <w:r>
              <w:rPr>
                <w:rFonts w:hint="eastAsia" w:ascii="Times New Roman" w:hAnsi="Times New Roman"/>
                <w:color w:val="auto"/>
                <w:sz w:val="24"/>
                <w:szCs w:val="24"/>
                <w:highlight w:val="none"/>
                <w:lang w:val="en-US" w:eastAsia="zh-CN"/>
              </w:rPr>
              <w:t>5</w:t>
            </w:r>
            <w:r>
              <w:rPr>
                <w:rFonts w:hint="eastAsia" w:ascii="Times New Roman" w:hAnsi="Times New Roman"/>
                <w:color w:val="auto"/>
                <w:sz w:val="24"/>
                <w:szCs w:val="24"/>
                <w:highlight w:val="none"/>
              </w:rPr>
              <w:t>m/s。</w:t>
            </w:r>
          </w:p>
          <w:p w14:paraId="6617598B">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计算得</w:t>
            </w:r>
            <w:r>
              <w:rPr>
                <w:rFonts w:hint="eastAsia" w:ascii="Times New Roman" w:hAnsi="Times New Roman"/>
                <w:color w:val="auto"/>
                <w:sz w:val="24"/>
                <w:szCs w:val="24"/>
                <w:highlight w:val="none"/>
                <w:lang w:val="en-US" w:eastAsia="zh-CN"/>
              </w:rPr>
              <w:t>丝印</w:t>
            </w:r>
            <w:r>
              <w:rPr>
                <w:rFonts w:hint="eastAsia" w:ascii="Times New Roman" w:hAnsi="Times New Roman"/>
                <w:color w:val="auto"/>
                <w:sz w:val="24"/>
                <w:szCs w:val="24"/>
                <w:highlight w:val="none"/>
              </w:rPr>
              <w:t>废气收集集气罩风量约为</w:t>
            </w:r>
            <w:r>
              <w:rPr>
                <w:rFonts w:hint="eastAsia" w:ascii="Times New Roman" w:hAnsi="Times New Roman"/>
                <w:color w:val="auto"/>
                <w:sz w:val="24"/>
                <w:szCs w:val="24"/>
                <w:highlight w:val="none"/>
                <w:lang w:val="en-US" w:eastAsia="zh-CN"/>
              </w:rPr>
              <w:t>10080</w:t>
            </w:r>
            <w:r>
              <w:rPr>
                <w:rFonts w:hint="eastAsia" w:ascii="Times New Roman" w:hAnsi="Times New Roman"/>
                <w:color w:val="auto"/>
                <w:sz w:val="24"/>
                <w:szCs w:val="24"/>
                <w:highlight w:val="none"/>
              </w:rPr>
              <w:t>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/h。</w:t>
            </w:r>
          </w:p>
          <w:p w14:paraId="01EFD3C2">
            <w:pPr>
              <w:spacing w:line="360" w:lineRule="auto"/>
              <w:ind w:firstLine="480" w:firstLineChars="200"/>
              <w:rPr>
                <w:rFonts w:hint="default" w:ascii="Times New Roman" w:hAnsi="Times New Roman" w:eastAsia="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w:t>
            </w:r>
            <w:r>
              <w:rPr>
                <w:rFonts w:hint="eastAsia" w:ascii="Times New Roman" w:hAnsi="Times New Roman"/>
                <w:color w:val="auto"/>
                <w:sz w:val="24"/>
                <w:szCs w:val="24"/>
                <w:highlight w:val="none"/>
                <w:lang w:val="en-US" w:eastAsia="zh-CN"/>
              </w:rPr>
              <w:t>固化废气密闭管道风量核算</w:t>
            </w:r>
          </w:p>
          <w:p w14:paraId="7214DD83">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根据建设单位</w:t>
            </w:r>
            <w:r>
              <w:rPr>
                <w:rFonts w:hint="eastAsia" w:ascii="Times New Roman" w:hAnsi="Times New Roman" w:eastAsia="宋体" w:cs="Times New Roman"/>
                <w:color w:val="auto"/>
                <w:sz w:val="24"/>
                <w:szCs w:val="24"/>
                <w:highlight w:val="none"/>
                <w:lang w:val="en-US" w:eastAsia="zh-CN"/>
              </w:rPr>
              <w:t>提供资料</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固化设备上方连接管道进行废气收集</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废气量核定见下表。</w:t>
            </w:r>
          </w:p>
          <w:p w14:paraId="21C02206">
            <w:pPr>
              <w:spacing w:line="360" w:lineRule="auto"/>
              <w:jc w:val="center"/>
              <w:rPr>
                <w:rFonts w:ascii="Times New Roman" w:hAnsi="Times New Roman" w:eastAsia="黑体"/>
                <w:bCs/>
                <w:color w:val="auto"/>
                <w:sz w:val="24"/>
                <w:szCs w:val="24"/>
                <w:highlight w:val="none"/>
              </w:rPr>
            </w:pPr>
          </w:p>
          <w:p w14:paraId="6BBE4541">
            <w:pPr>
              <w:spacing w:line="360" w:lineRule="auto"/>
              <w:jc w:val="center"/>
              <w:rPr>
                <w:rFonts w:ascii="Times New Roman" w:hAnsi="Times New Roman" w:eastAsia="黑体"/>
                <w:bCs/>
                <w:color w:val="auto"/>
                <w:sz w:val="24"/>
                <w:szCs w:val="24"/>
                <w:highlight w:val="none"/>
              </w:rPr>
            </w:pPr>
          </w:p>
          <w:p w14:paraId="2D7C0814">
            <w:pPr>
              <w:spacing w:line="360" w:lineRule="auto"/>
              <w:jc w:val="center"/>
              <w:rPr>
                <w:rFonts w:hint="eastAsia" w:ascii="Times New Roman" w:hAnsi="Times New Roman" w:eastAsia="宋体" w:cs="Times New Roman"/>
                <w:color w:val="auto"/>
                <w:sz w:val="24"/>
                <w:szCs w:val="24"/>
                <w:highlight w:val="none"/>
                <w:lang w:eastAsia="zh-CN"/>
              </w:rPr>
            </w:pPr>
            <w:r>
              <w:rPr>
                <w:rFonts w:ascii="Times New Roman" w:hAnsi="Times New Roman" w:eastAsia="黑体"/>
                <w:bCs/>
                <w:color w:val="auto"/>
                <w:sz w:val="24"/>
                <w:szCs w:val="24"/>
                <w:highlight w:val="none"/>
              </w:rPr>
              <w:t>表4-</w:t>
            </w:r>
            <w:r>
              <w:rPr>
                <w:rFonts w:hint="eastAsia" w:ascii="Times New Roman" w:hAnsi="Times New Roman" w:eastAsia="黑体"/>
                <w:bCs/>
                <w:color w:val="auto"/>
                <w:sz w:val="24"/>
                <w:szCs w:val="24"/>
                <w:highlight w:val="none"/>
                <w:lang w:val="en-US" w:eastAsia="zh-CN"/>
              </w:rPr>
              <w:t>1</w:t>
            </w:r>
            <w:r>
              <w:rPr>
                <w:rFonts w:ascii="Times New Roman" w:hAnsi="Times New Roman" w:eastAsia="黑体"/>
                <w:bCs/>
                <w:color w:val="auto"/>
                <w:sz w:val="24"/>
                <w:szCs w:val="24"/>
                <w:highlight w:val="none"/>
              </w:rPr>
              <w:t xml:space="preserve"> 本项目</w:t>
            </w:r>
            <w:r>
              <w:rPr>
                <w:rFonts w:hint="eastAsia" w:ascii="Times New Roman" w:hAnsi="Times New Roman" w:eastAsia="黑体"/>
                <w:bCs/>
                <w:color w:val="auto"/>
                <w:sz w:val="24"/>
                <w:szCs w:val="24"/>
                <w:highlight w:val="none"/>
              </w:rPr>
              <w:t>风量设置情况</w:t>
            </w:r>
            <w:r>
              <w:rPr>
                <w:rFonts w:ascii="Times New Roman" w:hAnsi="Times New Roman" w:eastAsia="黑体"/>
                <w:bCs/>
                <w:color w:val="auto"/>
                <w:sz w:val="24"/>
                <w:szCs w:val="24"/>
                <w:highlight w:val="none"/>
              </w:rPr>
              <w:t>一览表</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06"/>
              <w:gridCol w:w="937"/>
              <w:gridCol w:w="740"/>
              <w:gridCol w:w="1139"/>
              <w:gridCol w:w="989"/>
              <w:gridCol w:w="1181"/>
              <w:gridCol w:w="1342"/>
            </w:tblGrid>
            <w:tr w14:paraId="5D407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08" w:type="pct"/>
                  <w:vMerge w:val="restart"/>
                  <w:tcBorders>
                    <w:top w:val="single" w:color="auto" w:sz="8" w:space="0"/>
                    <w:left w:val="single" w:color="auto" w:sz="4" w:space="0"/>
                    <w:bottom w:val="single" w:color="auto" w:sz="4" w:space="0"/>
                    <w:right w:val="single" w:color="auto" w:sz="4" w:space="0"/>
                  </w:tcBorders>
                  <w:noWrap w:val="0"/>
                  <w:vAlign w:val="center"/>
                </w:tcPr>
                <w:p w14:paraId="14378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废气产生环节</w:t>
                  </w:r>
                </w:p>
              </w:tc>
              <w:tc>
                <w:tcPr>
                  <w:tcW w:w="605" w:type="pct"/>
                  <w:vMerge w:val="restart"/>
                  <w:tcBorders>
                    <w:top w:val="single" w:color="auto" w:sz="8" w:space="0"/>
                    <w:left w:val="single" w:color="auto" w:sz="4" w:space="0"/>
                    <w:bottom w:val="single" w:color="auto" w:sz="4" w:space="0"/>
                    <w:right w:val="single" w:color="auto" w:sz="4" w:space="0"/>
                  </w:tcBorders>
                  <w:noWrap w:val="0"/>
                  <w:vAlign w:val="center"/>
                </w:tcPr>
                <w:p w14:paraId="5AA20A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收集管道数量</w:t>
                  </w:r>
                </w:p>
              </w:tc>
              <w:tc>
                <w:tcPr>
                  <w:tcW w:w="1214" w:type="pct"/>
                  <w:gridSpan w:val="2"/>
                  <w:tcBorders>
                    <w:top w:val="single" w:color="auto" w:sz="8" w:space="0"/>
                    <w:left w:val="single" w:color="auto" w:sz="4" w:space="0"/>
                    <w:bottom w:val="single" w:color="auto" w:sz="4" w:space="0"/>
                    <w:right w:val="single" w:color="auto" w:sz="4" w:space="0"/>
                  </w:tcBorders>
                  <w:noWrap w:val="0"/>
                  <w:vAlign w:val="center"/>
                </w:tcPr>
                <w:p w14:paraId="2D12D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废气收集支管参数</w:t>
                  </w:r>
                </w:p>
              </w:tc>
              <w:tc>
                <w:tcPr>
                  <w:tcW w:w="639" w:type="pct"/>
                  <w:tcBorders>
                    <w:top w:val="single" w:color="auto" w:sz="8" w:space="0"/>
                    <w:left w:val="single" w:color="auto" w:sz="4" w:space="0"/>
                    <w:bottom w:val="single" w:color="auto" w:sz="4" w:space="0"/>
                    <w:right w:val="single" w:color="auto" w:sz="4" w:space="0"/>
                  </w:tcBorders>
                  <w:noWrap w:val="0"/>
                  <w:vAlign w:val="center"/>
                </w:tcPr>
                <w:p w14:paraId="132FF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废气流速</w:t>
                  </w:r>
                </w:p>
              </w:tc>
              <w:tc>
                <w:tcPr>
                  <w:tcW w:w="763" w:type="pct"/>
                  <w:vMerge w:val="restart"/>
                  <w:tcBorders>
                    <w:top w:val="single" w:color="auto" w:sz="8" w:space="0"/>
                    <w:left w:val="single" w:color="auto" w:sz="4" w:space="0"/>
                    <w:bottom w:val="single" w:color="auto" w:sz="4" w:space="0"/>
                    <w:right w:val="single" w:color="auto" w:sz="4" w:space="0"/>
                  </w:tcBorders>
                  <w:noWrap w:val="0"/>
                  <w:vAlign w:val="center"/>
                </w:tcPr>
                <w:p w14:paraId="445F9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计算单管废气风量</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867" w:type="pct"/>
                  <w:vMerge w:val="restart"/>
                  <w:tcBorders>
                    <w:top w:val="single" w:color="auto" w:sz="8" w:space="0"/>
                    <w:left w:val="single" w:color="auto" w:sz="4" w:space="0"/>
                    <w:bottom w:val="single" w:color="auto" w:sz="4" w:space="0"/>
                    <w:right w:val="nil"/>
                  </w:tcBorders>
                  <w:noWrap/>
                  <w:vAlign w:val="center"/>
                </w:tcPr>
                <w:p w14:paraId="5BB4C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核算风量</w:t>
                  </w:r>
                </w:p>
              </w:tc>
            </w:tr>
            <w:tr w14:paraId="1226B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08" w:type="pct"/>
                  <w:vMerge w:val="continue"/>
                  <w:tcBorders>
                    <w:top w:val="single" w:color="auto" w:sz="4" w:space="0"/>
                    <w:left w:val="nil"/>
                    <w:bottom w:val="single" w:color="auto" w:sz="4" w:space="0"/>
                    <w:right w:val="single" w:color="auto" w:sz="4" w:space="0"/>
                  </w:tcBorders>
                  <w:noWrap w:val="0"/>
                  <w:vAlign w:val="center"/>
                </w:tcPr>
                <w:p w14:paraId="643CD9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605" w:type="pct"/>
                  <w:vMerge w:val="continue"/>
                  <w:tcBorders>
                    <w:top w:val="single" w:color="auto" w:sz="4" w:space="0"/>
                    <w:left w:val="single" w:color="auto" w:sz="4" w:space="0"/>
                    <w:bottom w:val="single" w:color="auto" w:sz="4" w:space="0"/>
                    <w:right w:val="single" w:color="auto" w:sz="4" w:space="0"/>
                  </w:tcBorders>
                  <w:noWrap w:val="0"/>
                  <w:vAlign w:val="center"/>
                </w:tcPr>
                <w:p w14:paraId="15D42F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478" w:type="pct"/>
                  <w:tcBorders>
                    <w:top w:val="single" w:color="auto" w:sz="4" w:space="0"/>
                    <w:left w:val="single" w:color="auto" w:sz="4" w:space="0"/>
                    <w:bottom w:val="single" w:color="auto" w:sz="4" w:space="0"/>
                    <w:right w:val="single" w:color="auto" w:sz="4" w:space="0"/>
                  </w:tcBorders>
                  <w:noWrap w:val="0"/>
                  <w:vAlign w:val="center"/>
                </w:tcPr>
                <w:p w14:paraId="470F2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w:t>
                  </w:r>
                  <w:r>
                    <w:rPr>
                      <w:rFonts w:hint="default" w:ascii="Times New Roman" w:hAnsi="Times New Roman" w:eastAsia="宋体" w:cs="Times New Roman"/>
                      <w:i w:val="0"/>
                      <w:iCs w:val="0"/>
                      <w:color w:val="auto"/>
                      <w:kern w:val="0"/>
                      <w:sz w:val="21"/>
                      <w:szCs w:val="21"/>
                      <w:highlight w:val="none"/>
                      <w:u w:val="none"/>
                      <w:lang w:val="en-US" w:eastAsia="zh-CN" w:bidi="ar"/>
                    </w:rPr>
                    <w:t>mm</w:t>
                  </w:r>
                </w:p>
              </w:tc>
              <w:tc>
                <w:tcPr>
                  <w:tcW w:w="735" w:type="pct"/>
                  <w:tcBorders>
                    <w:top w:val="single" w:color="auto" w:sz="4" w:space="0"/>
                    <w:left w:val="single" w:color="auto" w:sz="4" w:space="0"/>
                    <w:bottom w:val="single" w:color="auto" w:sz="4" w:space="0"/>
                    <w:right w:val="single" w:color="auto" w:sz="4" w:space="0"/>
                  </w:tcBorders>
                  <w:noWrap w:val="0"/>
                  <w:vAlign w:val="center"/>
                </w:tcPr>
                <w:p w14:paraId="165A60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截面积</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4DBC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m/s</w:t>
                  </w:r>
                </w:p>
              </w:tc>
              <w:tc>
                <w:tcPr>
                  <w:tcW w:w="763" w:type="pct"/>
                  <w:vMerge w:val="continue"/>
                  <w:tcBorders>
                    <w:top w:val="single" w:color="auto" w:sz="4" w:space="0"/>
                    <w:left w:val="single" w:color="auto" w:sz="4" w:space="0"/>
                    <w:bottom w:val="single" w:color="auto" w:sz="4" w:space="0"/>
                    <w:right w:val="single" w:color="auto" w:sz="4" w:space="0"/>
                  </w:tcBorders>
                  <w:noWrap w:val="0"/>
                  <w:vAlign w:val="center"/>
                </w:tcPr>
                <w:p w14:paraId="6CB0E0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67" w:type="pct"/>
                  <w:vMerge w:val="continue"/>
                  <w:tcBorders>
                    <w:top w:val="single" w:color="auto" w:sz="4" w:space="0"/>
                    <w:left w:val="single" w:color="auto" w:sz="4" w:space="0"/>
                    <w:bottom w:val="single" w:color="auto" w:sz="4" w:space="0"/>
                    <w:right w:val="nil"/>
                  </w:tcBorders>
                  <w:noWrap/>
                  <w:vAlign w:val="center"/>
                </w:tcPr>
                <w:p w14:paraId="675914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02F5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08" w:type="pct"/>
                  <w:tcBorders>
                    <w:top w:val="single" w:color="auto" w:sz="4" w:space="0"/>
                    <w:left w:val="nil"/>
                    <w:bottom w:val="single" w:color="auto" w:sz="8" w:space="0"/>
                    <w:right w:val="single" w:color="auto" w:sz="4" w:space="0"/>
                  </w:tcBorders>
                  <w:noWrap w:val="0"/>
                  <w:vAlign w:val="center"/>
                </w:tcPr>
                <w:p w14:paraId="2CCD40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固化</w:t>
                  </w:r>
                </w:p>
              </w:tc>
              <w:tc>
                <w:tcPr>
                  <w:tcW w:w="605" w:type="pct"/>
                  <w:tcBorders>
                    <w:top w:val="single" w:color="auto" w:sz="4" w:space="0"/>
                    <w:left w:val="single" w:color="auto" w:sz="4" w:space="0"/>
                    <w:bottom w:val="single" w:color="auto" w:sz="8" w:space="0"/>
                    <w:right w:val="single" w:color="auto" w:sz="4" w:space="0"/>
                  </w:tcBorders>
                  <w:noWrap/>
                  <w:vAlign w:val="center"/>
                </w:tcPr>
                <w:p w14:paraId="1547B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2</w:t>
                  </w:r>
                </w:p>
              </w:tc>
              <w:tc>
                <w:tcPr>
                  <w:tcW w:w="478" w:type="pct"/>
                  <w:tcBorders>
                    <w:top w:val="single" w:color="auto" w:sz="4" w:space="0"/>
                    <w:left w:val="single" w:color="auto" w:sz="4" w:space="0"/>
                    <w:bottom w:val="single" w:color="auto" w:sz="8" w:space="0"/>
                    <w:right w:val="single" w:color="auto" w:sz="4" w:space="0"/>
                  </w:tcBorders>
                  <w:noWrap/>
                  <w:vAlign w:val="center"/>
                </w:tcPr>
                <w:p w14:paraId="4CA4F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300</w:t>
                  </w:r>
                </w:p>
              </w:tc>
              <w:tc>
                <w:tcPr>
                  <w:tcW w:w="735" w:type="pct"/>
                  <w:tcBorders>
                    <w:top w:val="single" w:color="auto" w:sz="4" w:space="0"/>
                    <w:left w:val="single" w:color="auto" w:sz="4" w:space="0"/>
                    <w:bottom w:val="single" w:color="auto" w:sz="8" w:space="0"/>
                    <w:right w:val="single" w:color="auto" w:sz="4" w:space="0"/>
                  </w:tcBorders>
                  <w:noWrap/>
                  <w:vAlign w:val="center"/>
                </w:tcPr>
                <w:p w14:paraId="43730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0.071</w:t>
                  </w:r>
                </w:p>
              </w:tc>
              <w:tc>
                <w:tcPr>
                  <w:tcW w:w="639" w:type="pct"/>
                  <w:tcBorders>
                    <w:top w:val="single" w:color="auto" w:sz="4" w:space="0"/>
                    <w:left w:val="single" w:color="auto" w:sz="4" w:space="0"/>
                    <w:bottom w:val="single" w:color="auto" w:sz="8" w:space="0"/>
                    <w:right w:val="single" w:color="auto" w:sz="4" w:space="0"/>
                  </w:tcBorders>
                  <w:noWrap/>
                  <w:vAlign w:val="center"/>
                </w:tcPr>
                <w:p w14:paraId="6E643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18</w:t>
                  </w:r>
                </w:p>
              </w:tc>
              <w:tc>
                <w:tcPr>
                  <w:tcW w:w="763" w:type="pct"/>
                  <w:tcBorders>
                    <w:top w:val="single" w:color="auto" w:sz="4" w:space="0"/>
                    <w:left w:val="single" w:color="auto" w:sz="4" w:space="0"/>
                    <w:bottom w:val="single" w:color="auto" w:sz="8" w:space="0"/>
                    <w:right w:val="single" w:color="auto" w:sz="4" w:space="0"/>
                  </w:tcBorders>
                  <w:noWrap/>
                  <w:vAlign w:val="center"/>
                </w:tcPr>
                <w:p w14:paraId="24670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45</w:t>
                  </w:r>
                  <w:r>
                    <w:rPr>
                      <w:rFonts w:hint="eastAsia" w:ascii="Times New Roman" w:hAnsi="Times New Roman" w:eastAsia="宋体" w:cs="Times New Roman"/>
                      <w:i w:val="0"/>
                      <w:iCs w:val="0"/>
                      <w:color w:val="auto"/>
                      <w:kern w:val="0"/>
                      <w:sz w:val="21"/>
                      <w:szCs w:val="21"/>
                      <w:highlight w:val="none"/>
                      <w:u w:val="none"/>
                      <w:lang w:val="en-US" w:eastAsia="zh-CN" w:bidi="ar"/>
                    </w:rPr>
                    <w:t>21.6</w:t>
                  </w:r>
                </w:p>
              </w:tc>
              <w:tc>
                <w:tcPr>
                  <w:tcW w:w="867" w:type="pct"/>
                  <w:tcBorders>
                    <w:top w:val="single" w:color="auto" w:sz="4" w:space="0"/>
                    <w:left w:val="single" w:color="auto" w:sz="4" w:space="0"/>
                    <w:bottom w:val="single" w:color="auto" w:sz="8" w:space="0"/>
                    <w:right w:val="nil"/>
                  </w:tcBorders>
                  <w:noWrap/>
                  <w:vAlign w:val="center"/>
                </w:tcPr>
                <w:p w14:paraId="0D6A8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9043.2</w:t>
                  </w:r>
                </w:p>
              </w:tc>
            </w:tr>
          </w:tbl>
          <w:p w14:paraId="03B416DD">
            <w:pPr>
              <w:spacing w:line="360" w:lineRule="auto"/>
              <w:jc w:val="center"/>
              <w:rPr>
                <w:rFonts w:ascii="Times New Roman" w:hAnsi="Times New Roman" w:eastAsia="黑体"/>
                <w:bCs/>
                <w:color w:val="auto"/>
                <w:sz w:val="24"/>
                <w:szCs w:val="24"/>
                <w:highlight w:val="none"/>
              </w:rPr>
            </w:pPr>
            <w:r>
              <w:rPr>
                <w:rFonts w:ascii="Times New Roman" w:hAnsi="Times New Roman" w:eastAsia="黑体"/>
                <w:bCs/>
                <w:color w:val="auto"/>
                <w:sz w:val="24"/>
                <w:szCs w:val="24"/>
                <w:highlight w:val="none"/>
              </w:rPr>
              <w:t>表4-</w:t>
            </w:r>
            <w:r>
              <w:rPr>
                <w:rFonts w:hint="eastAsia" w:ascii="Times New Roman" w:hAnsi="Times New Roman" w:eastAsia="黑体"/>
                <w:bCs/>
                <w:color w:val="auto"/>
                <w:sz w:val="24"/>
                <w:szCs w:val="24"/>
                <w:highlight w:val="none"/>
                <w:lang w:val="en-US" w:eastAsia="zh-CN"/>
              </w:rPr>
              <w:t>2</w:t>
            </w:r>
            <w:r>
              <w:rPr>
                <w:rFonts w:ascii="Times New Roman" w:hAnsi="Times New Roman" w:eastAsia="黑体"/>
                <w:bCs/>
                <w:color w:val="auto"/>
                <w:sz w:val="24"/>
                <w:szCs w:val="24"/>
                <w:highlight w:val="none"/>
              </w:rPr>
              <w:t xml:space="preserve"> 本项目</w:t>
            </w:r>
            <w:r>
              <w:rPr>
                <w:rFonts w:hint="eastAsia" w:ascii="Times New Roman" w:hAnsi="Times New Roman" w:eastAsia="黑体"/>
                <w:bCs/>
                <w:color w:val="auto"/>
                <w:sz w:val="24"/>
                <w:szCs w:val="24"/>
                <w:highlight w:val="none"/>
              </w:rPr>
              <w:t>风量设置情况</w:t>
            </w:r>
            <w:r>
              <w:rPr>
                <w:rFonts w:ascii="Times New Roman" w:hAnsi="Times New Roman" w:eastAsia="黑体"/>
                <w:bCs/>
                <w:color w:val="auto"/>
                <w:sz w:val="24"/>
                <w:szCs w:val="24"/>
                <w:highlight w:val="none"/>
              </w:rPr>
              <w:t>一览表</w:t>
            </w:r>
            <w:r>
              <w:rPr>
                <w:rFonts w:hint="eastAsia" w:ascii="Times New Roman" w:hAnsi="Times New Roman" w:eastAsia="黑体"/>
                <w:bCs/>
                <w:color w:val="auto"/>
                <w:sz w:val="24"/>
                <w:szCs w:val="24"/>
                <w:highlight w:val="none"/>
              </w:rPr>
              <w:t>（单位：</w:t>
            </w:r>
            <w:r>
              <w:rPr>
                <w:rFonts w:hint="eastAsia" w:ascii="Times New Roman" w:hAnsi="Times New Roman"/>
                <w:color w:val="auto"/>
                <w:sz w:val="24"/>
                <w:szCs w:val="24"/>
                <w:highlight w:val="none"/>
              </w:rPr>
              <w:t>m³/h</w:t>
            </w:r>
            <w:r>
              <w:rPr>
                <w:rFonts w:hint="eastAsia" w:ascii="Times New Roman" w:hAnsi="Times New Roman" w:eastAsia="黑体"/>
                <w:bCs/>
                <w:color w:val="auto"/>
                <w:sz w:val="24"/>
                <w:szCs w:val="24"/>
                <w:highlight w:val="none"/>
              </w:rPr>
              <w:t>）</w:t>
            </w:r>
          </w:p>
          <w:tbl>
            <w:tblPr>
              <w:tblStyle w:val="20"/>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99"/>
              <w:gridCol w:w="989"/>
              <w:gridCol w:w="1070"/>
              <w:gridCol w:w="997"/>
              <w:gridCol w:w="757"/>
              <w:gridCol w:w="899"/>
              <w:gridCol w:w="968"/>
              <w:gridCol w:w="758"/>
            </w:tblGrid>
            <w:tr w14:paraId="705C72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9" w:type="dxa"/>
                  <w:noWrap w:val="0"/>
                  <w:vAlign w:val="center"/>
                </w:tcPr>
                <w:p w14:paraId="7E92D3D9">
                  <w:pPr>
                    <w:widowControl/>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废气名称</w:t>
                  </w:r>
                </w:p>
              </w:tc>
              <w:tc>
                <w:tcPr>
                  <w:tcW w:w="989" w:type="dxa"/>
                  <w:noWrap w:val="0"/>
                  <w:vAlign w:val="center"/>
                </w:tcPr>
                <w:p w14:paraId="1609466D">
                  <w:pPr>
                    <w:widowControl/>
                    <w:spacing w:line="276" w:lineRule="auto"/>
                    <w:jc w:val="center"/>
                    <w:textAlignment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计算</w:t>
                  </w:r>
                </w:p>
                <w:p w14:paraId="32E46CCB">
                  <w:pPr>
                    <w:widowControl/>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风量</w:t>
                  </w:r>
                </w:p>
              </w:tc>
              <w:tc>
                <w:tcPr>
                  <w:tcW w:w="1070" w:type="dxa"/>
                  <w:noWrap w:val="0"/>
                  <w:vAlign w:val="center"/>
                </w:tcPr>
                <w:p w14:paraId="28153D26">
                  <w:pPr>
                    <w:widowControl/>
                    <w:spacing w:line="276" w:lineRule="auto"/>
                    <w:jc w:val="center"/>
                    <w:textAlignment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管道长度损失风量</w:t>
                  </w:r>
                </w:p>
              </w:tc>
              <w:tc>
                <w:tcPr>
                  <w:tcW w:w="997" w:type="dxa"/>
                  <w:noWrap w:val="0"/>
                  <w:vAlign w:val="center"/>
                </w:tcPr>
                <w:p w14:paraId="727E0100">
                  <w:pPr>
                    <w:widowControl/>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弯头损失风量</w:t>
                  </w:r>
                </w:p>
              </w:tc>
              <w:tc>
                <w:tcPr>
                  <w:tcW w:w="757" w:type="dxa"/>
                  <w:noWrap w:val="0"/>
                  <w:vAlign w:val="center"/>
                </w:tcPr>
                <w:p w14:paraId="368F1145">
                  <w:pPr>
                    <w:widowControl/>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弯头数量</w:t>
                  </w:r>
                </w:p>
              </w:tc>
              <w:tc>
                <w:tcPr>
                  <w:tcW w:w="899" w:type="dxa"/>
                  <w:noWrap w:val="0"/>
                  <w:vAlign w:val="center"/>
                </w:tcPr>
                <w:p w14:paraId="05C90937">
                  <w:pPr>
                    <w:widowControl/>
                    <w:spacing w:line="276" w:lineRule="auto"/>
                    <w:jc w:val="center"/>
                    <w:textAlignment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风量核算</w:t>
                  </w:r>
                </w:p>
              </w:tc>
              <w:tc>
                <w:tcPr>
                  <w:tcW w:w="968" w:type="dxa"/>
                  <w:noWrap w:val="0"/>
                  <w:vAlign w:val="center"/>
                </w:tcPr>
                <w:p w14:paraId="11C8A97D">
                  <w:pPr>
                    <w:widowControl/>
                    <w:spacing w:line="276" w:lineRule="auto"/>
                    <w:jc w:val="center"/>
                    <w:textAlignment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本项目设置</w:t>
                  </w:r>
                </w:p>
              </w:tc>
              <w:tc>
                <w:tcPr>
                  <w:tcW w:w="758" w:type="dxa"/>
                  <w:noWrap w:val="0"/>
                  <w:vAlign w:val="center"/>
                </w:tcPr>
                <w:p w14:paraId="38C8B04A">
                  <w:pPr>
                    <w:widowControl/>
                    <w:spacing w:line="276" w:lineRule="auto"/>
                    <w:jc w:val="center"/>
                    <w:textAlignment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是否合理</w:t>
                  </w:r>
                </w:p>
              </w:tc>
            </w:tr>
            <w:tr w14:paraId="34F426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9" w:type="dxa"/>
                  <w:noWrap w:val="0"/>
                  <w:vAlign w:val="center"/>
                </w:tcPr>
                <w:p w14:paraId="7119D800">
                  <w:pPr>
                    <w:widowControl/>
                    <w:spacing w:line="276" w:lineRule="auto"/>
                    <w:jc w:val="center"/>
                    <w:textAlignment w:val="center"/>
                    <w:rPr>
                      <w:rFonts w:ascii="Times New Roman" w:hAnsi="Times New Roman"/>
                      <w:color w:val="auto"/>
                      <w:sz w:val="21"/>
                      <w:szCs w:val="21"/>
                      <w:highlight w:val="none"/>
                    </w:rPr>
                  </w:pPr>
                  <w:r>
                    <w:rPr>
                      <w:rFonts w:hint="eastAsia" w:ascii="Times New Roman" w:hAnsi="宋体"/>
                      <w:bCs/>
                      <w:color w:val="auto"/>
                      <w:sz w:val="21"/>
                      <w:szCs w:val="21"/>
                      <w:highlight w:val="none"/>
                      <w:lang w:val="en-US" w:eastAsia="zh-CN"/>
                    </w:rPr>
                    <w:t>丝印废气</w:t>
                  </w:r>
                  <w:r>
                    <w:rPr>
                      <w:rFonts w:hint="eastAsia" w:ascii="Times New Roman" w:hAnsi="宋体"/>
                      <w:bCs/>
                      <w:color w:val="auto"/>
                      <w:sz w:val="21"/>
                      <w:szCs w:val="21"/>
                      <w:highlight w:val="none"/>
                    </w:rPr>
                    <w:t>G1</w:t>
                  </w:r>
                </w:p>
              </w:tc>
              <w:tc>
                <w:tcPr>
                  <w:tcW w:w="989" w:type="dxa"/>
                  <w:noWrap w:val="0"/>
                  <w:vAlign w:val="center"/>
                </w:tcPr>
                <w:p w14:paraId="10E621FB">
                  <w:pPr>
                    <w:widowControl/>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10080</w:t>
                  </w:r>
                </w:p>
              </w:tc>
              <w:tc>
                <w:tcPr>
                  <w:tcW w:w="1070" w:type="dxa"/>
                  <w:vMerge w:val="restart"/>
                  <w:noWrap w:val="0"/>
                  <w:vAlign w:val="center"/>
                </w:tcPr>
                <w:p w14:paraId="74A3CF5F">
                  <w:pPr>
                    <w:widowControl/>
                    <w:spacing w:line="276" w:lineRule="auto"/>
                    <w:jc w:val="center"/>
                    <w:textAlignment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20</w:t>
                  </w:r>
                </w:p>
              </w:tc>
              <w:tc>
                <w:tcPr>
                  <w:tcW w:w="997" w:type="dxa"/>
                  <w:vMerge w:val="restart"/>
                  <w:noWrap w:val="0"/>
                  <w:vAlign w:val="center"/>
                </w:tcPr>
                <w:p w14:paraId="3ABEA44C">
                  <w:pPr>
                    <w:widowControl/>
                    <w:spacing w:line="276" w:lineRule="auto"/>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40</w:t>
                  </w:r>
                </w:p>
              </w:tc>
              <w:tc>
                <w:tcPr>
                  <w:tcW w:w="757" w:type="dxa"/>
                  <w:vMerge w:val="restart"/>
                  <w:noWrap w:val="0"/>
                  <w:vAlign w:val="center"/>
                </w:tcPr>
                <w:p w14:paraId="317B08C0">
                  <w:pPr>
                    <w:widowControl/>
                    <w:spacing w:line="276" w:lineRule="auto"/>
                    <w:jc w:val="center"/>
                    <w:textAlignment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8</w:t>
                  </w:r>
                </w:p>
              </w:tc>
              <w:tc>
                <w:tcPr>
                  <w:tcW w:w="899" w:type="dxa"/>
                  <w:vMerge w:val="restart"/>
                  <w:noWrap w:val="0"/>
                  <w:vAlign w:val="center"/>
                </w:tcPr>
                <w:p w14:paraId="6979B061">
                  <w:pPr>
                    <w:widowControl/>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19463.2</w:t>
                  </w:r>
                </w:p>
              </w:tc>
              <w:tc>
                <w:tcPr>
                  <w:tcW w:w="968" w:type="dxa"/>
                  <w:vMerge w:val="restart"/>
                  <w:noWrap w:val="0"/>
                  <w:vAlign w:val="center"/>
                </w:tcPr>
                <w:p w14:paraId="0E7C2F9F">
                  <w:pPr>
                    <w:widowControl/>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20000</w:t>
                  </w:r>
                </w:p>
              </w:tc>
              <w:tc>
                <w:tcPr>
                  <w:tcW w:w="758" w:type="dxa"/>
                  <w:vMerge w:val="restart"/>
                  <w:noWrap w:val="0"/>
                  <w:vAlign w:val="center"/>
                </w:tcPr>
                <w:p w14:paraId="22720845">
                  <w:pPr>
                    <w:widowControl/>
                    <w:spacing w:line="276" w:lineRule="auto"/>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是</w:t>
                  </w:r>
                </w:p>
              </w:tc>
            </w:tr>
            <w:tr w14:paraId="2DE68F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99" w:type="dxa"/>
                  <w:noWrap w:val="0"/>
                  <w:vAlign w:val="center"/>
                </w:tcPr>
                <w:p w14:paraId="6A0D014C">
                  <w:pPr>
                    <w:widowControl/>
                    <w:spacing w:line="276" w:lineRule="auto"/>
                    <w:jc w:val="center"/>
                    <w:textAlignment w:val="center"/>
                    <w:rPr>
                      <w:rFonts w:ascii="Times New Roman" w:hAnsi="Times New Roman"/>
                      <w:color w:val="auto"/>
                      <w:sz w:val="21"/>
                      <w:szCs w:val="21"/>
                      <w:highlight w:val="none"/>
                    </w:rPr>
                  </w:pPr>
                  <w:r>
                    <w:rPr>
                      <w:rFonts w:hint="eastAsia" w:ascii="Times New Roman" w:hAnsi="宋体"/>
                      <w:bCs/>
                      <w:color w:val="auto"/>
                      <w:sz w:val="21"/>
                      <w:szCs w:val="21"/>
                      <w:highlight w:val="none"/>
                      <w:lang w:val="en-US" w:eastAsia="zh-CN"/>
                    </w:rPr>
                    <w:t>固化废气</w:t>
                  </w:r>
                  <w:r>
                    <w:rPr>
                      <w:rFonts w:hint="eastAsia" w:ascii="Times New Roman" w:hAnsi="宋体"/>
                      <w:bCs/>
                      <w:color w:val="auto"/>
                      <w:sz w:val="21"/>
                      <w:szCs w:val="21"/>
                      <w:highlight w:val="none"/>
                    </w:rPr>
                    <w:t>G2</w:t>
                  </w:r>
                </w:p>
              </w:tc>
              <w:tc>
                <w:tcPr>
                  <w:tcW w:w="989" w:type="dxa"/>
                  <w:noWrap w:val="0"/>
                  <w:vAlign w:val="center"/>
                </w:tcPr>
                <w:p w14:paraId="51CF7C4D">
                  <w:pPr>
                    <w:widowControl/>
                    <w:spacing w:line="276" w:lineRule="auto"/>
                    <w:jc w:val="center"/>
                    <w:textAlignment w:val="center"/>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9043.2</w:t>
                  </w:r>
                </w:p>
              </w:tc>
              <w:tc>
                <w:tcPr>
                  <w:tcW w:w="1070" w:type="dxa"/>
                  <w:vMerge w:val="continue"/>
                  <w:noWrap w:val="0"/>
                  <w:vAlign w:val="center"/>
                </w:tcPr>
                <w:p w14:paraId="657EFFF0">
                  <w:pPr>
                    <w:widowControl/>
                    <w:spacing w:line="276" w:lineRule="auto"/>
                    <w:jc w:val="center"/>
                    <w:textAlignment w:val="center"/>
                    <w:rPr>
                      <w:rFonts w:ascii="Times New Roman" w:hAnsi="Times New Roman"/>
                      <w:color w:val="auto"/>
                      <w:kern w:val="0"/>
                      <w:sz w:val="21"/>
                      <w:szCs w:val="21"/>
                      <w:highlight w:val="none"/>
                    </w:rPr>
                  </w:pPr>
                </w:p>
              </w:tc>
              <w:tc>
                <w:tcPr>
                  <w:tcW w:w="997" w:type="dxa"/>
                  <w:vMerge w:val="continue"/>
                  <w:noWrap w:val="0"/>
                  <w:vAlign w:val="center"/>
                </w:tcPr>
                <w:p w14:paraId="0B4C2A44">
                  <w:pPr>
                    <w:widowControl/>
                    <w:spacing w:line="276" w:lineRule="auto"/>
                    <w:jc w:val="center"/>
                    <w:textAlignment w:val="center"/>
                    <w:rPr>
                      <w:rFonts w:ascii="Times New Roman" w:hAnsi="Times New Roman"/>
                      <w:color w:val="auto"/>
                      <w:sz w:val="21"/>
                      <w:szCs w:val="21"/>
                      <w:highlight w:val="none"/>
                    </w:rPr>
                  </w:pPr>
                </w:p>
              </w:tc>
              <w:tc>
                <w:tcPr>
                  <w:tcW w:w="757" w:type="dxa"/>
                  <w:vMerge w:val="continue"/>
                  <w:noWrap w:val="0"/>
                  <w:vAlign w:val="center"/>
                </w:tcPr>
                <w:p w14:paraId="2EBB4741">
                  <w:pPr>
                    <w:widowControl/>
                    <w:spacing w:line="276" w:lineRule="auto"/>
                    <w:jc w:val="center"/>
                    <w:textAlignment w:val="center"/>
                    <w:rPr>
                      <w:rFonts w:hint="eastAsia" w:ascii="Times New Roman" w:hAnsi="Times New Roman"/>
                      <w:color w:val="auto"/>
                      <w:sz w:val="21"/>
                      <w:szCs w:val="21"/>
                      <w:highlight w:val="none"/>
                      <w:lang w:val="en-US" w:eastAsia="zh-CN"/>
                    </w:rPr>
                  </w:pPr>
                </w:p>
              </w:tc>
              <w:tc>
                <w:tcPr>
                  <w:tcW w:w="899" w:type="dxa"/>
                  <w:vMerge w:val="continue"/>
                  <w:noWrap w:val="0"/>
                  <w:vAlign w:val="center"/>
                </w:tcPr>
                <w:p w14:paraId="54E7B16E">
                  <w:pPr>
                    <w:widowControl/>
                    <w:spacing w:line="276" w:lineRule="auto"/>
                    <w:jc w:val="center"/>
                    <w:textAlignment w:val="center"/>
                    <w:rPr>
                      <w:rFonts w:ascii="Times New Roman" w:hAnsi="Times New Roman"/>
                      <w:color w:val="auto"/>
                      <w:sz w:val="21"/>
                      <w:szCs w:val="21"/>
                      <w:highlight w:val="none"/>
                    </w:rPr>
                  </w:pPr>
                </w:p>
              </w:tc>
              <w:tc>
                <w:tcPr>
                  <w:tcW w:w="968" w:type="dxa"/>
                  <w:vMerge w:val="continue"/>
                  <w:noWrap w:val="0"/>
                  <w:vAlign w:val="center"/>
                </w:tcPr>
                <w:p w14:paraId="45284658">
                  <w:pPr>
                    <w:widowControl/>
                    <w:spacing w:line="276" w:lineRule="auto"/>
                    <w:jc w:val="center"/>
                    <w:textAlignment w:val="center"/>
                    <w:rPr>
                      <w:rFonts w:hint="eastAsia" w:ascii="Times New Roman" w:hAnsi="Times New Roman"/>
                      <w:color w:val="auto"/>
                      <w:sz w:val="21"/>
                      <w:szCs w:val="21"/>
                      <w:highlight w:val="none"/>
                      <w:lang w:val="en-US" w:eastAsia="zh-CN"/>
                    </w:rPr>
                  </w:pPr>
                </w:p>
              </w:tc>
              <w:tc>
                <w:tcPr>
                  <w:tcW w:w="758" w:type="dxa"/>
                  <w:vMerge w:val="continue"/>
                  <w:noWrap w:val="0"/>
                  <w:vAlign w:val="center"/>
                </w:tcPr>
                <w:p w14:paraId="7CA4A635">
                  <w:pPr>
                    <w:widowControl/>
                    <w:spacing w:line="276" w:lineRule="auto"/>
                    <w:jc w:val="center"/>
                    <w:textAlignment w:val="center"/>
                    <w:rPr>
                      <w:rFonts w:ascii="Times New Roman" w:hAnsi="Times New Roman"/>
                      <w:color w:val="auto"/>
                      <w:sz w:val="21"/>
                      <w:szCs w:val="21"/>
                      <w:highlight w:val="none"/>
                    </w:rPr>
                  </w:pPr>
                </w:p>
              </w:tc>
            </w:tr>
          </w:tbl>
          <w:p w14:paraId="217F0413">
            <w:pPr>
              <w:tabs>
                <w:tab w:val="left" w:pos="2679"/>
              </w:tabs>
              <w:ind w:firstLine="480"/>
              <w:rPr>
                <w:rFonts w:ascii="Times New Roman" w:hAnsi="Times New Roman"/>
                <w:color w:val="auto"/>
                <w:szCs w:val="21"/>
                <w:highlight w:val="none"/>
              </w:rPr>
            </w:pPr>
          </w:p>
        </w:tc>
      </w:tr>
    </w:tbl>
    <w:p w14:paraId="3467840E">
      <w:pPr>
        <w:ind w:firstLine="480"/>
        <w:rPr>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2E88652A">
      <w:pPr>
        <w:ind w:firstLine="480"/>
        <w:rPr>
          <w:color w:val="auto"/>
          <w:highlight w:val="none"/>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8"/>
      </w:tblGrid>
      <w:tr w14:paraId="2315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4D031EBF">
            <w:pPr>
              <w:spacing w:line="360" w:lineRule="auto"/>
              <w:ind w:firstLine="420" w:firstLineChars="200"/>
              <w:rPr>
                <w:rFonts w:ascii="Times New Roman"/>
                <w:bCs/>
                <w:color w:val="auto"/>
                <w:sz w:val="24"/>
                <w:szCs w:val="28"/>
                <w:highlight w:val="none"/>
              </w:rPr>
            </w:pPr>
            <w:r>
              <w:rPr>
                <w:rFonts w:hint="eastAsia"/>
                <w:color w:val="auto"/>
                <w:highlight w:val="none"/>
              </w:rPr>
              <w:tab/>
            </w:r>
            <w:r>
              <w:rPr>
                <w:rFonts w:ascii="Times New Roman"/>
                <w:bCs/>
                <w:color w:val="auto"/>
                <w:sz w:val="24"/>
                <w:szCs w:val="28"/>
                <w:highlight w:val="none"/>
              </w:rPr>
              <w:t>本项目</w:t>
            </w:r>
            <w:r>
              <w:rPr>
                <w:rFonts w:hint="eastAsia" w:ascii="Times New Roman"/>
                <w:bCs/>
                <w:color w:val="auto"/>
                <w:sz w:val="24"/>
                <w:szCs w:val="28"/>
                <w:highlight w:val="none"/>
              </w:rPr>
              <w:t>有</w:t>
            </w:r>
            <w:r>
              <w:rPr>
                <w:rFonts w:ascii="Times New Roman"/>
                <w:bCs/>
                <w:color w:val="auto"/>
                <w:sz w:val="24"/>
                <w:szCs w:val="28"/>
                <w:highlight w:val="none"/>
              </w:rPr>
              <w:t>组织废气排放情况见下表：</w:t>
            </w:r>
          </w:p>
          <w:p w14:paraId="44F3A060">
            <w:pPr>
              <w:pStyle w:val="61"/>
              <w:adjustRightInd/>
              <w:spacing w:line="360" w:lineRule="auto"/>
              <w:ind w:left="0" w:right="0" w:firstLine="480"/>
              <w:jc w:val="center"/>
              <w:rPr>
                <w:rFonts w:hAnsi="Calibri" w:eastAsia="黑体"/>
                <w:bCs/>
                <w:color w:val="auto"/>
                <w:kern w:val="2"/>
                <w:szCs w:val="22"/>
                <w:highlight w:val="none"/>
                <w:lang w:val="en-US" w:eastAsia="zh-CN"/>
              </w:rPr>
            </w:pPr>
            <w:r>
              <w:rPr>
                <w:rFonts w:hAnsi="Calibri" w:eastAsia="黑体"/>
                <w:bCs/>
                <w:color w:val="auto"/>
                <w:kern w:val="2"/>
                <w:szCs w:val="22"/>
                <w:highlight w:val="none"/>
                <w:lang w:val="en-US" w:eastAsia="zh-CN"/>
              </w:rPr>
              <w:t>表</w:t>
            </w:r>
            <w:r>
              <w:rPr>
                <w:rFonts w:eastAsia="黑体"/>
                <w:bCs/>
                <w:color w:val="auto"/>
                <w:kern w:val="2"/>
                <w:szCs w:val="22"/>
                <w:highlight w:val="none"/>
                <w:lang w:val="en-US" w:eastAsia="zh-CN"/>
              </w:rPr>
              <w:t>4-</w:t>
            </w:r>
            <w:r>
              <w:rPr>
                <w:rFonts w:hint="eastAsia" w:eastAsia="黑体"/>
                <w:bCs/>
                <w:color w:val="auto"/>
                <w:kern w:val="2"/>
                <w:szCs w:val="22"/>
                <w:highlight w:val="none"/>
                <w:lang w:val="en-US" w:eastAsia="zh-CN"/>
              </w:rPr>
              <w:t>3</w:t>
            </w:r>
            <w:r>
              <w:rPr>
                <w:rFonts w:eastAsia="黑体"/>
                <w:bCs/>
                <w:color w:val="auto"/>
                <w:kern w:val="2"/>
                <w:szCs w:val="22"/>
                <w:highlight w:val="none"/>
                <w:lang w:val="en-US" w:eastAsia="zh-CN"/>
              </w:rPr>
              <w:t xml:space="preserve">  项目</w:t>
            </w:r>
            <w:r>
              <w:rPr>
                <w:rFonts w:hint="eastAsia" w:hAnsi="Calibri" w:eastAsia="黑体"/>
                <w:bCs/>
                <w:color w:val="auto"/>
                <w:kern w:val="2"/>
                <w:szCs w:val="22"/>
                <w:highlight w:val="none"/>
                <w:lang w:val="en-US" w:eastAsia="zh-CN"/>
              </w:rPr>
              <w:t>有</w:t>
            </w:r>
            <w:r>
              <w:rPr>
                <w:rFonts w:hAnsi="Calibri" w:eastAsia="黑体"/>
                <w:bCs/>
                <w:color w:val="auto"/>
                <w:kern w:val="2"/>
                <w:szCs w:val="22"/>
                <w:highlight w:val="none"/>
                <w:lang w:val="en-US" w:eastAsia="zh-CN"/>
              </w:rPr>
              <w:t>组织废气</w:t>
            </w:r>
            <w:r>
              <w:rPr>
                <w:rFonts w:hint="eastAsia" w:hAnsi="Calibri" w:eastAsia="黑体"/>
                <w:bCs/>
                <w:color w:val="auto"/>
                <w:kern w:val="2"/>
                <w:szCs w:val="22"/>
                <w:highlight w:val="none"/>
                <w:lang w:val="en-US" w:eastAsia="zh-CN"/>
              </w:rPr>
              <w:t>产生</w:t>
            </w:r>
            <w:r>
              <w:rPr>
                <w:rFonts w:hAnsi="Calibri" w:eastAsia="黑体"/>
                <w:bCs/>
                <w:color w:val="auto"/>
                <w:kern w:val="2"/>
                <w:szCs w:val="22"/>
                <w:highlight w:val="none"/>
                <w:lang w:val="en-US" w:eastAsia="zh-CN"/>
              </w:rPr>
              <w:t>和排放情况表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94"/>
              <w:gridCol w:w="675"/>
              <w:gridCol w:w="656"/>
              <w:gridCol w:w="787"/>
              <w:gridCol w:w="650"/>
              <w:gridCol w:w="540"/>
              <w:gridCol w:w="634"/>
              <w:gridCol w:w="757"/>
              <w:gridCol w:w="603"/>
              <w:gridCol w:w="684"/>
              <w:gridCol w:w="740"/>
              <w:gridCol w:w="796"/>
              <w:gridCol w:w="612"/>
              <w:gridCol w:w="693"/>
              <w:gridCol w:w="796"/>
              <w:gridCol w:w="832"/>
              <w:gridCol w:w="425"/>
              <w:gridCol w:w="478"/>
              <w:gridCol w:w="651"/>
              <w:gridCol w:w="433"/>
            </w:tblGrid>
            <w:tr w14:paraId="6B9DC1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2" w:type="pct"/>
                  <w:vMerge w:val="restart"/>
                  <w:noWrap/>
                  <w:vAlign w:val="center"/>
                </w:tcPr>
                <w:p w14:paraId="687357AC">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生产线名称</w:t>
                  </w:r>
                </w:p>
              </w:tc>
              <w:tc>
                <w:tcPr>
                  <w:tcW w:w="248" w:type="pct"/>
                  <w:vMerge w:val="restart"/>
                  <w:noWrap w:val="0"/>
                  <w:vAlign w:val="center"/>
                </w:tcPr>
                <w:p w14:paraId="73A62F29">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废气工序</w:t>
                  </w:r>
                </w:p>
              </w:tc>
              <w:tc>
                <w:tcPr>
                  <w:tcW w:w="241" w:type="pct"/>
                  <w:vMerge w:val="restart"/>
                  <w:noWrap w:val="0"/>
                  <w:vAlign w:val="center"/>
                </w:tcPr>
                <w:p w14:paraId="7D245F8E">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废气名称</w:t>
                  </w:r>
                </w:p>
              </w:tc>
              <w:tc>
                <w:tcPr>
                  <w:tcW w:w="235" w:type="pct"/>
                  <w:vMerge w:val="restart"/>
                  <w:noWrap w:val="0"/>
                  <w:vAlign w:val="center"/>
                </w:tcPr>
                <w:p w14:paraId="0BB675A1">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污染物</w:t>
                  </w:r>
                </w:p>
              </w:tc>
              <w:tc>
                <w:tcPr>
                  <w:tcW w:w="708" w:type="pct"/>
                  <w:gridSpan w:val="3"/>
                  <w:noWrap w:val="0"/>
                  <w:vAlign w:val="center"/>
                </w:tcPr>
                <w:p w14:paraId="6F68E920">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污染物产生</w:t>
                  </w:r>
                </w:p>
              </w:tc>
              <w:tc>
                <w:tcPr>
                  <w:tcW w:w="498" w:type="pct"/>
                  <w:gridSpan w:val="2"/>
                  <w:noWrap w:val="0"/>
                  <w:vAlign w:val="center"/>
                </w:tcPr>
                <w:p w14:paraId="493D3A4F">
                  <w:pPr>
                    <w:widowControl/>
                    <w:adjustRightInd w:val="0"/>
                    <w:snapToGrid w:val="0"/>
                    <w:spacing w:line="276" w:lineRule="auto"/>
                    <w:jc w:val="center"/>
                    <w:textAlignment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污染物</w:t>
                  </w:r>
                </w:p>
                <w:p w14:paraId="69BCDBE9">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收集</w:t>
                  </w:r>
                </w:p>
              </w:tc>
              <w:tc>
                <w:tcPr>
                  <w:tcW w:w="1479" w:type="pct"/>
                  <w:gridSpan w:val="6"/>
                  <w:tcBorders>
                    <w:right w:val="single" w:color="auto" w:sz="4" w:space="0"/>
                  </w:tcBorders>
                  <w:noWrap w:val="0"/>
                  <w:vAlign w:val="center"/>
                </w:tcPr>
                <w:p w14:paraId="2E015068">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污染物排放</w:t>
                  </w:r>
                </w:p>
              </w:tc>
              <w:tc>
                <w:tcPr>
                  <w:tcW w:w="285" w:type="pct"/>
                  <w:vMerge w:val="restart"/>
                  <w:tcBorders>
                    <w:left w:val="single" w:color="auto" w:sz="4" w:space="0"/>
                    <w:right w:val="single" w:color="auto" w:sz="4" w:space="0"/>
                  </w:tcBorders>
                  <w:noWrap w:val="0"/>
                  <w:vAlign w:val="center"/>
                </w:tcPr>
                <w:p w14:paraId="0197091C">
                  <w:pPr>
                    <w:widowControl/>
                    <w:adjustRightInd w:val="0"/>
                    <w:snapToGrid w:val="0"/>
                    <w:spacing w:line="276" w:lineRule="auto"/>
                    <w:jc w:val="center"/>
                    <w:textAlignment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排放浓度限值</w:t>
                  </w:r>
                  <w:r>
                    <w:rPr>
                      <w:rFonts w:ascii="Times New Roman" w:hAnsi="Times New Roman"/>
                      <w:b/>
                      <w:bCs/>
                      <w:color w:val="auto"/>
                      <w:kern w:val="0"/>
                      <w:szCs w:val="21"/>
                      <w:highlight w:val="none"/>
                    </w:rPr>
                    <w:t>mg/m</w:t>
                  </w:r>
                  <w:r>
                    <w:rPr>
                      <w:rFonts w:ascii="Times New Roman" w:hAnsi="Times New Roman"/>
                      <w:b/>
                      <w:bCs/>
                      <w:color w:val="auto"/>
                      <w:kern w:val="0"/>
                      <w:szCs w:val="21"/>
                      <w:highlight w:val="none"/>
                      <w:vertAlign w:val="superscript"/>
                    </w:rPr>
                    <w:t>3</w:t>
                  </w:r>
                </w:p>
              </w:tc>
              <w:tc>
                <w:tcPr>
                  <w:tcW w:w="1010" w:type="pct"/>
                  <w:gridSpan w:val="5"/>
                  <w:tcBorders>
                    <w:left w:val="single" w:color="auto" w:sz="4" w:space="0"/>
                  </w:tcBorders>
                  <w:noWrap w:val="0"/>
                  <w:vAlign w:val="center"/>
                </w:tcPr>
                <w:p w14:paraId="00F9D0AC">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排放特征</w:t>
                  </w:r>
                </w:p>
              </w:tc>
            </w:tr>
            <w:tr w14:paraId="3E23B7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92" w:type="pct"/>
                  <w:vMerge w:val="continue"/>
                  <w:noWrap/>
                  <w:vAlign w:val="center"/>
                </w:tcPr>
                <w:p w14:paraId="12112CA6">
                  <w:pPr>
                    <w:widowControl/>
                    <w:adjustRightInd w:val="0"/>
                    <w:snapToGrid w:val="0"/>
                    <w:spacing w:line="276" w:lineRule="auto"/>
                    <w:ind w:firstLine="361"/>
                    <w:jc w:val="center"/>
                    <w:rPr>
                      <w:rFonts w:ascii="宋体" w:hAnsi="宋体" w:cs="宋体"/>
                      <w:b/>
                      <w:bCs/>
                      <w:color w:val="auto"/>
                      <w:szCs w:val="21"/>
                      <w:highlight w:val="none"/>
                    </w:rPr>
                  </w:pPr>
                </w:p>
              </w:tc>
              <w:tc>
                <w:tcPr>
                  <w:tcW w:w="248" w:type="pct"/>
                  <w:vMerge w:val="continue"/>
                  <w:noWrap w:val="0"/>
                  <w:vAlign w:val="center"/>
                </w:tcPr>
                <w:p w14:paraId="50488653">
                  <w:pPr>
                    <w:widowControl/>
                    <w:adjustRightInd w:val="0"/>
                    <w:snapToGrid w:val="0"/>
                    <w:spacing w:line="276" w:lineRule="auto"/>
                    <w:ind w:firstLine="361"/>
                    <w:jc w:val="center"/>
                    <w:rPr>
                      <w:rFonts w:ascii="宋体" w:hAnsi="宋体" w:cs="宋体"/>
                      <w:b/>
                      <w:bCs/>
                      <w:color w:val="auto"/>
                      <w:szCs w:val="21"/>
                      <w:highlight w:val="none"/>
                    </w:rPr>
                  </w:pPr>
                </w:p>
              </w:tc>
              <w:tc>
                <w:tcPr>
                  <w:tcW w:w="241" w:type="pct"/>
                  <w:vMerge w:val="continue"/>
                  <w:noWrap w:val="0"/>
                  <w:vAlign w:val="center"/>
                </w:tcPr>
                <w:p w14:paraId="7001C2B9">
                  <w:pPr>
                    <w:widowControl/>
                    <w:adjustRightInd w:val="0"/>
                    <w:snapToGrid w:val="0"/>
                    <w:spacing w:line="276" w:lineRule="auto"/>
                    <w:ind w:firstLine="361"/>
                    <w:jc w:val="center"/>
                    <w:rPr>
                      <w:rFonts w:ascii="宋体" w:hAnsi="宋体" w:cs="宋体"/>
                      <w:b/>
                      <w:bCs/>
                      <w:color w:val="auto"/>
                      <w:szCs w:val="21"/>
                      <w:highlight w:val="none"/>
                    </w:rPr>
                  </w:pPr>
                </w:p>
              </w:tc>
              <w:tc>
                <w:tcPr>
                  <w:tcW w:w="235" w:type="pct"/>
                  <w:vMerge w:val="continue"/>
                  <w:noWrap w:val="0"/>
                  <w:vAlign w:val="center"/>
                </w:tcPr>
                <w:p w14:paraId="2E2D9514">
                  <w:pPr>
                    <w:widowControl/>
                    <w:adjustRightInd w:val="0"/>
                    <w:snapToGrid w:val="0"/>
                    <w:spacing w:line="276" w:lineRule="auto"/>
                    <w:ind w:firstLine="361"/>
                    <w:jc w:val="center"/>
                    <w:rPr>
                      <w:rFonts w:ascii="宋体" w:hAnsi="宋体" w:cs="宋体"/>
                      <w:b/>
                      <w:bCs/>
                      <w:color w:val="auto"/>
                      <w:szCs w:val="21"/>
                      <w:highlight w:val="none"/>
                    </w:rPr>
                  </w:pPr>
                </w:p>
              </w:tc>
              <w:tc>
                <w:tcPr>
                  <w:tcW w:w="282" w:type="pct"/>
                  <w:noWrap w:val="0"/>
                  <w:vAlign w:val="center"/>
                </w:tcPr>
                <w:p w14:paraId="2ACC879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产生浓度</w:t>
                  </w:r>
                  <w:r>
                    <w:rPr>
                      <w:rFonts w:ascii="Times New Roman" w:hAnsi="Times New Roman"/>
                      <w:b/>
                      <w:bCs/>
                      <w:color w:val="auto"/>
                      <w:kern w:val="0"/>
                      <w:szCs w:val="21"/>
                      <w:highlight w:val="none"/>
                    </w:rPr>
                    <w:t>mg/m</w:t>
                  </w:r>
                  <w:r>
                    <w:rPr>
                      <w:rFonts w:ascii="Times New Roman" w:hAnsi="Times New Roman"/>
                      <w:b/>
                      <w:bCs/>
                      <w:color w:val="auto"/>
                      <w:kern w:val="0"/>
                      <w:szCs w:val="21"/>
                      <w:highlight w:val="none"/>
                      <w:vertAlign w:val="superscript"/>
                    </w:rPr>
                    <w:t>3</w:t>
                  </w:r>
                </w:p>
              </w:tc>
              <w:tc>
                <w:tcPr>
                  <w:tcW w:w="232" w:type="pct"/>
                  <w:noWrap w:val="0"/>
                  <w:vAlign w:val="center"/>
                </w:tcPr>
                <w:p w14:paraId="3C8AC6E2">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产生速率</w:t>
                  </w:r>
                  <w:r>
                    <w:rPr>
                      <w:rFonts w:ascii="Times New Roman" w:hAnsi="Times New Roman"/>
                      <w:b/>
                      <w:bCs/>
                      <w:color w:val="auto"/>
                      <w:kern w:val="0"/>
                      <w:szCs w:val="21"/>
                      <w:highlight w:val="none"/>
                    </w:rPr>
                    <w:t>kg/h</w:t>
                  </w:r>
                </w:p>
              </w:tc>
              <w:tc>
                <w:tcPr>
                  <w:tcW w:w="193" w:type="pct"/>
                  <w:noWrap w:val="0"/>
                  <w:vAlign w:val="center"/>
                </w:tcPr>
                <w:p w14:paraId="6C2E52F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产生量</w:t>
                  </w:r>
                  <w:r>
                    <w:rPr>
                      <w:rFonts w:ascii="Times New Roman" w:hAnsi="Times New Roman"/>
                      <w:b/>
                      <w:bCs/>
                      <w:color w:val="auto"/>
                      <w:kern w:val="0"/>
                      <w:szCs w:val="21"/>
                      <w:highlight w:val="none"/>
                    </w:rPr>
                    <w:t>t/a</w:t>
                  </w:r>
                </w:p>
              </w:tc>
              <w:tc>
                <w:tcPr>
                  <w:tcW w:w="227" w:type="pct"/>
                  <w:noWrap w:val="0"/>
                  <w:vAlign w:val="center"/>
                </w:tcPr>
                <w:p w14:paraId="40B6125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收集方式</w:t>
                  </w:r>
                </w:p>
              </w:tc>
              <w:tc>
                <w:tcPr>
                  <w:tcW w:w="271" w:type="pct"/>
                  <w:noWrap w:val="0"/>
                  <w:vAlign w:val="center"/>
                </w:tcPr>
                <w:p w14:paraId="39DC9DD9">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收集效率</w:t>
                  </w:r>
                </w:p>
              </w:tc>
              <w:tc>
                <w:tcPr>
                  <w:tcW w:w="216" w:type="pct"/>
                  <w:tcBorders>
                    <w:right w:val="single" w:color="auto" w:sz="4" w:space="0"/>
                  </w:tcBorders>
                  <w:noWrap w:val="0"/>
                  <w:vAlign w:val="center"/>
                </w:tcPr>
                <w:p w14:paraId="03FEDC22">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治理措施</w:t>
                  </w:r>
                </w:p>
              </w:tc>
              <w:tc>
                <w:tcPr>
                  <w:tcW w:w="245" w:type="pct"/>
                  <w:tcBorders>
                    <w:left w:val="single" w:color="auto" w:sz="4" w:space="0"/>
                    <w:right w:val="single" w:color="auto" w:sz="4" w:space="0"/>
                  </w:tcBorders>
                  <w:noWrap w:val="0"/>
                  <w:vAlign w:val="center"/>
                </w:tcPr>
                <w:p w14:paraId="3E1860B0">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处理效率</w:t>
                  </w:r>
                </w:p>
              </w:tc>
              <w:tc>
                <w:tcPr>
                  <w:tcW w:w="265" w:type="pct"/>
                  <w:tcBorders>
                    <w:left w:val="single" w:color="auto" w:sz="4" w:space="0"/>
                    <w:right w:val="single" w:color="auto" w:sz="4" w:space="0"/>
                  </w:tcBorders>
                  <w:noWrap w:val="0"/>
                  <w:vAlign w:val="center"/>
                </w:tcPr>
                <w:p w14:paraId="4CD0B7BE">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排放废气量</w:t>
                  </w:r>
                  <w:r>
                    <w:rPr>
                      <w:rFonts w:ascii="Times New Roman" w:hAnsi="Times New Roman"/>
                      <w:b/>
                      <w:bCs/>
                      <w:color w:val="auto"/>
                      <w:kern w:val="0"/>
                      <w:szCs w:val="21"/>
                      <w:highlight w:val="none"/>
                    </w:rPr>
                    <w:t>m</w:t>
                  </w:r>
                  <w:r>
                    <w:rPr>
                      <w:rFonts w:ascii="Times New Roman" w:hAnsi="Times New Roman"/>
                      <w:b/>
                      <w:bCs/>
                      <w:color w:val="auto"/>
                      <w:kern w:val="0"/>
                      <w:szCs w:val="21"/>
                      <w:highlight w:val="none"/>
                      <w:vertAlign w:val="superscript"/>
                    </w:rPr>
                    <w:t>3</w:t>
                  </w:r>
                  <w:r>
                    <w:rPr>
                      <w:rFonts w:ascii="Times New Roman" w:hAnsi="Times New Roman"/>
                      <w:b/>
                      <w:bCs/>
                      <w:color w:val="auto"/>
                      <w:kern w:val="0"/>
                      <w:szCs w:val="21"/>
                      <w:highlight w:val="none"/>
                    </w:rPr>
                    <w:t>/h</w:t>
                  </w:r>
                </w:p>
              </w:tc>
              <w:tc>
                <w:tcPr>
                  <w:tcW w:w="285" w:type="pct"/>
                  <w:tcBorders>
                    <w:left w:val="single" w:color="auto" w:sz="4" w:space="0"/>
                    <w:right w:val="single" w:color="auto" w:sz="4" w:space="0"/>
                  </w:tcBorders>
                  <w:noWrap w:val="0"/>
                  <w:vAlign w:val="center"/>
                </w:tcPr>
                <w:p w14:paraId="0D2ED521">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排放浓度</w:t>
                  </w:r>
                  <w:r>
                    <w:rPr>
                      <w:rFonts w:ascii="Times New Roman" w:hAnsi="Times New Roman"/>
                      <w:b/>
                      <w:bCs/>
                      <w:color w:val="auto"/>
                      <w:kern w:val="0"/>
                      <w:szCs w:val="21"/>
                      <w:highlight w:val="none"/>
                    </w:rPr>
                    <w:t>mg/m</w:t>
                  </w:r>
                  <w:r>
                    <w:rPr>
                      <w:rFonts w:ascii="Times New Roman" w:hAnsi="Times New Roman"/>
                      <w:b/>
                      <w:bCs/>
                      <w:color w:val="auto"/>
                      <w:kern w:val="0"/>
                      <w:szCs w:val="21"/>
                      <w:highlight w:val="none"/>
                      <w:vertAlign w:val="superscript"/>
                    </w:rPr>
                    <w:t>3</w:t>
                  </w:r>
                </w:p>
              </w:tc>
              <w:tc>
                <w:tcPr>
                  <w:tcW w:w="219" w:type="pct"/>
                  <w:tcBorders>
                    <w:left w:val="single" w:color="auto" w:sz="4" w:space="0"/>
                    <w:right w:val="single" w:color="auto" w:sz="4" w:space="0"/>
                  </w:tcBorders>
                  <w:noWrap w:val="0"/>
                  <w:vAlign w:val="center"/>
                </w:tcPr>
                <w:p w14:paraId="43D3A042">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排放速率</w:t>
                  </w:r>
                  <w:r>
                    <w:rPr>
                      <w:rFonts w:ascii="Times New Roman" w:hAnsi="Times New Roman"/>
                      <w:b/>
                      <w:bCs/>
                      <w:color w:val="auto"/>
                      <w:kern w:val="0"/>
                      <w:szCs w:val="21"/>
                      <w:highlight w:val="none"/>
                    </w:rPr>
                    <w:t>kg/h</w:t>
                  </w:r>
                </w:p>
              </w:tc>
              <w:tc>
                <w:tcPr>
                  <w:tcW w:w="248" w:type="pct"/>
                  <w:tcBorders>
                    <w:left w:val="single" w:color="auto" w:sz="4" w:space="0"/>
                    <w:right w:val="single" w:color="auto" w:sz="4" w:space="0"/>
                  </w:tcBorders>
                  <w:noWrap w:val="0"/>
                  <w:vAlign w:val="center"/>
                </w:tcPr>
                <w:p w14:paraId="531AC777">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排放量</w:t>
                  </w:r>
                  <w:r>
                    <w:rPr>
                      <w:rFonts w:ascii="Times New Roman" w:hAnsi="Times New Roman"/>
                      <w:b/>
                      <w:bCs/>
                      <w:color w:val="auto"/>
                      <w:kern w:val="0"/>
                      <w:szCs w:val="21"/>
                      <w:highlight w:val="none"/>
                    </w:rPr>
                    <w:t>t/a</w:t>
                  </w:r>
                </w:p>
              </w:tc>
              <w:tc>
                <w:tcPr>
                  <w:tcW w:w="285" w:type="pct"/>
                  <w:vMerge w:val="continue"/>
                  <w:tcBorders>
                    <w:left w:val="single" w:color="auto" w:sz="4" w:space="0"/>
                    <w:right w:val="single" w:color="auto" w:sz="4" w:space="0"/>
                  </w:tcBorders>
                  <w:noWrap w:val="0"/>
                  <w:vAlign w:val="center"/>
                </w:tcPr>
                <w:p w14:paraId="7262F636">
                  <w:pPr>
                    <w:widowControl/>
                    <w:adjustRightInd w:val="0"/>
                    <w:snapToGrid w:val="0"/>
                    <w:spacing w:line="276" w:lineRule="auto"/>
                    <w:ind w:firstLine="361"/>
                    <w:jc w:val="center"/>
                    <w:textAlignment w:val="center"/>
                    <w:rPr>
                      <w:rFonts w:ascii="宋体" w:hAnsi="宋体" w:cs="宋体"/>
                      <w:b/>
                      <w:bCs/>
                      <w:color w:val="auto"/>
                      <w:szCs w:val="21"/>
                      <w:highlight w:val="none"/>
                    </w:rPr>
                  </w:pPr>
                </w:p>
              </w:tc>
              <w:tc>
                <w:tcPr>
                  <w:tcW w:w="298" w:type="pct"/>
                  <w:tcBorders>
                    <w:left w:val="single" w:color="auto" w:sz="4" w:space="0"/>
                    <w:right w:val="single" w:color="auto" w:sz="4" w:space="0"/>
                  </w:tcBorders>
                  <w:noWrap w:val="0"/>
                  <w:vAlign w:val="center"/>
                </w:tcPr>
                <w:p w14:paraId="341E1DE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排气筒编号</w:t>
                  </w:r>
                </w:p>
              </w:tc>
              <w:tc>
                <w:tcPr>
                  <w:tcW w:w="152" w:type="pct"/>
                  <w:tcBorders>
                    <w:left w:val="single" w:color="auto" w:sz="4" w:space="0"/>
                    <w:right w:val="single" w:color="auto" w:sz="4" w:space="0"/>
                  </w:tcBorders>
                  <w:noWrap w:val="0"/>
                  <w:vAlign w:val="center"/>
                </w:tcPr>
                <w:p w14:paraId="2FEC3572">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高度</w:t>
                  </w:r>
                  <w:r>
                    <w:rPr>
                      <w:rFonts w:ascii="Times New Roman" w:hAnsi="Times New Roman"/>
                      <w:b/>
                      <w:bCs/>
                      <w:color w:val="auto"/>
                      <w:kern w:val="0"/>
                      <w:szCs w:val="21"/>
                      <w:highlight w:val="none"/>
                    </w:rPr>
                    <w:t>m</w:t>
                  </w:r>
                </w:p>
              </w:tc>
              <w:tc>
                <w:tcPr>
                  <w:tcW w:w="171" w:type="pct"/>
                  <w:tcBorders>
                    <w:left w:val="single" w:color="auto" w:sz="4" w:space="0"/>
                    <w:right w:val="single" w:color="auto" w:sz="4" w:space="0"/>
                  </w:tcBorders>
                  <w:noWrap w:val="0"/>
                  <w:vAlign w:val="center"/>
                </w:tcPr>
                <w:p w14:paraId="3481D579">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直径</w:t>
                  </w:r>
                  <w:r>
                    <w:rPr>
                      <w:rFonts w:ascii="Times New Roman" w:hAnsi="Times New Roman"/>
                      <w:b/>
                      <w:bCs/>
                      <w:color w:val="auto"/>
                      <w:kern w:val="0"/>
                      <w:szCs w:val="21"/>
                      <w:highlight w:val="none"/>
                    </w:rPr>
                    <w:t>m</w:t>
                  </w:r>
                </w:p>
              </w:tc>
              <w:tc>
                <w:tcPr>
                  <w:tcW w:w="233" w:type="pct"/>
                  <w:tcBorders>
                    <w:left w:val="single" w:color="auto" w:sz="4" w:space="0"/>
                    <w:right w:val="single" w:color="auto" w:sz="4" w:space="0"/>
                  </w:tcBorders>
                  <w:noWrap w:val="0"/>
                  <w:vAlign w:val="center"/>
                </w:tcPr>
                <w:p w14:paraId="66352FD0">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温度</w:t>
                  </w:r>
                  <w:r>
                    <w:rPr>
                      <w:rFonts w:ascii="Times New Roman" w:hAnsi="Times New Roman"/>
                      <w:b/>
                      <w:bCs/>
                      <w:color w:val="auto"/>
                      <w:kern w:val="0"/>
                      <w:szCs w:val="21"/>
                      <w:highlight w:val="none"/>
                    </w:rPr>
                    <w:t>℃</w:t>
                  </w:r>
                </w:p>
              </w:tc>
              <w:tc>
                <w:tcPr>
                  <w:tcW w:w="155" w:type="pct"/>
                  <w:tcBorders>
                    <w:left w:val="single" w:color="auto" w:sz="4" w:space="0"/>
                  </w:tcBorders>
                  <w:noWrap w:val="0"/>
                  <w:vAlign w:val="center"/>
                </w:tcPr>
                <w:p w14:paraId="5C40BD8F">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排放方式</w:t>
                  </w:r>
                </w:p>
              </w:tc>
            </w:tr>
            <w:tr w14:paraId="1E8C1F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292" w:type="pct"/>
                  <w:vMerge w:val="restart"/>
                  <w:noWrap w:val="0"/>
                  <w:vAlign w:val="center"/>
                </w:tcPr>
                <w:p w14:paraId="5747DF97">
                  <w:pPr>
                    <w:widowControl/>
                    <w:adjustRightInd w:val="0"/>
                    <w:snapToGrid w:val="0"/>
                    <w:spacing w:line="276" w:lineRule="auto"/>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rPr>
                    <w:t>光伏玻璃加工生产线</w:t>
                  </w:r>
                </w:p>
              </w:tc>
              <w:tc>
                <w:tcPr>
                  <w:tcW w:w="248" w:type="pct"/>
                  <w:vMerge w:val="restart"/>
                  <w:noWrap w:val="0"/>
                  <w:vAlign w:val="center"/>
                </w:tcPr>
                <w:p w14:paraId="29A51DA0">
                  <w:pPr>
                    <w:widowControl/>
                    <w:adjustRightInd w:val="0"/>
                    <w:snapToGrid w:val="0"/>
                    <w:spacing w:line="276" w:lineRule="auto"/>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丝印、固化</w:t>
                  </w:r>
                </w:p>
              </w:tc>
              <w:tc>
                <w:tcPr>
                  <w:tcW w:w="241" w:type="pct"/>
                  <w:vMerge w:val="restart"/>
                  <w:noWrap w:val="0"/>
                  <w:vAlign w:val="center"/>
                </w:tcPr>
                <w:p w14:paraId="3C517060">
                  <w:pPr>
                    <w:widowControl/>
                    <w:adjustRightInd w:val="0"/>
                    <w:snapToGrid w:val="0"/>
                    <w:spacing w:line="276" w:lineRule="auto"/>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丝印废气、固化废气</w:t>
                  </w:r>
                </w:p>
              </w:tc>
              <w:tc>
                <w:tcPr>
                  <w:tcW w:w="235" w:type="pct"/>
                  <w:vMerge w:val="restart"/>
                  <w:noWrap w:val="0"/>
                  <w:vAlign w:val="center"/>
                </w:tcPr>
                <w:p w14:paraId="0DFB3F67">
                  <w:pPr>
                    <w:widowControl/>
                    <w:adjustRightInd w:val="0"/>
                    <w:snapToGrid w:val="0"/>
                    <w:spacing w:line="276"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rPr>
                    <w:t>非甲烷总烃</w:t>
                  </w:r>
                </w:p>
              </w:tc>
              <w:tc>
                <w:tcPr>
                  <w:tcW w:w="787" w:type="dxa"/>
                  <w:noWrap/>
                  <w:vAlign w:val="center"/>
                </w:tcPr>
                <w:p w14:paraId="085F3C89">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7.81 </w:t>
                  </w:r>
                </w:p>
              </w:tc>
              <w:tc>
                <w:tcPr>
                  <w:tcW w:w="650" w:type="dxa"/>
                  <w:noWrap w:val="0"/>
                  <w:vAlign w:val="center"/>
                </w:tcPr>
                <w:p w14:paraId="6A0E4ADE">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cs="Times New Roman"/>
                      <w:i w:val="0"/>
                      <w:iCs w:val="0"/>
                      <w:color w:val="auto"/>
                      <w:kern w:val="0"/>
                      <w:sz w:val="21"/>
                      <w:szCs w:val="21"/>
                      <w:highlight w:val="none"/>
                      <w:u w:val="none"/>
                      <w:lang w:val="en-US" w:eastAsia="zh-CN" w:bidi="ar"/>
                    </w:rPr>
                    <w:t>6</w:t>
                  </w:r>
                </w:p>
              </w:tc>
              <w:tc>
                <w:tcPr>
                  <w:tcW w:w="540" w:type="dxa"/>
                  <w:noWrap w:val="0"/>
                  <w:vAlign w:val="center"/>
                </w:tcPr>
                <w:p w14:paraId="39F149F5">
                  <w:pPr>
                    <w:keepNext w:val="0"/>
                    <w:keepLines w:val="0"/>
                    <w:widowControl/>
                    <w:suppressLineNumbers w:val="0"/>
                    <w:jc w:val="center"/>
                    <w:textAlignment w:val="center"/>
                    <w:rPr>
                      <w:rFonts w:hint="default" w:ascii="Times New Roman" w:hAnsi="Times New Roman"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w:t>
                  </w:r>
                  <w:r>
                    <w:rPr>
                      <w:rFonts w:hint="eastAsia" w:ascii="Times New Roman" w:hAnsi="Times New Roman" w:cs="Times New Roman"/>
                      <w:i w:val="0"/>
                      <w:iCs w:val="0"/>
                      <w:color w:val="auto"/>
                      <w:kern w:val="0"/>
                      <w:sz w:val="21"/>
                      <w:szCs w:val="21"/>
                      <w:highlight w:val="none"/>
                      <w:u w:val="none"/>
                      <w:lang w:val="en-US" w:eastAsia="zh-CN" w:bidi="ar"/>
                    </w:rPr>
                    <w:t>3</w:t>
                  </w:r>
                </w:p>
              </w:tc>
              <w:tc>
                <w:tcPr>
                  <w:tcW w:w="634" w:type="dxa"/>
                  <w:noWrap w:val="0"/>
                  <w:vAlign w:val="center"/>
                </w:tcPr>
                <w:p w14:paraId="37FB3BD2">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集气罩</w:t>
                  </w:r>
                </w:p>
              </w:tc>
              <w:tc>
                <w:tcPr>
                  <w:tcW w:w="757" w:type="dxa"/>
                  <w:noWrap w:val="0"/>
                  <w:vAlign w:val="center"/>
                </w:tcPr>
                <w:p w14:paraId="1AD20447">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216" w:type="pct"/>
                  <w:vMerge w:val="restart"/>
                  <w:tcBorders>
                    <w:right w:val="single" w:color="auto" w:sz="4" w:space="0"/>
                  </w:tcBorders>
                  <w:noWrap w:val="0"/>
                  <w:vAlign w:val="center"/>
                </w:tcPr>
                <w:p w14:paraId="7E53CED8">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两级活性炭</w:t>
                  </w:r>
                  <w:r>
                    <w:rPr>
                      <w:rFonts w:hint="eastAsia" w:ascii="宋体" w:hAnsi="宋体" w:eastAsia="宋体" w:cs="宋体"/>
                      <w:i w:val="0"/>
                      <w:iCs w:val="0"/>
                      <w:color w:val="auto"/>
                      <w:kern w:val="0"/>
                      <w:sz w:val="21"/>
                      <w:szCs w:val="21"/>
                      <w:highlight w:val="none"/>
                      <w:u w:val="none"/>
                      <w:lang w:val="en-US" w:eastAsia="zh-CN" w:bidi="ar"/>
                    </w:rPr>
                    <w:t>吸附</w:t>
                  </w:r>
                </w:p>
              </w:tc>
              <w:tc>
                <w:tcPr>
                  <w:tcW w:w="245" w:type="pct"/>
                  <w:vMerge w:val="restart"/>
                  <w:tcBorders>
                    <w:left w:val="single" w:color="auto" w:sz="4" w:space="0"/>
                    <w:right w:val="single" w:color="auto" w:sz="4" w:space="0"/>
                  </w:tcBorders>
                  <w:noWrap w:val="0"/>
                  <w:vAlign w:val="center"/>
                </w:tcPr>
                <w:p w14:paraId="66563D51">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65" w:type="pct"/>
                  <w:vMerge w:val="restart"/>
                  <w:tcBorders>
                    <w:left w:val="single" w:color="auto" w:sz="4" w:space="0"/>
                    <w:right w:val="single" w:color="auto" w:sz="4" w:space="0"/>
                  </w:tcBorders>
                  <w:noWrap w:val="0"/>
                  <w:vAlign w:val="center"/>
                </w:tcPr>
                <w:p w14:paraId="58DC5610">
                  <w:pPr>
                    <w:keepNext w:val="0"/>
                    <w:keepLines w:val="0"/>
                    <w:widowControl/>
                    <w:suppressLineNumbers w:val="0"/>
                    <w:jc w:val="center"/>
                    <w:textAlignment w:val="center"/>
                    <w:rPr>
                      <w:rFonts w:hint="default" w:ascii="Times New Roman" w:hAnsi="Times New Roman"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20000</w:t>
                  </w:r>
                </w:p>
              </w:tc>
              <w:tc>
                <w:tcPr>
                  <w:tcW w:w="796" w:type="dxa"/>
                  <w:vMerge w:val="restart"/>
                  <w:tcBorders>
                    <w:left w:val="single" w:color="auto" w:sz="4" w:space="0"/>
                    <w:right w:val="single" w:color="auto" w:sz="4" w:space="0"/>
                  </w:tcBorders>
                  <w:noWrap/>
                  <w:vAlign w:val="center"/>
                </w:tcPr>
                <w:p w14:paraId="02BD4755">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7.6</w:t>
                  </w: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612" w:type="dxa"/>
                  <w:vMerge w:val="restart"/>
                  <w:tcBorders>
                    <w:left w:val="single" w:color="auto" w:sz="4" w:space="0"/>
                    <w:right w:val="single" w:color="auto" w:sz="4" w:space="0"/>
                  </w:tcBorders>
                  <w:noWrap w:val="0"/>
                  <w:vAlign w:val="center"/>
                </w:tcPr>
                <w:p w14:paraId="19FA4D86">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 </w:t>
                  </w:r>
                </w:p>
              </w:tc>
              <w:tc>
                <w:tcPr>
                  <w:tcW w:w="693" w:type="dxa"/>
                  <w:vMerge w:val="restart"/>
                  <w:tcBorders>
                    <w:left w:val="single" w:color="auto" w:sz="4" w:space="0"/>
                    <w:right w:val="single" w:color="auto" w:sz="4" w:space="0"/>
                  </w:tcBorders>
                  <w:noWrap w:val="0"/>
                  <w:vAlign w:val="center"/>
                </w:tcPr>
                <w:p w14:paraId="71A2E4E8">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1.10 </w:t>
                  </w:r>
                </w:p>
              </w:tc>
              <w:tc>
                <w:tcPr>
                  <w:tcW w:w="285" w:type="pct"/>
                  <w:vMerge w:val="restart"/>
                  <w:tcBorders>
                    <w:left w:val="single" w:color="auto" w:sz="4" w:space="0"/>
                    <w:right w:val="single" w:color="auto" w:sz="4" w:space="0"/>
                  </w:tcBorders>
                  <w:noWrap w:val="0"/>
                  <w:vAlign w:val="center"/>
                </w:tcPr>
                <w:p w14:paraId="3E7AB06F">
                  <w:pPr>
                    <w:keepNext w:val="0"/>
                    <w:keepLines w:val="0"/>
                    <w:widowControl/>
                    <w:suppressLineNumbers w:val="0"/>
                    <w:jc w:val="center"/>
                    <w:textAlignment w:val="center"/>
                    <w:rPr>
                      <w:rFonts w:hint="default" w:ascii="Times New Roman" w:hAnsi="Times New Roman"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298" w:type="pct"/>
                  <w:vMerge w:val="restart"/>
                  <w:tcBorders>
                    <w:left w:val="single" w:color="auto" w:sz="4" w:space="0"/>
                    <w:right w:val="single" w:color="auto" w:sz="4" w:space="0"/>
                  </w:tcBorders>
                  <w:noWrap w:val="0"/>
                  <w:vAlign w:val="center"/>
                </w:tcPr>
                <w:p w14:paraId="1130C70D">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DA001</w:t>
                  </w:r>
                </w:p>
              </w:tc>
              <w:tc>
                <w:tcPr>
                  <w:tcW w:w="152" w:type="pct"/>
                  <w:vMerge w:val="restart"/>
                  <w:tcBorders>
                    <w:left w:val="single" w:color="auto" w:sz="4" w:space="0"/>
                    <w:right w:val="single" w:color="auto" w:sz="4" w:space="0"/>
                  </w:tcBorders>
                  <w:noWrap w:val="0"/>
                  <w:vAlign w:val="center"/>
                </w:tcPr>
                <w:p w14:paraId="68CAB864">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71" w:type="pct"/>
                  <w:vMerge w:val="restart"/>
                  <w:tcBorders>
                    <w:left w:val="single" w:color="auto" w:sz="4" w:space="0"/>
                    <w:right w:val="single" w:color="auto" w:sz="4" w:space="0"/>
                  </w:tcBorders>
                  <w:noWrap w:val="0"/>
                  <w:vAlign w:val="center"/>
                </w:tcPr>
                <w:p w14:paraId="36C634BA">
                  <w:pPr>
                    <w:keepNext w:val="0"/>
                    <w:keepLines w:val="0"/>
                    <w:widowControl/>
                    <w:suppressLineNumbers w:val="0"/>
                    <w:jc w:val="center"/>
                    <w:textAlignment w:val="center"/>
                    <w:rPr>
                      <w:rFonts w:hint="default" w:ascii="Times New Roman" w:hAnsi="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.7</w:t>
                  </w:r>
                </w:p>
              </w:tc>
              <w:tc>
                <w:tcPr>
                  <w:tcW w:w="233" w:type="pct"/>
                  <w:vMerge w:val="restart"/>
                  <w:tcBorders>
                    <w:left w:val="single" w:color="auto" w:sz="4" w:space="0"/>
                    <w:right w:val="single" w:color="auto" w:sz="4" w:space="0"/>
                  </w:tcBorders>
                  <w:noWrap w:val="0"/>
                  <w:vAlign w:val="center"/>
                </w:tcPr>
                <w:p w14:paraId="5D543162">
                  <w:pPr>
                    <w:keepNext w:val="0"/>
                    <w:keepLines w:val="0"/>
                    <w:widowControl/>
                    <w:suppressLineNumbers w:val="0"/>
                    <w:jc w:val="center"/>
                    <w:textAlignment w:val="center"/>
                    <w:rPr>
                      <w:rFonts w:ascii="Times New Roman" w:hAnsi="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55" w:type="pct"/>
                  <w:vMerge w:val="restart"/>
                  <w:tcBorders>
                    <w:left w:val="single" w:color="auto" w:sz="4" w:space="0"/>
                  </w:tcBorders>
                  <w:noWrap w:val="0"/>
                  <w:vAlign w:val="center"/>
                </w:tcPr>
                <w:p w14:paraId="287B82F4">
                  <w:pPr>
                    <w:keepNext w:val="0"/>
                    <w:keepLines w:val="0"/>
                    <w:widowControl/>
                    <w:suppressLineNumbers w:val="0"/>
                    <w:jc w:val="both"/>
                    <w:textAlignment w:val="center"/>
                    <w:rPr>
                      <w:rFonts w:ascii="宋体" w:hAnsi="宋体" w:cs="宋体"/>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连续</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07913F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292" w:type="pct"/>
                  <w:vMerge w:val="continue"/>
                  <w:noWrap w:val="0"/>
                  <w:vAlign w:val="center"/>
                </w:tcPr>
                <w:p w14:paraId="628A5C3B">
                  <w:pPr>
                    <w:widowControl/>
                    <w:adjustRightInd w:val="0"/>
                    <w:snapToGrid w:val="0"/>
                    <w:spacing w:line="276" w:lineRule="auto"/>
                    <w:jc w:val="center"/>
                    <w:textAlignment w:val="center"/>
                    <w:rPr>
                      <w:rFonts w:hint="eastAsia" w:ascii="宋体" w:hAnsi="宋体" w:cs="宋体"/>
                      <w:color w:val="auto"/>
                      <w:kern w:val="0"/>
                      <w:szCs w:val="21"/>
                      <w:highlight w:val="none"/>
                      <w:lang w:val="en-US" w:eastAsia="zh-CN"/>
                    </w:rPr>
                  </w:pPr>
                </w:p>
              </w:tc>
              <w:tc>
                <w:tcPr>
                  <w:tcW w:w="248" w:type="pct"/>
                  <w:vMerge w:val="continue"/>
                  <w:noWrap w:val="0"/>
                  <w:vAlign w:val="center"/>
                </w:tcPr>
                <w:p w14:paraId="4CEA05F0">
                  <w:pPr>
                    <w:widowControl/>
                    <w:adjustRightInd w:val="0"/>
                    <w:snapToGrid w:val="0"/>
                    <w:spacing w:line="276" w:lineRule="auto"/>
                    <w:jc w:val="center"/>
                    <w:textAlignment w:val="center"/>
                    <w:rPr>
                      <w:rFonts w:hint="eastAsia" w:ascii="宋体" w:hAnsi="宋体" w:cs="宋体"/>
                      <w:color w:val="auto"/>
                      <w:szCs w:val="21"/>
                      <w:highlight w:val="none"/>
                      <w:lang w:val="en-US" w:eastAsia="zh-CN"/>
                    </w:rPr>
                  </w:pPr>
                </w:p>
              </w:tc>
              <w:tc>
                <w:tcPr>
                  <w:tcW w:w="241" w:type="pct"/>
                  <w:vMerge w:val="continue"/>
                  <w:noWrap w:val="0"/>
                  <w:vAlign w:val="center"/>
                </w:tcPr>
                <w:p w14:paraId="4A402C72">
                  <w:pPr>
                    <w:widowControl/>
                    <w:adjustRightInd w:val="0"/>
                    <w:snapToGrid w:val="0"/>
                    <w:spacing w:line="276" w:lineRule="auto"/>
                    <w:jc w:val="center"/>
                    <w:textAlignment w:val="center"/>
                    <w:rPr>
                      <w:rFonts w:hint="eastAsia" w:ascii="宋体" w:hAnsi="宋体" w:cs="宋体"/>
                      <w:color w:val="auto"/>
                      <w:szCs w:val="21"/>
                      <w:highlight w:val="none"/>
                      <w:lang w:val="en-US" w:eastAsia="zh-CN"/>
                    </w:rPr>
                  </w:pPr>
                </w:p>
              </w:tc>
              <w:tc>
                <w:tcPr>
                  <w:tcW w:w="235" w:type="pct"/>
                  <w:vMerge w:val="continue"/>
                  <w:noWrap w:val="0"/>
                  <w:vAlign w:val="center"/>
                </w:tcPr>
                <w:p w14:paraId="74298C90">
                  <w:pPr>
                    <w:widowControl/>
                    <w:adjustRightInd w:val="0"/>
                    <w:snapToGrid w:val="0"/>
                    <w:spacing w:line="276" w:lineRule="auto"/>
                    <w:jc w:val="center"/>
                    <w:textAlignment w:val="center"/>
                    <w:rPr>
                      <w:rFonts w:hint="eastAsia" w:ascii="宋体" w:hAnsi="宋体" w:cs="宋体"/>
                      <w:color w:val="auto"/>
                      <w:kern w:val="0"/>
                      <w:szCs w:val="21"/>
                      <w:highlight w:val="none"/>
                      <w:lang w:val="en-US" w:eastAsia="zh-CN"/>
                    </w:rPr>
                  </w:pPr>
                </w:p>
              </w:tc>
              <w:tc>
                <w:tcPr>
                  <w:tcW w:w="787" w:type="dxa"/>
                  <w:noWrap/>
                  <w:vAlign w:val="center"/>
                </w:tcPr>
                <w:p w14:paraId="15D820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70.31</w:t>
                  </w:r>
                </w:p>
              </w:tc>
              <w:tc>
                <w:tcPr>
                  <w:tcW w:w="650" w:type="dxa"/>
                  <w:noWrap w:val="0"/>
                  <w:vAlign w:val="center"/>
                </w:tcPr>
                <w:p w14:paraId="254138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1.40 </w:t>
                  </w:r>
                </w:p>
              </w:tc>
              <w:tc>
                <w:tcPr>
                  <w:tcW w:w="540" w:type="dxa"/>
                  <w:noWrap w:val="0"/>
                  <w:vAlign w:val="center"/>
                </w:tcPr>
                <w:p w14:paraId="52344E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w:t>
                  </w:r>
                  <w:r>
                    <w:rPr>
                      <w:rFonts w:hint="eastAsia" w:ascii="Times New Roman" w:hAnsi="Times New Roman" w:cs="Times New Roman"/>
                      <w:i w:val="0"/>
                      <w:iCs w:val="0"/>
                      <w:color w:val="auto"/>
                      <w:kern w:val="0"/>
                      <w:sz w:val="21"/>
                      <w:szCs w:val="21"/>
                      <w:highlight w:val="none"/>
                      <w:u w:val="none"/>
                      <w:lang w:val="en-US" w:eastAsia="zh-CN" w:bidi="ar"/>
                    </w:rPr>
                    <w:t>3</w:t>
                  </w:r>
                </w:p>
              </w:tc>
              <w:tc>
                <w:tcPr>
                  <w:tcW w:w="634" w:type="dxa"/>
                  <w:noWrap w:val="0"/>
                  <w:vAlign w:val="center"/>
                </w:tcPr>
                <w:p w14:paraId="2F33885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密闭管道</w:t>
                  </w:r>
                </w:p>
              </w:tc>
              <w:tc>
                <w:tcPr>
                  <w:tcW w:w="757" w:type="dxa"/>
                  <w:noWrap w:val="0"/>
                  <w:vAlign w:val="center"/>
                </w:tcPr>
                <w:p w14:paraId="2B5C9F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216" w:type="pct"/>
                  <w:vMerge w:val="continue"/>
                  <w:tcBorders>
                    <w:right w:val="single" w:color="auto" w:sz="4" w:space="0"/>
                  </w:tcBorders>
                  <w:noWrap w:val="0"/>
                  <w:vAlign w:val="center"/>
                </w:tcPr>
                <w:p w14:paraId="65F8CE6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245" w:type="pct"/>
                  <w:vMerge w:val="continue"/>
                  <w:tcBorders>
                    <w:left w:val="single" w:color="auto" w:sz="4" w:space="0"/>
                    <w:right w:val="single" w:color="auto" w:sz="4" w:space="0"/>
                  </w:tcBorders>
                  <w:noWrap w:val="0"/>
                  <w:vAlign w:val="center"/>
                </w:tcPr>
                <w:p w14:paraId="1AC46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65" w:type="pct"/>
                  <w:vMerge w:val="continue"/>
                  <w:tcBorders>
                    <w:left w:val="single" w:color="auto" w:sz="4" w:space="0"/>
                    <w:right w:val="single" w:color="auto" w:sz="4" w:space="0"/>
                  </w:tcBorders>
                  <w:noWrap w:val="0"/>
                  <w:vAlign w:val="center"/>
                </w:tcPr>
                <w:p w14:paraId="41815E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5" w:type="pct"/>
                  <w:vMerge w:val="continue"/>
                  <w:tcBorders>
                    <w:left w:val="single" w:color="auto" w:sz="4" w:space="0"/>
                    <w:right w:val="single" w:color="auto" w:sz="4" w:space="0"/>
                  </w:tcBorders>
                  <w:noWrap/>
                  <w:vAlign w:val="center"/>
                </w:tcPr>
                <w:p w14:paraId="114D3A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vMerge w:val="continue"/>
                  <w:tcBorders>
                    <w:left w:val="single" w:color="auto" w:sz="4" w:space="0"/>
                    <w:right w:val="single" w:color="auto" w:sz="4" w:space="0"/>
                  </w:tcBorders>
                  <w:noWrap w:val="0"/>
                  <w:vAlign w:val="center"/>
                </w:tcPr>
                <w:p w14:paraId="74F7E7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48" w:type="pct"/>
                  <w:vMerge w:val="continue"/>
                  <w:tcBorders>
                    <w:left w:val="single" w:color="auto" w:sz="4" w:space="0"/>
                    <w:right w:val="single" w:color="auto" w:sz="4" w:space="0"/>
                  </w:tcBorders>
                  <w:noWrap w:val="0"/>
                  <w:vAlign w:val="center"/>
                </w:tcPr>
                <w:p w14:paraId="5490C7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5" w:type="pct"/>
                  <w:vMerge w:val="continue"/>
                  <w:tcBorders>
                    <w:left w:val="single" w:color="auto" w:sz="4" w:space="0"/>
                    <w:right w:val="single" w:color="auto" w:sz="4" w:space="0"/>
                  </w:tcBorders>
                  <w:noWrap w:val="0"/>
                  <w:vAlign w:val="center"/>
                </w:tcPr>
                <w:p w14:paraId="390A4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8" w:type="pct"/>
                  <w:vMerge w:val="continue"/>
                  <w:tcBorders>
                    <w:left w:val="single" w:color="auto" w:sz="4" w:space="0"/>
                    <w:right w:val="single" w:color="auto" w:sz="4" w:space="0"/>
                  </w:tcBorders>
                  <w:noWrap w:val="0"/>
                  <w:vAlign w:val="center"/>
                </w:tcPr>
                <w:p w14:paraId="2F27A0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2" w:type="pct"/>
                  <w:vMerge w:val="continue"/>
                  <w:tcBorders>
                    <w:left w:val="single" w:color="auto" w:sz="4" w:space="0"/>
                    <w:right w:val="single" w:color="auto" w:sz="4" w:space="0"/>
                  </w:tcBorders>
                  <w:noWrap w:val="0"/>
                  <w:vAlign w:val="center"/>
                </w:tcPr>
                <w:p w14:paraId="6571F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1" w:type="pct"/>
                  <w:vMerge w:val="continue"/>
                  <w:tcBorders>
                    <w:left w:val="single" w:color="auto" w:sz="4" w:space="0"/>
                    <w:right w:val="single" w:color="auto" w:sz="4" w:space="0"/>
                  </w:tcBorders>
                  <w:noWrap w:val="0"/>
                  <w:vAlign w:val="center"/>
                </w:tcPr>
                <w:p w14:paraId="49E61F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3" w:type="pct"/>
                  <w:vMerge w:val="continue"/>
                  <w:tcBorders>
                    <w:left w:val="single" w:color="auto" w:sz="4" w:space="0"/>
                    <w:right w:val="single" w:color="auto" w:sz="4" w:space="0"/>
                  </w:tcBorders>
                  <w:noWrap w:val="0"/>
                  <w:vAlign w:val="center"/>
                </w:tcPr>
                <w:p w14:paraId="1F5B0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5" w:type="pct"/>
                  <w:vMerge w:val="continue"/>
                  <w:tcBorders>
                    <w:left w:val="single" w:color="auto" w:sz="4" w:space="0"/>
                  </w:tcBorders>
                  <w:noWrap w:val="0"/>
                  <w:vAlign w:val="center"/>
                </w:tcPr>
                <w:p w14:paraId="2316DDD2">
                  <w:pPr>
                    <w:keepNext w:val="0"/>
                    <w:keepLines w:val="0"/>
                    <w:widowControl/>
                    <w:suppressLineNumbers w:val="0"/>
                    <w:jc w:val="both"/>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bl>
          <w:p w14:paraId="5D3030D9">
            <w:pPr>
              <w:pStyle w:val="61"/>
              <w:adjustRightInd/>
              <w:spacing w:line="360" w:lineRule="auto"/>
              <w:ind w:left="0" w:right="0" w:firstLine="480"/>
              <w:jc w:val="center"/>
              <w:rPr>
                <w:rFonts w:hAnsi="Calibri" w:eastAsia="黑体"/>
                <w:bCs/>
                <w:color w:val="auto"/>
                <w:kern w:val="2"/>
                <w:szCs w:val="22"/>
                <w:highlight w:val="none"/>
                <w:lang w:val="en-US" w:eastAsia="zh-CN"/>
              </w:rPr>
            </w:pPr>
          </w:p>
          <w:p w14:paraId="3F27FB43">
            <w:pPr>
              <w:tabs>
                <w:tab w:val="left" w:pos="3122"/>
              </w:tabs>
              <w:ind w:firstLine="480"/>
              <w:rPr>
                <w:color w:val="auto"/>
                <w:highlight w:val="none"/>
              </w:rPr>
            </w:pPr>
          </w:p>
        </w:tc>
      </w:tr>
    </w:tbl>
    <w:p w14:paraId="3FD9DF47">
      <w:pPr>
        <w:ind w:firstLine="480"/>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8"/>
        <w:gridCol w:w="8104"/>
      </w:tblGrid>
      <w:tr w14:paraId="43896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6" w:hRule="atLeast"/>
          <w:jc w:val="center"/>
        </w:trPr>
        <w:tc>
          <w:tcPr>
            <w:tcW w:w="338" w:type="dxa"/>
            <w:noWrap w:val="0"/>
            <w:tcMar>
              <w:left w:w="28" w:type="dxa"/>
              <w:right w:w="28" w:type="dxa"/>
            </w:tcMar>
            <w:vAlign w:val="center"/>
          </w:tcPr>
          <w:p w14:paraId="7DB7D6B6">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运营期环境影响和保护措施</w:t>
            </w:r>
          </w:p>
        </w:tc>
        <w:tc>
          <w:tcPr>
            <w:tcW w:w="8104" w:type="dxa"/>
            <w:noWrap w:val="0"/>
            <w:vAlign w:val="top"/>
          </w:tcPr>
          <w:p w14:paraId="2664D642">
            <w:pPr>
              <w:spacing w:line="360" w:lineRule="auto"/>
              <w:ind w:firstLine="480" w:firstLineChars="200"/>
              <w:rPr>
                <w:rFonts w:ascii="Times New Roman"/>
                <w:bCs/>
                <w:color w:val="auto"/>
                <w:sz w:val="24"/>
                <w:szCs w:val="28"/>
                <w:highlight w:val="none"/>
              </w:rPr>
            </w:pPr>
            <w:r>
              <w:rPr>
                <w:rFonts w:hint="eastAsia" w:ascii="Times New Roman"/>
                <w:bCs/>
                <w:color w:val="auto"/>
                <w:sz w:val="24"/>
                <w:szCs w:val="28"/>
                <w:highlight w:val="none"/>
              </w:rPr>
              <w:t>本项目无组织排放废气</w:t>
            </w:r>
            <w:r>
              <w:rPr>
                <w:rFonts w:hint="eastAsia" w:ascii="Times New Roman"/>
                <w:bCs/>
                <w:color w:val="auto"/>
                <w:sz w:val="24"/>
                <w:szCs w:val="28"/>
                <w:highlight w:val="none"/>
                <w:lang w:val="en-US" w:eastAsia="zh-CN"/>
              </w:rPr>
              <w:t>为</w:t>
            </w:r>
            <w:r>
              <w:rPr>
                <w:rFonts w:hint="eastAsia" w:ascii="Times New Roman"/>
                <w:bCs/>
                <w:color w:val="auto"/>
                <w:sz w:val="24"/>
                <w:szCs w:val="28"/>
                <w:highlight w:val="none"/>
              </w:rPr>
              <w:t>未被集气罩收集的</w:t>
            </w:r>
            <w:r>
              <w:rPr>
                <w:rFonts w:hint="eastAsia" w:ascii="Times New Roman"/>
                <w:bCs/>
                <w:color w:val="auto"/>
                <w:sz w:val="24"/>
                <w:szCs w:val="28"/>
                <w:highlight w:val="none"/>
                <w:lang w:val="en-US" w:eastAsia="zh-CN"/>
              </w:rPr>
              <w:t>丝印</w:t>
            </w:r>
            <w:r>
              <w:rPr>
                <w:rFonts w:hint="eastAsia" w:ascii="Times New Roman"/>
                <w:bCs/>
                <w:color w:val="auto"/>
                <w:sz w:val="24"/>
                <w:szCs w:val="28"/>
                <w:highlight w:val="none"/>
              </w:rPr>
              <w:t>废气，根据核算，</w:t>
            </w:r>
            <w:r>
              <w:rPr>
                <w:rFonts w:ascii="Times New Roman"/>
                <w:bCs/>
                <w:color w:val="auto"/>
                <w:sz w:val="24"/>
                <w:szCs w:val="28"/>
                <w:highlight w:val="none"/>
              </w:rPr>
              <w:t>本项目</w:t>
            </w:r>
            <w:r>
              <w:rPr>
                <w:rFonts w:hint="eastAsia" w:ascii="Times New Roman"/>
                <w:bCs/>
                <w:color w:val="auto"/>
                <w:sz w:val="24"/>
                <w:szCs w:val="28"/>
                <w:highlight w:val="none"/>
              </w:rPr>
              <w:t>无</w:t>
            </w:r>
            <w:r>
              <w:rPr>
                <w:rFonts w:ascii="Times New Roman"/>
                <w:bCs/>
                <w:color w:val="auto"/>
                <w:sz w:val="24"/>
                <w:szCs w:val="28"/>
                <w:highlight w:val="none"/>
              </w:rPr>
              <w:t>组织废气排放情况见下表：</w:t>
            </w:r>
          </w:p>
          <w:p w14:paraId="30C07C60">
            <w:pPr>
              <w:pStyle w:val="61"/>
              <w:adjustRightInd/>
              <w:spacing w:line="360" w:lineRule="auto"/>
              <w:ind w:left="0" w:right="0" w:firstLine="480"/>
              <w:jc w:val="center"/>
              <w:rPr>
                <w:rFonts w:hAnsi="Calibri" w:eastAsia="黑体"/>
                <w:bCs/>
                <w:color w:val="auto"/>
                <w:kern w:val="2"/>
                <w:szCs w:val="22"/>
                <w:highlight w:val="none"/>
                <w:lang w:val="en-US" w:eastAsia="zh-CN"/>
              </w:rPr>
            </w:pPr>
            <w:r>
              <w:rPr>
                <w:rFonts w:hAnsi="Calibri" w:eastAsia="黑体"/>
                <w:bCs/>
                <w:color w:val="auto"/>
                <w:kern w:val="2"/>
                <w:szCs w:val="22"/>
                <w:highlight w:val="none"/>
                <w:lang w:val="en-US" w:eastAsia="zh-CN"/>
              </w:rPr>
              <w:t>表</w:t>
            </w:r>
            <w:r>
              <w:rPr>
                <w:rFonts w:eastAsia="黑体"/>
                <w:bCs/>
                <w:color w:val="auto"/>
                <w:kern w:val="2"/>
                <w:szCs w:val="22"/>
                <w:highlight w:val="none"/>
                <w:lang w:val="en-US" w:eastAsia="zh-CN"/>
              </w:rPr>
              <w:t>4-</w:t>
            </w:r>
            <w:r>
              <w:rPr>
                <w:rFonts w:hint="eastAsia" w:eastAsia="黑体"/>
                <w:bCs/>
                <w:color w:val="auto"/>
                <w:kern w:val="2"/>
                <w:szCs w:val="22"/>
                <w:highlight w:val="none"/>
                <w:lang w:val="en-US" w:eastAsia="zh-CN"/>
              </w:rPr>
              <w:t>4</w:t>
            </w:r>
            <w:r>
              <w:rPr>
                <w:rFonts w:eastAsia="黑体"/>
                <w:bCs/>
                <w:color w:val="auto"/>
                <w:kern w:val="2"/>
                <w:szCs w:val="22"/>
                <w:highlight w:val="none"/>
                <w:lang w:val="en-US" w:eastAsia="zh-CN"/>
              </w:rPr>
              <w:t xml:space="preserve"> </w:t>
            </w:r>
            <w:r>
              <w:rPr>
                <w:rFonts w:hint="eastAsia" w:eastAsia="黑体"/>
                <w:bCs/>
                <w:color w:val="auto"/>
                <w:kern w:val="2"/>
                <w:szCs w:val="22"/>
                <w:highlight w:val="none"/>
                <w:lang w:val="en-US" w:eastAsia="zh-CN"/>
              </w:rPr>
              <w:t xml:space="preserve"> </w:t>
            </w:r>
            <w:r>
              <w:rPr>
                <w:rFonts w:eastAsia="黑体"/>
                <w:bCs/>
                <w:color w:val="auto"/>
                <w:kern w:val="2"/>
                <w:szCs w:val="22"/>
                <w:highlight w:val="none"/>
                <w:lang w:val="en-US" w:eastAsia="zh-CN"/>
              </w:rPr>
              <w:t>项目</w:t>
            </w:r>
            <w:r>
              <w:rPr>
                <w:rFonts w:hAnsi="Calibri" w:eastAsia="黑体"/>
                <w:bCs/>
                <w:color w:val="auto"/>
                <w:kern w:val="2"/>
                <w:szCs w:val="22"/>
                <w:highlight w:val="none"/>
                <w:lang w:val="en-US" w:eastAsia="zh-CN"/>
              </w:rPr>
              <w:t>无组织废气</w:t>
            </w:r>
            <w:r>
              <w:rPr>
                <w:rFonts w:hint="eastAsia" w:hAnsi="Calibri" w:eastAsia="黑体"/>
                <w:bCs/>
                <w:color w:val="auto"/>
                <w:kern w:val="2"/>
                <w:szCs w:val="22"/>
                <w:highlight w:val="none"/>
                <w:lang w:val="en-US" w:eastAsia="zh-CN"/>
              </w:rPr>
              <w:t>产生</w:t>
            </w:r>
            <w:r>
              <w:rPr>
                <w:rFonts w:hAnsi="Calibri" w:eastAsia="黑体"/>
                <w:bCs/>
                <w:color w:val="auto"/>
                <w:kern w:val="2"/>
                <w:szCs w:val="22"/>
                <w:highlight w:val="none"/>
                <w:lang w:val="en-US" w:eastAsia="zh-CN"/>
              </w:rPr>
              <w:t>和排放情况表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39"/>
              <w:gridCol w:w="1319"/>
              <w:gridCol w:w="1839"/>
              <w:gridCol w:w="1319"/>
              <w:gridCol w:w="724"/>
            </w:tblGrid>
            <w:tr w14:paraId="25D0D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pct"/>
                  <w:tcBorders>
                    <w:top w:val="single" w:color="auto" w:sz="8" w:space="0"/>
                  </w:tcBorders>
                  <w:noWrap w:val="0"/>
                  <w:vAlign w:val="center"/>
                </w:tcPr>
                <w:p w14:paraId="6CCED8CF">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污染源</w:t>
                  </w:r>
                </w:p>
              </w:tc>
              <w:tc>
                <w:tcPr>
                  <w:tcW w:w="912" w:type="pct"/>
                  <w:tcBorders>
                    <w:top w:val="single" w:color="auto" w:sz="8" w:space="0"/>
                  </w:tcBorders>
                  <w:noWrap w:val="0"/>
                  <w:vAlign w:val="center"/>
                </w:tcPr>
                <w:p w14:paraId="6474CA7D">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污染物种类</w:t>
                  </w:r>
                </w:p>
              </w:tc>
              <w:tc>
                <w:tcPr>
                  <w:tcW w:w="836" w:type="pct"/>
                  <w:tcBorders>
                    <w:top w:val="single" w:color="auto" w:sz="8" w:space="0"/>
                  </w:tcBorders>
                  <w:noWrap w:val="0"/>
                  <w:vAlign w:val="center"/>
                </w:tcPr>
                <w:p w14:paraId="53B6D75D">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产生量</w:t>
                  </w:r>
                </w:p>
              </w:tc>
              <w:tc>
                <w:tcPr>
                  <w:tcW w:w="1166" w:type="pct"/>
                  <w:tcBorders>
                    <w:top w:val="single" w:color="auto" w:sz="8" w:space="0"/>
                  </w:tcBorders>
                  <w:noWrap w:val="0"/>
                  <w:vAlign w:val="center"/>
                </w:tcPr>
                <w:p w14:paraId="177CB6BF">
                  <w:pPr>
                    <w:snapToGrid w:val="0"/>
                    <w:spacing w:line="276" w:lineRule="auto"/>
                    <w:jc w:val="center"/>
                    <w:rPr>
                      <w:rFonts w:ascii="Times New Roman" w:hAnsi="Times New Roman"/>
                      <w:b/>
                      <w:color w:val="auto"/>
                      <w:szCs w:val="21"/>
                      <w:highlight w:val="none"/>
                    </w:rPr>
                  </w:pPr>
                  <w:r>
                    <w:rPr>
                      <w:rFonts w:hint="eastAsia" w:ascii="Times New Roman" w:hAnsi="Times New Roman"/>
                      <w:b/>
                      <w:color w:val="auto"/>
                      <w:szCs w:val="21"/>
                      <w:highlight w:val="none"/>
                    </w:rPr>
                    <w:t>收集</w:t>
                  </w:r>
                  <w:r>
                    <w:rPr>
                      <w:rFonts w:ascii="Times New Roman" w:hAnsi="Times New Roman"/>
                      <w:b/>
                      <w:color w:val="auto"/>
                      <w:szCs w:val="21"/>
                      <w:highlight w:val="none"/>
                    </w:rPr>
                    <w:t>治理工艺</w:t>
                  </w:r>
                </w:p>
              </w:tc>
              <w:tc>
                <w:tcPr>
                  <w:tcW w:w="836" w:type="pct"/>
                  <w:tcBorders>
                    <w:top w:val="single" w:color="auto" w:sz="8" w:space="0"/>
                  </w:tcBorders>
                  <w:noWrap w:val="0"/>
                  <w:vAlign w:val="center"/>
                </w:tcPr>
                <w:p w14:paraId="0FE9DB54">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面源</w:t>
                  </w:r>
                  <w:r>
                    <w:rPr>
                      <w:rFonts w:hint="eastAsia" w:ascii="Times New Roman" w:hAnsi="Times New Roman"/>
                      <w:b/>
                      <w:color w:val="auto"/>
                      <w:szCs w:val="21"/>
                      <w:highlight w:val="none"/>
                    </w:rPr>
                    <w:t>面积</w:t>
                  </w:r>
                </w:p>
              </w:tc>
              <w:tc>
                <w:tcPr>
                  <w:tcW w:w="459" w:type="pct"/>
                  <w:tcBorders>
                    <w:top w:val="single" w:color="auto" w:sz="8" w:space="0"/>
                  </w:tcBorders>
                  <w:noWrap w:val="0"/>
                  <w:vAlign w:val="center"/>
                </w:tcPr>
                <w:p w14:paraId="2946313A">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高度</w:t>
                  </w:r>
                </w:p>
              </w:tc>
            </w:tr>
            <w:tr w14:paraId="1ADB4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pct"/>
                  <w:noWrap w:val="0"/>
                  <w:vAlign w:val="center"/>
                </w:tcPr>
                <w:p w14:paraId="6015C5C8">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11</w:t>
                  </w:r>
                  <w:r>
                    <w:rPr>
                      <w:rFonts w:hint="eastAsia" w:ascii="Times New Roman" w:hAnsi="Times New Roman"/>
                      <w:color w:val="auto"/>
                      <w:szCs w:val="21"/>
                      <w:highlight w:val="none"/>
                    </w:rPr>
                    <w:t>#厂房</w:t>
                  </w:r>
                </w:p>
              </w:tc>
              <w:tc>
                <w:tcPr>
                  <w:tcW w:w="912" w:type="pct"/>
                  <w:noWrap w:val="0"/>
                  <w:vAlign w:val="center"/>
                </w:tcPr>
                <w:p w14:paraId="5A4B7227">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非甲烷总烃</w:t>
                  </w:r>
                </w:p>
              </w:tc>
              <w:tc>
                <w:tcPr>
                  <w:tcW w:w="836" w:type="pct"/>
                  <w:noWrap w:val="0"/>
                  <w:vAlign w:val="center"/>
                </w:tcPr>
                <w:p w14:paraId="16FB1F8B">
                  <w:pPr>
                    <w:snapToGrid w:val="0"/>
                    <w:spacing w:line="276" w:lineRule="auto"/>
                    <w:jc w:val="center"/>
                    <w:rPr>
                      <w:rFonts w:ascii="Times New Roman" w:hAnsi="Times New Roman"/>
                      <w:bCs/>
                      <w:color w:val="auto"/>
                      <w:szCs w:val="21"/>
                      <w:highlight w:val="none"/>
                    </w:rPr>
                  </w:pPr>
                  <w:r>
                    <w:rPr>
                      <w:rFonts w:hint="eastAsia" w:ascii="Times New Roman" w:hAnsi="Times New Roman"/>
                      <w:color w:val="auto"/>
                      <w:szCs w:val="21"/>
                      <w:highlight w:val="none"/>
                      <w:lang w:val="en-US" w:eastAsia="zh-CN"/>
                    </w:rPr>
                    <w:t>0.225</w:t>
                  </w:r>
                  <w:r>
                    <w:rPr>
                      <w:rFonts w:hint="eastAsia" w:ascii="Times New Roman" w:hAnsi="Times New Roman"/>
                      <w:color w:val="auto"/>
                      <w:szCs w:val="21"/>
                      <w:highlight w:val="none"/>
                    </w:rPr>
                    <w:t>t/a</w:t>
                  </w:r>
                </w:p>
              </w:tc>
              <w:tc>
                <w:tcPr>
                  <w:tcW w:w="1166" w:type="pct"/>
                  <w:noWrap w:val="0"/>
                  <w:vAlign w:val="center"/>
                </w:tcPr>
                <w:p w14:paraId="6458E938">
                  <w:pPr>
                    <w:snapToGrid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加强车间通风</w:t>
                  </w:r>
                </w:p>
              </w:tc>
              <w:tc>
                <w:tcPr>
                  <w:tcW w:w="836" w:type="pct"/>
                  <w:noWrap w:val="0"/>
                  <w:vAlign w:val="center"/>
                </w:tcPr>
                <w:p w14:paraId="5D4BCE6D">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4400</w:t>
                  </w:r>
                  <w:r>
                    <w:rPr>
                      <w:rFonts w:ascii="Times New Roman" w:hAnsi="Times New Roman"/>
                      <w:color w:val="auto"/>
                      <w:szCs w:val="21"/>
                      <w:highlight w:val="none"/>
                    </w:rPr>
                    <w:t>m</w:t>
                  </w:r>
                  <w:r>
                    <w:rPr>
                      <w:rFonts w:ascii="Times New Roman" w:hAnsi="Times New Roman"/>
                      <w:color w:val="auto"/>
                      <w:szCs w:val="21"/>
                      <w:highlight w:val="none"/>
                      <w:vertAlign w:val="superscript"/>
                    </w:rPr>
                    <w:t>2</w:t>
                  </w:r>
                </w:p>
              </w:tc>
              <w:tc>
                <w:tcPr>
                  <w:tcW w:w="459" w:type="pct"/>
                  <w:noWrap w:val="0"/>
                  <w:vAlign w:val="center"/>
                </w:tcPr>
                <w:p w14:paraId="6B4D6EA2">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1</w:t>
                  </w:r>
                  <w:r>
                    <w:rPr>
                      <w:rFonts w:hint="eastAsia" w:ascii="Times New Roman" w:hAnsi="Times New Roman"/>
                      <w:color w:val="auto"/>
                      <w:szCs w:val="21"/>
                      <w:highlight w:val="none"/>
                      <w:lang w:val="en-US" w:eastAsia="zh-CN"/>
                    </w:rPr>
                    <w:t>0</w:t>
                  </w:r>
                  <w:r>
                    <w:rPr>
                      <w:rFonts w:hint="eastAsia" w:ascii="Times New Roman" w:hAnsi="Times New Roman"/>
                      <w:color w:val="auto"/>
                      <w:szCs w:val="21"/>
                      <w:highlight w:val="none"/>
                    </w:rPr>
                    <w:t>m</w:t>
                  </w:r>
                </w:p>
              </w:tc>
            </w:tr>
          </w:tbl>
          <w:p w14:paraId="2474DCEE">
            <w:pPr>
              <w:spacing w:line="360" w:lineRule="auto"/>
              <w:ind w:firstLine="482" w:firstLineChars="200"/>
              <w:jc w:val="left"/>
              <w:rPr>
                <w:rFonts w:ascii="Times New Roman" w:hAnsi="Times New Roman"/>
                <w:b/>
                <w:bCs/>
                <w:color w:val="auto"/>
                <w:sz w:val="24"/>
                <w:szCs w:val="24"/>
                <w:highlight w:val="none"/>
              </w:rPr>
            </w:pPr>
            <w:r>
              <w:rPr>
                <w:rFonts w:hint="eastAsia" w:ascii="宋体" w:hAnsi="宋体" w:cs="宋体"/>
                <w:b/>
                <w:bCs/>
                <w:color w:val="auto"/>
                <w:sz w:val="24"/>
                <w:szCs w:val="24"/>
                <w:highlight w:val="none"/>
              </w:rPr>
              <w:t>②</w:t>
            </w:r>
            <w:r>
              <w:rPr>
                <w:rFonts w:hint="eastAsia" w:ascii="Times New Roman" w:hAnsi="Times New Roman"/>
                <w:b/>
                <w:bCs/>
                <w:color w:val="auto"/>
                <w:sz w:val="24"/>
                <w:szCs w:val="24"/>
                <w:highlight w:val="none"/>
              </w:rPr>
              <w:t>非正常工况</w:t>
            </w:r>
          </w:p>
          <w:p w14:paraId="2A545F63">
            <w:pPr>
              <w:spacing w:line="360" w:lineRule="auto"/>
              <w:ind w:firstLine="480" w:firstLineChars="200"/>
              <w:rPr>
                <w:rFonts w:ascii="Times New Roman" w:hAnsi="Times New Roman"/>
                <w:bCs/>
                <w:color w:val="auto"/>
                <w:sz w:val="24"/>
                <w:szCs w:val="24"/>
                <w:highlight w:val="none"/>
              </w:rPr>
            </w:pPr>
            <w:r>
              <w:rPr>
                <w:rFonts w:hint="eastAsia" w:ascii="Times New Roman" w:hAnsi="Times New Roman"/>
                <w:bCs/>
                <w:color w:val="auto"/>
                <w:sz w:val="24"/>
                <w:szCs w:val="24"/>
                <w:highlight w:val="none"/>
              </w:rPr>
              <w:t>该项目非正常排放考虑废气处理装置达不到应有的收集处理效率</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收集效率取50%，处理效率取50%</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从而发生非正常排放，一般事故的非正常排放效率约每年1-3次，为小概率事件。本次评价取2次/年，每次持续时间30分钟。根据污染源核算中的污染物产生情况，本项目非正常排放源强见下表所示：</w:t>
            </w:r>
          </w:p>
          <w:p w14:paraId="457EBB56">
            <w:pPr>
              <w:pStyle w:val="61"/>
              <w:adjustRightInd/>
              <w:spacing w:line="360" w:lineRule="auto"/>
              <w:ind w:left="0" w:right="0" w:firstLine="480"/>
              <w:jc w:val="center"/>
              <w:rPr>
                <w:rFonts w:eastAsia="黑体"/>
                <w:bCs/>
                <w:color w:val="auto"/>
                <w:kern w:val="2"/>
                <w:szCs w:val="22"/>
                <w:highlight w:val="none"/>
                <w:lang w:val="en-US" w:eastAsia="zh-CN"/>
              </w:rPr>
            </w:pPr>
            <w:r>
              <w:rPr>
                <w:rFonts w:hAnsi="Calibri" w:eastAsia="黑体"/>
                <w:bCs/>
                <w:color w:val="auto"/>
                <w:kern w:val="2"/>
                <w:szCs w:val="22"/>
                <w:highlight w:val="none"/>
                <w:lang w:val="en-US" w:eastAsia="zh-CN"/>
              </w:rPr>
              <w:t>表</w:t>
            </w:r>
            <w:r>
              <w:rPr>
                <w:rFonts w:eastAsia="黑体"/>
                <w:bCs/>
                <w:color w:val="auto"/>
                <w:kern w:val="2"/>
                <w:szCs w:val="22"/>
                <w:highlight w:val="none"/>
                <w:lang w:val="en-US" w:eastAsia="zh-CN"/>
              </w:rPr>
              <w:t>4-</w:t>
            </w:r>
            <w:r>
              <w:rPr>
                <w:rFonts w:hint="eastAsia" w:eastAsia="黑体"/>
                <w:bCs/>
                <w:color w:val="auto"/>
                <w:kern w:val="2"/>
                <w:szCs w:val="22"/>
                <w:highlight w:val="none"/>
                <w:lang w:val="en-US" w:eastAsia="zh-CN"/>
              </w:rPr>
              <w:t xml:space="preserve">5  </w:t>
            </w:r>
            <w:r>
              <w:rPr>
                <w:rFonts w:hint="eastAsia" w:hAnsi="Calibri" w:eastAsia="黑体"/>
                <w:bCs/>
                <w:color w:val="auto"/>
                <w:kern w:val="2"/>
                <w:szCs w:val="22"/>
                <w:highlight w:val="none"/>
                <w:lang w:val="en-US" w:eastAsia="zh-CN"/>
              </w:rPr>
              <w:t>项目非正常</w:t>
            </w:r>
            <w:r>
              <w:rPr>
                <w:rFonts w:hAnsi="Calibri" w:eastAsia="黑体"/>
                <w:bCs/>
                <w:color w:val="auto"/>
                <w:kern w:val="2"/>
                <w:szCs w:val="22"/>
                <w:highlight w:val="none"/>
                <w:lang w:val="en-US" w:eastAsia="zh-CN"/>
              </w:rPr>
              <w:t>工况排放参数表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77"/>
              <w:gridCol w:w="1024"/>
              <w:gridCol w:w="1060"/>
              <w:gridCol w:w="1117"/>
              <w:gridCol w:w="1219"/>
              <w:gridCol w:w="1017"/>
            </w:tblGrid>
            <w:tr w14:paraId="7D161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79" w:type="pct"/>
                  <w:vMerge w:val="restart"/>
                  <w:tcBorders>
                    <w:top w:val="single" w:color="auto" w:sz="8" w:space="0"/>
                  </w:tcBorders>
                  <w:noWrap w:val="0"/>
                  <w:vAlign w:val="center"/>
                </w:tcPr>
                <w:p w14:paraId="03CDF106">
                  <w:pPr>
                    <w:widowControl/>
                    <w:snapToGrid w:val="0"/>
                    <w:spacing w:line="276" w:lineRule="auto"/>
                    <w:jc w:val="center"/>
                    <w:rPr>
                      <w:rFonts w:ascii="Times New Roman" w:hAnsi="宋体"/>
                      <w:b/>
                      <w:color w:val="auto"/>
                      <w:szCs w:val="21"/>
                      <w:highlight w:val="none"/>
                    </w:rPr>
                  </w:pPr>
                  <w:r>
                    <w:rPr>
                      <w:rFonts w:ascii="Times New Roman" w:hAnsi="宋体"/>
                      <w:b/>
                      <w:color w:val="auto"/>
                      <w:szCs w:val="21"/>
                      <w:highlight w:val="none"/>
                    </w:rPr>
                    <w:t>非正常</w:t>
                  </w:r>
                </w:p>
                <w:p w14:paraId="5FE78D19">
                  <w:pPr>
                    <w:widowControl/>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排放源</w:t>
                  </w:r>
                </w:p>
              </w:tc>
              <w:tc>
                <w:tcPr>
                  <w:tcW w:w="873" w:type="pct"/>
                  <w:vMerge w:val="restart"/>
                  <w:tcBorders>
                    <w:top w:val="single" w:color="auto" w:sz="8" w:space="0"/>
                  </w:tcBorders>
                  <w:noWrap w:val="0"/>
                  <w:vAlign w:val="center"/>
                </w:tcPr>
                <w:p w14:paraId="617A323B">
                  <w:pPr>
                    <w:widowControl/>
                    <w:snapToGrid w:val="0"/>
                    <w:spacing w:line="276" w:lineRule="auto"/>
                    <w:jc w:val="center"/>
                    <w:rPr>
                      <w:rFonts w:ascii="Times New Roman" w:hAnsi="宋体"/>
                      <w:b/>
                      <w:color w:val="auto"/>
                      <w:szCs w:val="21"/>
                      <w:highlight w:val="none"/>
                    </w:rPr>
                  </w:pPr>
                  <w:r>
                    <w:rPr>
                      <w:rFonts w:ascii="Times New Roman" w:hAnsi="宋体"/>
                      <w:b/>
                      <w:color w:val="auto"/>
                      <w:szCs w:val="21"/>
                      <w:highlight w:val="none"/>
                    </w:rPr>
                    <w:t>非正常排放</w:t>
                  </w:r>
                </w:p>
                <w:p w14:paraId="0F70C912">
                  <w:pPr>
                    <w:widowControl/>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原因</w:t>
                  </w:r>
                </w:p>
              </w:tc>
              <w:tc>
                <w:tcPr>
                  <w:tcW w:w="649" w:type="pct"/>
                  <w:vMerge w:val="restart"/>
                  <w:tcBorders>
                    <w:top w:val="single" w:color="auto" w:sz="8" w:space="0"/>
                  </w:tcBorders>
                  <w:noWrap w:val="0"/>
                  <w:vAlign w:val="center"/>
                </w:tcPr>
                <w:p w14:paraId="7BDC14CC">
                  <w:pPr>
                    <w:widowControl/>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污染物</w:t>
                  </w:r>
                </w:p>
              </w:tc>
              <w:tc>
                <w:tcPr>
                  <w:tcW w:w="672" w:type="pct"/>
                  <w:vMerge w:val="restart"/>
                  <w:tcBorders>
                    <w:top w:val="single" w:color="auto" w:sz="8" w:space="0"/>
                  </w:tcBorders>
                  <w:noWrap w:val="0"/>
                  <w:vAlign w:val="center"/>
                </w:tcPr>
                <w:p w14:paraId="66E197D2">
                  <w:pPr>
                    <w:widowControl/>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单次持续时间</w:t>
                  </w:r>
                  <w:r>
                    <w:rPr>
                      <w:rFonts w:ascii="Times New Roman" w:hAnsi="Times New Roman"/>
                      <w:b/>
                      <w:color w:val="auto"/>
                      <w:szCs w:val="21"/>
                      <w:highlight w:val="none"/>
                    </w:rPr>
                    <w:t>（h）</w:t>
                  </w:r>
                </w:p>
              </w:tc>
              <w:tc>
                <w:tcPr>
                  <w:tcW w:w="1481" w:type="pct"/>
                  <w:gridSpan w:val="2"/>
                  <w:tcBorders>
                    <w:top w:val="single" w:color="auto" w:sz="8" w:space="0"/>
                  </w:tcBorders>
                  <w:noWrap w:val="0"/>
                  <w:vAlign w:val="center"/>
                </w:tcPr>
                <w:p w14:paraId="5EA36AD8">
                  <w:pPr>
                    <w:widowControl/>
                    <w:snapToGrid w:val="0"/>
                    <w:spacing w:line="276" w:lineRule="auto"/>
                    <w:jc w:val="center"/>
                    <w:rPr>
                      <w:rFonts w:ascii="Times New Roman" w:hAnsi="宋体"/>
                      <w:b/>
                      <w:color w:val="auto"/>
                      <w:szCs w:val="21"/>
                      <w:highlight w:val="none"/>
                    </w:rPr>
                  </w:pPr>
                  <w:r>
                    <w:rPr>
                      <w:rFonts w:ascii="Times New Roman" w:hAnsi="宋体"/>
                      <w:b/>
                      <w:color w:val="auto"/>
                      <w:szCs w:val="21"/>
                      <w:highlight w:val="none"/>
                    </w:rPr>
                    <w:t>非正常排放</w:t>
                  </w:r>
                </w:p>
              </w:tc>
              <w:tc>
                <w:tcPr>
                  <w:tcW w:w="644" w:type="pct"/>
                  <w:vMerge w:val="restart"/>
                  <w:tcBorders>
                    <w:top w:val="single" w:color="auto" w:sz="8" w:space="0"/>
                  </w:tcBorders>
                  <w:noWrap w:val="0"/>
                  <w:vAlign w:val="center"/>
                </w:tcPr>
                <w:p w14:paraId="3CA22FA0">
                  <w:pPr>
                    <w:widowControl/>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年发生频次（次）</w:t>
                  </w:r>
                </w:p>
              </w:tc>
            </w:tr>
            <w:tr w14:paraId="60715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9" w:type="pct"/>
                  <w:vMerge w:val="continue"/>
                  <w:noWrap w:val="0"/>
                  <w:vAlign w:val="center"/>
                </w:tcPr>
                <w:p w14:paraId="11E9691E">
                  <w:pPr>
                    <w:widowControl/>
                    <w:snapToGrid w:val="0"/>
                    <w:spacing w:line="276" w:lineRule="auto"/>
                    <w:ind w:firstLine="361"/>
                    <w:jc w:val="center"/>
                    <w:rPr>
                      <w:rFonts w:ascii="Times New Roman" w:hAnsi="宋体"/>
                      <w:b/>
                      <w:color w:val="auto"/>
                      <w:szCs w:val="21"/>
                      <w:highlight w:val="none"/>
                    </w:rPr>
                  </w:pPr>
                </w:p>
              </w:tc>
              <w:tc>
                <w:tcPr>
                  <w:tcW w:w="873" w:type="pct"/>
                  <w:vMerge w:val="continue"/>
                  <w:noWrap w:val="0"/>
                  <w:vAlign w:val="center"/>
                </w:tcPr>
                <w:p w14:paraId="6CF6DC32">
                  <w:pPr>
                    <w:widowControl/>
                    <w:snapToGrid w:val="0"/>
                    <w:spacing w:line="276" w:lineRule="auto"/>
                    <w:ind w:firstLine="361"/>
                    <w:jc w:val="center"/>
                    <w:rPr>
                      <w:rFonts w:ascii="Times New Roman" w:hAnsi="宋体"/>
                      <w:b/>
                      <w:color w:val="auto"/>
                      <w:szCs w:val="21"/>
                      <w:highlight w:val="none"/>
                    </w:rPr>
                  </w:pPr>
                </w:p>
              </w:tc>
              <w:tc>
                <w:tcPr>
                  <w:tcW w:w="649" w:type="pct"/>
                  <w:vMerge w:val="continue"/>
                  <w:noWrap w:val="0"/>
                  <w:vAlign w:val="center"/>
                </w:tcPr>
                <w:p w14:paraId="64F3D061">
                  <w:pPr>
                    <w:widowControl/>
                    <w:snapToGrid w:val="0"/>
                    <w:spacing w:line="276" w:lineRule="auto"/>
                    <w:ind w:firstLine="361"/>
                    <w:jc w:val="center"/>
                    <w:rPr>
                      <w:rFonts w:ascii="Times New Roman" w:hAnsi="宋体"/>
                      <w:b/>
                      <w:color w:val="auto"/>
                      <w:szCs w:val="21"/>
                      <w:highlight w:val="none"/>
                    </w:rPr>
                  </w:pPr>
                </w:p>
              </w:tc>
              <w:tc>
                <w:tcPr>
                  <w:tcW w:w="672" w:type="pct"/>
                  <w:vMerge w:val="continue"/>
                  <w:noWrap w:val="0"/>
                  <w:vAlign w:val="center"/>
                </w:tcPr>
                <w:p w14:paraId="4F0DEA6E">
                  <w:pPr>
                    <w:widowControl/>
                    <w:snapToGrid w:val="0"/>
                    <w:spacing w:line="276" w:lineRule="auto"/>
                    <w:ind w:firstLine="361"/>
                    <w:jc w:val="center"/>
                    <w:rPr>
                      <w:rFonts w:ascii="Times New Roman" w:hAnsi="宋体"/>
                      <w:b/>
                      <w:color w:val="auto"/>
                      <w:szCs w:val="21"/>
                      <w:highlight w:val="none"/>
                    </w:rPr>
                  </w:pPr>
                </w:p>
              </w:tc>
              <w:tc>
                <w:tcPr>
                  <w:tcW w:w="708" w:type="pct"/>
                  <w:noWrap w:val="0"/>
                  <w:vAlign w:val="center"/>
                </w:tcPr>
                <w:p w14:paraId="5E07C535">
                  <w:pPr>
                    <w:widowControl/>
                    <w:snapToGrid w:val="0"/>
                    <w:spacing w:line="276" w:lineRule="auto"/>
                    <w:jc w:val="center"/>
                    <w:rPr>
                      <w:rFonts w:ascii="Times New Roman" w:hAnsi="宋体"/>
                      <w:b/>
                      <w:color w:val="auto"/>
                      <w:szCs w:val="21"/>
                      <w:highlight w:val="none"/>
                    </w:rPr>
                  </w:pPr>
                  <w:r>
                    <w:rPr>
                      <w:rFonts w:hint="eastAsia" w:ascii="Times New Roman" w:hAnsi="宋体"/>
                      <w:b/>
                      <w:color w:val="auto"/>
                      <w:szCs w:val="21"/>
                      <w:highlight w:val="none"/>
                    </w:rPr>
                    <w:t>排放量（kg/h）</w:t>
                  </w:r>
                </w:p>
              </w:tc>
              <w:tc>
                <w:tcPr>
                  <w:tcW w:w="772" w:type="pct"/>
                  <w:noWrap w:val="0"/>
                  <w:vAlign w:val="center"/>
                </w:tcPr>
                <w:p w14:paraId="137C1B22">
                  <w:pPr>
                    <w:widowControl/>
                    <w:snapToGrid w:val="0"/>
                    <w:spacing w:line="276" w:lineRule="auto"/>
                    <w:jc w:val="center"/>
                    <w:rPr>
                      <w:rFonts w:ascii="Times New Roman" w:hAnsi="宋体"/>
                      <w:b/>
                      <w:color w:val="auto"/>
                      <w:szCs w:val="21"/>
                      <w:highlight w:val="none"/>
                    </w:rPr>
                  </w:pPr>
                  <w:r>
                    <w:rPr>
                      <w:rFonts w:hint="eastAsia" w:ascii="Times New Roman" w:hAnsi="宋体"/>
                      <w:b/>
                      <w:color w:val="auto"/>
                      <w:szCs w:val="21"/>
                      <w:highlight w:val="none"/>
                    </w:rPr>
                    <w:t>浓度（mg/m</w:t>
                  </w:r>
                  <w:r>
                    <w:rPr>
                      <w:rFonts w:hint="eastAsia" w:ascii="Times New Roman" w:hAnsi="宋体"/>
                      <w:b/>
                      <w:color w:val="auto"/>
                      <w:szCs w:val="21"/>
                      <w:highlight w:val="none"/>
                      <w:vertAlign w:val="superscript"/>
                    </w:rPr>
                    <w:t>3</w:t>
                  </w:r>
                  <w:r>
                    <w:rPr>
                      <w:rFonts w:hint="eastAsia" w:ascii="Times New Roman" w:hAnsi="宋体"/>
                      <w:b/>
                      <w:color w:val="auto"/>
                      <w:szCs w:val="21"/>
                      <w:highlight w:val="none"/>
                    </w:rPr>
                    <w:t>）</w:t>
                  </w:r>
                </w:p>
              </w:tc>
              <w:tc>
                <w:tcPr>
                  <w:tcW w:w="644" w:type="pct"/>
                  <w:vMerge w:val="continue"/>
                  <w:noWrap w:val="0"/>
                  <w:vAlign w:val="center"/>
                </w:tcPr>
                <w:p w14:paraId="0D2D5076">
                  <w:pPr>
                    <w:widowControl/>
                    <w:snapToGrid w:val="0"/>
                    <w:spacing w:line="276" w:lineRule="auto"/>
                    <w:ind w:firstLine="361"/>
                    <w:jc w:val="center"/>
                    <w:rPr>
                      <w:rFonts w:ascii="Times New Roman" w:hAnsi="宋体"/>
                      <w:b/>
                      <w:color w:val="auto"/>
                      <w:szCs w:val="21"/>
                      <w:highlight w:val="none"/>
                    </w:rPr>
                  </w:pPr>
                </w:p>
              </w:tc>
            </w:tr>
            <w:tr w14:paraId="5DA06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noWrap w:val="0"/>
                  <w:vAlign w:val="center"/>
                </w:tcPr>
                <w:p w14:paraId="3199343C">
                  <w:pPr>
                    <w:widowControl/>
                    <w:snapToGrid w:val="0"/>
                    <w:spacing w:line="276" w:lineRule="auto"/>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DA001排气筒</w:t>
                  </w:r>
                </w:p>
              </w:tc>
              <w:tc>
                <w:tcPr>
                  <w:tcW w:w="873" w:type="pct"/>
                  <w:noWrap w:val="0"/>
                  <w:vAlign w:val="center"/>
                </w:tcPr>
                <w:p w14:paraId="64831081">
                  <w:pPr>
                    <w:widowControl/>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废气治理设施故障</w:t>
                  </w:r>
                </w:p>
              </w:tc>
              <w:tc>
                <w:tcPr>
                  <w:tcW w:w="649" w:type="pct"/>
                  <w:noWrap w:val="0"/>
                  <w:vAlign w:val="center"/>
                </w:tcPr>
                <w:p w14:paraId="4826C3BF">
                  <w:pPr>
                    <w:widowControl/>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非甲烷总烃</w:t>
                  </w:r>
                </w:p>
              </w:tc>
              <w:tc>
                <w:tcPr>
                  <w:tcW w:w="672" w:type="pct"/>
                  <w:noWrap w:val="0"/>
                  <w:vAlign w:val="center"/>
                </w:tcPr>
                <w:p w14:paraId="60DE341D">
                  <w:pPr>
                    <w:widowControl/>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0.5</w:t>
                  </w:r>
                </w:p>
              </w:tc>
              <w:tc>
                <w:tcPr>
                  <w:tcW w:w="708" w:type="pct"/>
                  <w:noWrap w:val="0"/>
                  <w:vAlign w:val="center"/>
                </w:tcPr>
                <w:p w14:paraId="047D3A86">
                  <w:pPr>
                    <w:widowControl/>
                    <w:snapToGrid w:val="0"/>
                    <w:spacing w:line="276"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0.39</w:t>
                  </w:r>
                </w:p>
              </w:tc>
              <w:tc>
                <w:tcPr>
                  <w:tcW w:w="772" w:type="pct"/>
                  <w:noWrap w:val="0"/>
                  <w:vAlign w:val="center"/>
                </w:tcPr>
                <w:p w14:paraId="6633FBB7">
                  <w:pPr>
                    <w:widowControl/>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kern w:val="0"/>
                      <w:szCs w:val="21"/>
                      <w:highlight w:val="none"/>
                      <w:lang w:val="en-US" w:eastAsia="zh-CN"/>
                    </w:rPr>
                    <w:t>19.53</w:t>
                  </w:r>
                </w:p>
              </w:tc>
              <w:tc>
                <w:tcPr>
                  <w:tcW w:w="644" w:type="pct"/>
                  <w:noWrap w:val="0"/>
                  <w:vAlign w:val="center"/>
                </w:tcPr>
                <w:p w14:paraId="4F6BCC2D">
                  <w:pPr>
                    <w:widowControl/>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2</w:t>
                  </w:r>
                </w:p>
              </w:tc>
            </w:tr>
          </w:tbl>
          <w:p w14:paraId="44BDC86F">
            <w:pPr>
              <w:spacing w:line="360" w:lineRule="auto"/>
              <w:ind w:firstLine="480" w:firstLineChars="200"/>
              <w:rPr>
                <w:rFonts w:ascii="Times New Roman" w:hAnsi="Times New Roman"/>
                <w:bCs/>
                <w:color w:val="auto"/>
                <w:sz w:val="24"/>
                <w:szCs w:val="24"/>
                <w:highlight w:val="none"/>
              </w:rPr>
            </w:pPr>
            <w:r>
              <w:rPr>
                <w:rFonts w:ascii="Times New Roman" w:hAnsi="Times New Roman"/>
                <w:bCs/>
                <w:color w:val="auto"/>
                <w:sz w:val="24"/>
                <w:szCs w:val="24"/>
                <w:highlight w:val="none"/>
              </w:rPr>
              <w:t>由上表可知，本项目在污染治理设施非正常运行时，短时间内污染物排放浓度较大，但由于持续时间较短，污染物的排放量不会明显增加。此外，为保证废气治理设施处理效率，企业应</w:t>
            </w:r>
            <w:r>
              <w:rPr>
                <w:rFonts w:hint="eastAsia" w:ascii="Times New Roman" w:hAnsi="Times New Roman"/>
                <w:bCs/>
                <w:color w:val="auto"/>
                <w:sz w:val="24"/>
                <w:szCs w:val="24"/>
                <w:highlight w:val="none"/>
              </w:rPr>
              <w:t>定期对废气处理系统等环保设施进行维护和保养，一旦发现设施运行异常，应立即停止生产，迅速抢修或更换，待废气处理设施运行正常后恢复生产。对员工进行岗位培训。做好值班记录，实行岗位责任制。</w:t>
            </w:r>
          </w:p>
          <w:p w14:paraId="3F52E6C4">
            <w:pPr>
              <w:spacing w:line="360" w:lineRule="auto"/>
              <w:ind w:firstLine="482" w:firstLineChars="200"/>
              <w:jc w:val="left"/>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2、运营期大气环境保护措施</w:t>
            </w:r>
          </w:p>
          <w:p w14:paraId="0C833A8B">
            <w:pPr>
              <w:spacing w:line="360" w:lineRule="auto"/>
              <w:ind w:firstLine="480" w:firstLineChars="200"/>
              <w:rPr>
                <w:rFonts w:hint="eastAsia" w:ascii="Times New Roman" w:hAnsi="Times New Roman" w:eastAsia="宋体"/>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1</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废气处理措施</w:t>
            </w:r>
          </w:p>
          <w:p w14:paraId="285793C5">
            <w:pPr>
              <w:spacing w:line="360" w:lineRule="auto"/>
              <w:rPr>
                <w:rFonts w:hint="eastAsia" w:ascii="Times New Roman" w:hAnsi="Times New Roman" w:eastAsia="宋体"/>
                <w:bCs/>
                <w:color w:val="auto"/>
                <w:sz w:val="24"/>
                <w:szCs w:val="24"/>
                <w:highlight w:val="none"/>
                <w:lang w:eastAsia="zh-CN"/>
              </w:rPr>
            </w:pPr>
            <w:r>
              <w:rPr>
                <w:rFonts w:hint="eastAsia" w:ascii="Times New Roman" w:hAnsi="Times New Roman" w:eastAsia="宋体"/>
                <w:bCs/>
                <w:color w:val="auto"/>
                <w:sz w:val="24"/>
                <w:szCs w:val="24"/>
                <w:highlight w:val="none"/>
                <w:lang w:eastAsia="zh-CN"/>
              </w:rPr>
              <w:drawing>
                <wp:inline distT="0" distB="0" distL="114300" distR="114300">
                  <wp:extent cx="5006975" cy="805815"/>
                  <wp:effectExtent l="0" t="0" r="3175" b="13335"/>
                  <wp:docPr id="15" name="图片 71" descr="27c46a5f55ae085800451e5fe669c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1" descr="27c46a5f55ae085800451e5fe669cdcd"/>
                          <pic:cNvPicPr>
                            <a:picLocks noChangeAspect="1"/>
                          </pic:cNvPicPr>
                        </pic:nvPicPr>
                        <pic:blipFill>
                          <a:blip r:embed="rId19"/>
                          <a:stretch>
                            <a:fillRect/>
                          </a:stretch>
                        </pic:blipFill>
                        <pic:spPr>
                          <a:xfrm>
                            <a:off x="0" y="0"/>
                            <a:ext cx="5006975" cy="805815"/>
                          </a:xfrm>
                          <a:prstGeom prst="rect">
                            <a:avLst/>
                          </a:prstGeom>
                          <a:noFill/>
                          <a:ln>
                            <a:noFill/>
                          </a:ln>
                        </pic:spPr>
                      </pic:pic>
                    </a:graphicData>
                  </a:graphic>
                </wp:inline>
              </w:drawing>
            </w:r>
          </w:p>
          <w:p w14:paraId="7865365F">
            <w:pPr>
              <w:spacing w:line="360" w:lineRule="auto"/>
              <w:jc w:val="center"/>
              <w:rPr>
                <w:rFonts w:hint="default" w:ascii="Times New Roman" w:hAnsi="Times New Roman" w:eastAsia="黑体" w:cs="Times New Roman"/>
                <w:bCs/>
                <w:color w:val="auto"/>
                <w:sz w:val="24"/>
                <w:szCs w:val="24"/>
                <w:highlight w:val="none"/>
                <w:lang w:val="en-US" w:eastAsia="zh-CN"/>
              </w:rPr>
            </w:pPr>
            <w:r>
              <w:rPr>
                <w:rFonts w:hint="default" w:ascii="Times New Roman" w:hAnsi="Times New Roman" w:eastAsia="黑体" w:cs="Times New Roman"/>
                <w:bCs/>
                <w:color w:val="auto"/>
                <w:sz w:val="24"/>
                <w:szCs w:val="24"/>
                <w:highlight w:val="none"/>
                <w:lang w:val="en-US" w:eastAsia="zh-CN"/>
              </w:rPr>
              <w:t>图4-1 项目废气产生、收集、处理排放示意图</w:t>
            </w:r>
          </w:p>
          <w:p w14:paraId="5F182861">
            <w:pPr>
              <w:spacing w:line="360" w:lineRule="auto"/>
              <w:ind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本项目</w:t>
            </w:r>
            <w:r>
              <w:rPr>
                <w:rFonts w:hint="eastAsia" w:ascii="Times New Roman" w:hAnsi="Times New Roman"/>
                <w:bCs/>
                <w:color w:val="auto"/>
                <w:sz w:val="24"/>
                <w:szCs w:val="24"/>
                <w:highlight w:val="none"/>
              </w:rPr>
              <w:t>处理后</w:t>
            </w:r>
            <w:r>
              <w:rPr>
                <w:rFonts w:hint="eastAsia" w:ascii="Times New Roman" w:hAnsi="Times New Roman"/>
                <w:bCs/>
                <w:color w:val="auto"/>
                <w:sz w:val="24"/>
                <w:szCs w:val="24"/>
                <w:highlight w:val="none"/>
                <w:lang w:val="en-US" w:eastAsia="zh-CN"/>
              </w:rPr>
              <w:t>的</w:t>
            </w:r>
            <w:r>
              <w:rPr>
                <w:rFonts w:hint="eastAsia" w:ascii="Times New Roman" w:hAnsi="Times New Roman"/>
                <w:bCs/>
                <w:color w:val="auto"/>
                <w:sz w:val="24"/>
                <w:szCs w:val="24"/>
                <w:highlight w:val="none"/>
              </w:rPr>
              <w:t>有机废气有组织排放满足《玻璃工业大气污染物排放标准》GB26453-2022</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表1中排放限值要求。</w:t>
            </w:r>
          </w:p>
          <w:p w14:paraId="08D416DF">
            <w:pPr>
              <w:spacing w:line="360" w:lineRule="auto"/>
              <w:ind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rPr>
              <w:t>本项目提出VOCs物料储存、转移等无组织排放控制要求如下</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加强生产管理、确保设备的密闭性</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加强设备的维护，定期对设备进行检查，减少装置的跑、冒、滴、漏</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提高设备的密封性能，包括管道连接件、阀门等的密封性能，以减少无组织废气的排放，同时应安装机械排风扇，增加换气次数</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加强对操作工的培训和管理，确保废气的捕捉率，以减少人为造成的废气无组织排放</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定期对环保设备进行检查、维护和保养</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加强环保设施维护保养，所有风机、管道、阀门等连接部位、运转部位都应连接牢固，做到严密、不渗、不漏、不跑气。在车间内备有足够的通风设施，防止管道和收集系统的</w:t>
            </w:r>
            <w:r>
              <w:rPr>
                <w:rFonts w:hint="eastAsia" w:ascii="Times New Roman" w:hAnsi="Times New Roman"/>
                <w:bCs/>
                <w:color w:val="auto"/>
                <w:sz w:val="24"/>
                <w:szCs w:val="24"/>
                <w:highlight w:val="none"/>
                <w:lang w:eastAsia="zh-CN"/>
              </w:rPr>
              <w:t>泄漏</w:t>
            </w:r>
            <w:r>
              <w:rPr>
                <w:rFonts w:hint="eastAsia" w:ascii="Times New Roman" w:hAnsi="Times New Roman"/>
                <w:bCs/>
                <w:color w:val="auto"/>
                <w:sz w:val="24"/>
                <w:szCs w:val="24"/>
                <w:highlight w:val="none"/>
              </w:rPr>
              <w:t>，避免事故性无组织排放。</w:t>
            </w:r>
          </w:p>
          <w:p w14:paraId="6D306C6F">
            <w:pPr>
              <w:spacing w:line="360" w:lineRule="auto"/>
              <w:ind w:firstLine="480" w:firstLineChars="200"/>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rPr>
              <w:t>(2)技术可行性分析</w:t>
            </w:r>
          </w:p>
          <w:p w14:paraId="3D0726A0">
            <w:pPr>
              <w:spacing w:line="360" w:lineRule="auto"/>
              <w:ind w:firstLine="480" w:firstLineChars="200"/>
              <w:rPr>
                <w:rFonts w:ascii="Times New Roman" w:hAnsi="Times New Roman"/>
                <w:bCs/>
                <w:color w:val="auto"/>
                <w:sz w:val="24"/>
                <w:szCs w:val="24"/>
                <w:highlight w:val="none"/>
              </w:rPr>
            </w:pPr>
            <w:r>
              <w:rPr>
                <w:rFonts w:hint="eastAsia" w:ascii="Times New Roman" w:hAnsi="Times New Roman"/>
                <w:bCs/>
                <w:color w:val="auto"/>
                <w:sz w:val="24"/>
                <w:szCs w:val="24"/>
                <w:highlight w:val="none"/>
              </w:rPr>
              <w:t>根据《排污许可证申请与核发技术规范</w:t>
            </w:r>
            <w:r>
              <w:rPr>
                <w:rFonts w:hint="eastAsia" w:ascii="Times New Roman" w:hAnsi="Times New Roman"/>
                <w:bCs/>
                <w:color w:val="auto"/>
                <w:sz w:val="24"/>
                <w:szCs w:val="24"/>
                <w:highlight w:val="none"/>
                <w:lang w:val="en-US" w:eastAsia="zh-CN"/>
              </w:rPr>
              <w:t xml:space="preserve">  </w:t>
            </w:r>
            <w:r>
              <w:rPr>
                <w:rFonts w:hint="eastAsia" w:ascii="Times New Roman" w:hAnsi="Times New Roman"/>
                <w:bCs/>
                <w:color w:val="auto"/>
                <w:sz w:val="24"/>
                <w:szCs w:val="24"/>
                <w:highlight w:val="none"/>
              </w:rPr>
              <w:t>总则》</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HJ819-2017</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，并参照《</w:t>
            </w:r>
            <w:r>
              <w:rPr>
                <w:rFonts w:hint="eastAsia" w:ascii="Times New Roman" w:hAnsi="Times New Roman"/>
                <w:bCs/>
                <w:color w:val="auto"/>
                <w:sz w:val="24"/>
                <w:szCs w:val="24"/>
                <w:highlight w:val="none"/>
                <w:lang w:eastAsia="zh-CN"/>
              </w:rPr>
              <w:t>排污许可证申请与核发技术规范 玻璃工业—平板玻璃</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H</w:t>
            </w:r>
            <w:r>
              <w:rPr>
                <w:rFonts w:hint="eastAsia" w:ascii="Times New Roman" w:hAnsi="Times New Roman"/>
                <w:bCs/>
                <w:color w:val="auto"/>
                <w:sz w:val="24"/>
                <w:szCs w:val="24"/>
                <w:highlight w:val="none"/>
                <w:lang w:val="en-US" w:eastAsia="zh-CN"/>
              </w:rPr>
              <w:t>856-2017</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可知，废气处理污染防治设施推荐为活性炭吸附法、燃烧法、浓缩+燃烧法、其他等，本项目有机废气采用</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两级活性炭吸附</w:t>
            </w:r>
            <w:r>
              <w:rPr>
                <w:rFonts w:hint="eastAsia" w:ascii="Times New Roman" w:hAnsi="Times New Roman"/>
                <w:bCs/>
                <w:color w:val="auto"/>
                <w:sz w:val="24"/>
                <w:szCs w:val="24"/>
                <w:highlight w:val="none"/>
              </w:rPr>
              <w:t>法</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val="en-US" w:eastAsia="zh-CN"/>
              </w:rPr>
              <w:t>同时采用蜂窝活性炭，碘值不低于800mg/g，</w:t>
            </w:r>
            <w:r>
              <w:rPr>
                <w:rFonts w:hint="eastAsia" w:ascii="Times New Roman" w:hAnsi="Times New Roman"/>
                <w:bCs/>
                <w:color w:val="auto"/>
                <w:sz w:val="24"/>
                <w:szCs w:val="24"/>
                <w:highlight w:val="none"/>
              </w:rPr>
              <w:t>属于技术规范推荐的可行性技术措施。</w:t>
            </w:r>
          </w:p>
          <w:p w14:paraId="66591F6D">
            <w:pPr>
              <w:spacing w:line="360" w:lineRule="auto"/>
              <w:ind w:firstLine="480" w:firstLineChars="200"/>
              <w:rPr>
                <w:rFonts w:ascii="Times New Roman" w:hAnsi="Times New Roman"/>
                <w:bCs/>
                <w:color w:val="auto"/>
                <w:sz w:val="24"/>
                <w:szCs w:val="24"/>
                <w:highlight w:val="none"/>
              </w:rPr>
            </w:pPr>
            <w:r>
              <w:rPr>
                <w:rFonts w:ascii="Times New Roman" w:hAnsi="Times New Roman"/>
                <w:color w:val="auto"/>
                <w:sz w:val="24"/>
                <w:szCs w:val="24"/>
                <w:highlight w:val="none"/>
              </w:rPr>
              <w:t>综上可知，本项目废气有组织污染治理措施可行，可以实现长期稳定达标排放，对大气影响可接受。</w:t>
            </w:r>
          </w:p>
          <w:p w14:paraId="3B502EE0">
            <w:pPr>
              <w:spacing w:line="360" w:lineRule="auto"/>
              <w:ind w:firstLine="482" w:firstLineChars="200"/>
              <w:rPr>
                <w:rFonts w:ascii="Times New Roman" w:hAnsi="Times New Roman"/>
                <w:b/>
                <w:color w:val="auto"/>
                <w:sz w:val="24"/>
                <w:highlight w:val="none"/>
              </w:rPr>
            </w:pPr>
            <w:r>
              <w:rPr>
                <w:rFonts w:hint="eastAsia" w:ascii="Times New Roman"/>
                <w:b/>
                <w:color w:val="auto"/>
                <w:sz w:val="24"/>
                <w:highlight w:val="none"/>
              </w:rPr>
              <w:t>（3）</w:t>
            </w:r>
            <w:r>
              <w:rPr>
                <w:rFonts w:ascii="Times New Roman"/>
                <w:b/>
                <w:color w:val="auto"/>
                <w:sz w:val="24"/>
                <w:highlight w:val="none"/>
              </w:rPr>
              <w:t>监测计划</w:t>
            </w:r>
          </w:p>
          <w:p w14:paraId="4265D041">
            <w:pPr>
              <w:spacing w:line="360" w:lineRule="auto"/>
              <w:ind w:firstLine="480" w:firstLineChars="200"/>
              <w:rPr>
                <w:rFonts w:ascii="Times New Roman" w:hAnsi="Times New Roman"/>
                <w:color w:val="auto"/>
                <w:sz w:val="24"/>
                <w:highlight w:val="none"/>
              </w:rPr>
            </w:pPr>
            <w:r>
              <w:rPr>
                <w:rFonts w:hint="eastAsia" w:ascii="Times New Roman" w:hAnsi="Times New Roman"/>
                <w:bCs/>
                <w:color w:val="auto"/>
                <w:sz w:val="24"/>
                <w:szCs w:val="24"/>
                <w:highlight w:val="none"/>
                <w:lang w:val="en-US" w:eastAsia="zh-CN"/>
              </w:rPr>
              <w:t>依据</w:t>
            </w:r>
            <w:r>
              <w:rPr>
                <w:rFonts w:hint="eastAsia" w:ascii="Times New Roman" w:hAnsi="Times New Roman"/>
                <w:bCs/>
                <w:color w:val="auto"/>
                <w:sz w:val="24"/>
                <w:szCs w:val="24"/>
                <w:highlight w:val="none"/>
              </w:rPr>
              <w:t>《排污许可证申请与核发技术规范总则》</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HJ819-2017</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，并参照《排污单位自行监测技术指南 平板玻璃工业》</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HJ 988-2018</w:t>
            </w:r>
            <w:r>
              <w:rPr>
                <w:rFonts w:hint="eastAsia" w:ascii="Times New Roman" w:hAnsi="Times New Roman"/>
                <w:bCs/>
                <w:color w:val="auto"/>
                <w:sz w:val="24"/>
                <w:szCs w:val="24"/>
                <w:highlight w:val="none"/>
                <w:lang w:eastAsia="zh-CN"/>
              </w:rPr>
              <w:t>）</w:t>
            </w:r>
            <w:r>
              <w:rPr>
                <w:rFonts w:ascii="Times New Roman"/>
                <w:color w:val="auto"/>
                <w:sz w:val="24"/>
                <w:highlight w:val="none"/>
              </w:rPr>
              <w:t>要求，本项目运行后</w:t>
            </w:r>
            <w:r>
              <w:rPr>
                <w:rFonts w:hint="eastAsia" w:ascii="Times New Roman"/>
                <w:color w:val="auto"/>
                <w:sz w:val="24"/>
                <w:highlight w:val="none"/>
              </w:rPr>
              <w:t>，</w:t>
            </w:r>
            <w:r>
              <w:rPr>
                <w:rFonts w:ascii="Times New Roman"/>
                <w:color w:val="auto"/>
                <w:sz w:val="24"/>
                <w:highlight w:val="none"/>
              </w:rPr>
              <w:t>污染物废气监测计划见下表。</w:t>
            </w:r>
          </w:p>
          <w:p w14:paraId="15453083">
            <w:pPr>
              <w:pStyle w:val="61"/>
              <w:adjustRightInd/>
              <w:spacing w:line="360" w:lineRule="auto"/>
              <w:ind w:left="0" w:leftChars="0" w:right="0" w:firstLine="0" w:firstLineChars="0"/>
              <w:jc w:val="center"/>
              <w:rPr>
                <w:rFonts w:ascii="Calibri" w:hAnsi="Calibri" w:eastAsia="黑体"/>
                <w:bCs/>
                <w:color w:val="auto"/>
                <w:kern w:val="2"/>
                <w:szCs w:val="22"/>
                <w:highlight w:val="none"/>
                <w:lang w:val="en-US" w:eastAsia="zh-CN"/>
              </w:rPr>
            </w:pPr>
            <w:r>
              <w:rPr>
                <w:rFonts w:ascii="Calibri" w:hAnsi="Calibri" w:eastAsia="黑体"/>
                <w:bCs/>
                <w:color w:val="auto"/>
                <w:kern w:val="2"/>
                <w:szCs w:val="22"/>
                <w:highlight w:val="none"/>
                <w:lang w:val="en-US" w:eastAsia="zh-CN"/>
              </w:rPr>
              <w:t>表</w:t>
            </w:r>
            <w:r>
              <w:rPr>
                <w:rFonts w:hint="eastAsia" w:eastAsia="黑体"/>
                <w:bCs/>
                <w:color w:val="auto"/>
                <w:kern w:val="2"/>
                <w:szCs w:val="22"/>
                <w:highlight w:val="none"/>
                <w:lang w:val="en-US" w:eastAsia="zh-CN"/>
              </w:rPr>
              <w:t xml:space="preserve">4-6  </w:t>
            </w:r>
            <w:r>
              <w:rPr>
                <w:rFonts w:ascii="Calibri" w:hAnsi="Calibri" w:eastAsia="黑体"/>
                <w:bCs/>
                <w:color w:val="auto"/>
                <w:kern w:val="2"/>
                <w:szCs w:val="22"/>
                <w:highlight w:val="none"/>
                <w:lang w:val="en-US" w:eastAsia="zh-CN"/>
              </w:rPr>
              <w:t>废气监测计划一览表</w:t>
            </w:r>
          </w:p>
          <w:tbl>
            <w:tblPr>
              <w:tblStyle w:val="2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018"/>
              <w:gridCol w:w="1368"/>
              <w:gridCol w:w="1366"/>
              <w:gridCol w:w="2540"/>
            </w:tblGrid>
            <w:tr w14:paraId="1CD634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noWrap w:val="0"/>
                  <w:vAlign w:val="center"/>
                </w:tcPr>
                <w:p w14:paraId="7A1E8958">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类别</w:t>
                  </w:r>
                </w:p>
              </w:tc>
              <w:tc>
                <w:tcPr>
                  <w:tcW w:w="1279" w:type="pct"/>
                  <w:noWrap w:val="0"/>
                  <w:vAlign w:val="center"/>
                </w:tcPr>
                <w:p w14:paraId="35681786">
                  <w:pPr>
                    <w:snapToGrid w:val="0"/>
                    <w:spacing w:line="276" w:lineRule="auto"/>
                    <w:jc w:val="center"/>
                    <w:rPr>
                      <w:rFonts w:ascii="Times New Roman" w:hAnsi="Times New Roman"/>
                      <w:bCs/>
                      <w:color w:val="auto"/>
                      <w:spacing w:val="8"/>
                      <w:szCs w:val="21"/>
                      <w:highlight w:val="none"/>
                    </w:rPr>
                  </w:pPr>
                  <w:r>
                    <w:rPr>
                      <w:rFonts w:ascii="Times New Roman" w:hAnsi="Times New Roman"/>
                      <w:b/>
                      <w:color w:val="auto"/>
                      <w:spacing w:val="8"/>
                      <w:szCs w:val="21"/>
                      <w:highlight w:val="none"/>
                    </w:rPr>
                    <w:t>监测点位</w:t>
                  </w:r>
                </w:p>
              </w:tc>
              <w:tc>
                <w:tcPr>
                  <w:tcW w:w="867" w:type="pct"/>
                  <w:noWrap w:val="0"/>
                  <w:vAlign w:val="center"/>
                </w:tcPr>
                <w:p w14:paraId="19008218">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监测因子</w:t>
                  </w:r>
                </w:p>
              </w:tc>
              <w:tc>
                <w:tcPr>
                  <w:tcW w:w="866" w:type="pct"/>
                  <w:noWrap w:val="0"/>
                  <w:vAlign w:val="center"/>
                </w:tcPr>
                <w:p w14:paraId="668BFDAF">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监测频率</w:t>
                  </w:r>
                </w:p>
              </w:tc>
              <w:tc>
                <w:tcPr>
                  <w:tcW w:w="1610" w:type="pct"/>
                  <w:noWrap w:val="0"/>
                  <w:vAlign w:val="center"/>
                </w:tcPr>
                <w:p w14:paraId="40A3DC8C">
                  <w:pPr>
                    <w:snapToGrid w:val="0"/>
                    <w:spacing w:line="276" w:lineRule="auto"/>
                    <w:jc w:val="center"/>
                    <w:rPr>
                      <w:rFonts w:ascii="Times New Roman" w:hAnsi="Times New Roman"/>
                      <w:b/>
                      <w:color w:val="auto"/>
                      <w:szCs w:val="21"/>
                      <w:highlight w:val="none"/>
                    </w:rPr>
                  </w:pPr>
                  <w:r>
                    <w:rPr>
                      <w:rFonts w:ascii="Times New Roman" w:hAnsi="Times New Roman"/>
                      <w:b/>
                      <w:color w:val="auto"/>
                      <w:szCs w:val="21"/>
                      <w:highlight w:val="none"/>
                    </w:rPr>
                    <w:t>执行标准</w:t>
                  </w:r>
                </w:p>
              </w:tc>
            </w:tr>
            <w:tr w14:paraId="700253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restart"/>
                  <w:noWrap w:val="0"/>
                  <w:vAlign w:val="center"/>
                </w:tcPr>
                <w:p w14:paraId="38407FE5">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废气</w:t>
                  </w:r>
                </w:p>
              </w:tc>
              <w:tc>
                <w:tcPr>
                  <w:tcW w:w="1279" w:type="pct"/>
                  <w:noWrap w:val="0"/>
                  <w:vAlign w:val="center"/>
                </w:tcPr>
                <w:p w14:paraId="50B407E1">
                  <w:pPr>
                    <w:snapToGrid w:val="0"/>
                    <w:spacing w:line="276" w:lineRule="auto"/>
                    <w:jc w:val="center"/>
                    <w:rPr>
                      <w:rFonts w:ascii="Times New Roman" w:hAnsi="Times New Roman"/>
                      <w:bCs/>
                      <w:color w:val="auto"/>
                      <w:spacing w:val="8"/>
                      <w:szCs w:val="21"/>
                      <w:highlight w:val="none"/>
                    </w:rPr>
                  </w:pPr>
                  <w:r>
                    <w:rPr>
                      <w:rFonts w:ascii="Times New Roman" w:hAnsi="Times New Roman"/>
                      <w:bCs/>
                      <w:color w:val="auto"/>
                      <w:spacing w:val="8"/>
                      <w:szCs w:val="21"/>
                      <w:highlight w:val="none"/>
                    </w:rPr>
                    <w:t>排气筒DA001</w:t>
                  </w:r>
                </w:p>
              </w:tc>
              <w:tc>
                <w:tcPr>
                  <w:tcW w:w="867" w:type="pct"/>
                  <w:noWrap w:val="0"/>
                  <w:vAlign w:val="center"/>
                </w:tcPr>
                <w:p w14:paraId="32C95AD8">
                  <w:pPr>
                    <w:snapToGrid w:val="0"/>
                    <w:spacing w:line="276" w:lineRule="auto"/>
                    <w:jc w:val="center"/>
                    <w:rPr>
                      <w:rFonts w:ascii="Times New Roman" w:hAnsi="Times New Roman"/>
                      <w:bCs/>
                      <w:color w:val="auto"/>
                      <w:spacing w:val="8"/>
                      <w:szCs w:val="21"/>
                      <w:highlight w:val="none"/>
                    </w:rPr>
                  </w:pPr>
                  <w:r>
                    <w:rPr>
                      <w:rFonts w:hint="eastAsia" w:ascii="Times New Roman" w:hAnsi="Times New Roman"/>
                      <w:bCs/>
                      <w:color w:val="auto"/>
                      <w:spacing w:val="8"/>
                      <w:szCs w:val="21"/>
                      <w:highlight w:val="none"/>
                    </w:rPr>
                    <w:t>非甲烷总烃</w:t>
                  </w:r>
                </w:p>
              </w:tc>
              <w:tc>
                <w:tcPr>
                  <w:tcW w:w="866" w:type="pct"/>
                  <w:noWrap w:val="0"/>
                  <w:vAlign w:val="center"/>
                </w:tcPr>
                <w:p w14:paraId="7A8E7CE2">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1次/年</w:t>
                  </w:r>
                </w:p>
              </w:tc>
              <w:tc>
                <w:tcPr>
                  <w:tcW w:w="1610" w:type="pct"/>
                  <w:vMerge w:val="restart"/>
                  <w:noWrap w:val="0"/>
                  <w:vAlign w:val="center"/>
                </w:tcPr>
                <w:p w14:paraId="348D74A5">
                  <w:pPr>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《玻璃工业大气污染物排放标准》</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GB</w:t>
                  </w:r>
                  <w:r>
                    <w:rPr>
                      <w:rFonts w:hint="eastAsia" w:ascii="Times New Roman" w:hAnsi="Times New Roman"/>
                      <w:color w:val="auto"/>
                      <w:szCs w:val="21"/>
                      <w:highlight w:val="none"/>
                      <w:lang w:val="en-US" w:eastAsia="zh-CN"/>
                    </w:rPr>
                    <w:t xml:space="preserve"> </w:t>
                  </w:r>
                  <w:r>
                    <w:rPr>
                      <w:rFonts w:hint="eastAsia" w:ascii="Times New Roman" w:hAnsi="Times New Roman"/>
                      <w:color w:val="auto"/>
                      <w:szCs w:val="21"/>
                      <w:highlight w:val="none"/>
                    </w:rPr>
                    <w:t>26453-2022</w:t>
                  </w:r>
                  <w:r>
                    <w:rPr>
                      <w:rFonts w:hint="eastAsia" w:ascii="Times New Roman" w:hAnsi="Times New Roman"/>
                      <w:color w:val="auto"/>
                      <w:szCs w:val="21"/>
                      <w:highlight w:val="none"/>
                      <w:lang w:eastAsia="zh-CN"/>
                    </w:rPr>
                    <w:t>）</w:t>
                  </w:r>
                </w:p>
              </w:tc>
            </w:tr>
            <w:tr w14:paraId="110B07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noWrap w:val="0"/>
                  <w:vAlign w:val="center"/>
                </w:tcPr>
                <w:p w14:paraId="1E42FFAC">
                  <w:pPr>
                    <w:snapToGrid w:val="0"/>
                    <w:spacing w:line="276" w:lineRule="auto"/>
                    <w:jc w:val="center"/>
                    <w:rPr>
                      <w:rFonts w:hint="eastAsia" w:ascii="Times New Roman" w:hAnsi="Times New Roman"/>
                      <w:color w:val="auto"/>
                      <w:szCs w:val="21"/>
                      <w:highlight w:val="none"/>
                    </w:rPr>
                  </w:pPr>
                </w:p>
              </w:tc>
              <w:tc>
                <w:tcPr>
                  <w:tcW w:w="1279" w:type="pct"/>
                  <w:noWrap w:val="0"/>
                  <w:vAlign w:val="center"/>
                </w:tcPr>
                <w:p w14:paraId="345B2747">
                  <w:pPr>
                    <w:snapToGrid w:val="0"/>
                    <w:spacing w:line="276" w:lineRule="auto"/>
                    <w:jc w:val="center"/>
                    <w:rPr>
                      <w:rFonts w:ascii="Times New Roman" w:hAnsi="Times New Roman"/>
                      <w:bCs/>
                      <w:color w:val="auto"/>
                      <w:spacing w:val="8"/>
                      <w:kern w:val="2"/>
                      <w:sz w:val="21"/>
                      <w:szCs w:val="21"/>
                      <w:highlight w:val="none"/>
                      <w:lang w:val="en-US" w:eastAsia="zh-CN" w:bidi="ar-SA"/>
                    </w:rPr>
                  </w:pPr>
                  <w:r>
                    <w:rPr>
                      <w:rFonts w:hint="eastAsia" w:ascii="Times New Roman" w:hAnsi="Times New Roman"/>
                      <w:bCs/>
                      <w:color w:val="auto"/>
                      <w:spacing w:val="8"/>
                      <w:szCs w:val="21"/>
                      <w:highlight w:val="none"/>
                    </w:rPr>
                    <w:t>厂</w:t>
                  </w:r>
                  <w:r>
                    <w:rPr>
                      <w:rFonts w:hint="eastAsia" w:ascii="Times New Roman" w:hAnsi="Times New Roman"/>
                      <w:bCs/>
                      <w:color w:val="auto"/>
                      <w:spacing w:val="8"/>
                      <w:szCs w:val="21"/>
                      <w:highlight w:val="none"/>
                      <w:lang w:val="en-US" w:eastAsia="zh-CN"/>
                    </w:rPr>
                    <w:t>内</w:t>
                  </w:r>
                </w:p>
              </w:tc>
              <w:tc>
                <w:tcPr>
                  <w:tcW w:w="867" w:type="pct"/>
                  <w:noWrap w:val="0"/>
                  <w:vAlign w:val="center"/>
                </w:tcPr>
                <w:p w14:paraId="0A0D6A7D">
                  <w:pPr>
                    <w:snapToGrid w:val="0"/>
                    <w:spacing w:line="276" w:lineRule="auto"/>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bCs/>
                      <w:color w:val="auto"/>
                      <w:spacing w:val="8"/>
                      <w:szCs w:val="21"/>
                      <w:highlight w:val="none"/>
                    </w:rPr>
                    <w:t>非甲烷总烃</w:t>
                  </w:r>
                </w:p>
              </w:tc>
              <w:tc>
                <w:tcPr>
                  <w:tcW w:w="866" w:type="pct"/>
                  <w:noWrap w:val="0"/>
                  <w:vAlign w:val="center"/>
                </w:tcPr>
                <w:p w14:paraId="460CC2C9">
                  <w:pPr>
                    <w:snapToGrid w:val="0"/>
                    <w:spacing w:line="276" w:lineRule="auto"/>
                    <w:jc w:val="center"/>
                    <w:rPr>
                      <w:rFonts w:ascii="Times New Roman" w:hAnsi="Times New Roman"/>
                      <w:color w:val="auto"/>
                      <w:kern w:val="2"/>
                      <w:sz w:val="21"/>
                      <w:szCs w:val="21"/>
                      <w:highlight w:val="none"/>
                      <w:lang w:val="en-US" w:eastAsia="zh-CN" w:bidi="ar-SA"/>
                    </w:rPr>
                  </w:pPr>
                  <w:r>
                    <w:rPr>
                      <w:rFonts w:ascii="Times New Roman" w:hAnsi="Times New Roman"/>
                      <w:color w:val="auto"/>
                      <w:szCs w:val="21"/>
                      <w:highlight w:val="none"/>
                    </w:rPr>
                    <w:t>1次/年</w:t>
                  </w:r>
                </w:p>
              </w:tc>
              <w:tc>
                <w:tcPr>
                  <w:tcW w:w="1610" w:type="pct"/>
                  <w:vMerge w:val="continue"/>
                  <w:noWrap w:val="0"/>
                  <w:vAlign w:val="center"/>
                </w:tcPr>
                <w:p w14:paraId="21F63E71">
                  <w:pPr>
                    <w:snapToGrid w:val="0"/>
                    <w:spacing w:line="276" w:lineRule="auto"/>
                    <w:jc w:val="center"/>
                    <w:rPr>
                      <w:rFonts w:hint="eastAsia" w:ascii="Times New Roman" w:hAnsi="Times New Roman"/>
                      <w:color w:val="auto"/>
                      <w:szCs w:val="21"/>
                      <w:highlight w:val="none"/>
                    </w:rPr>
                  </w:pPr>
                </w:p>
              </w:tc>
            </w:tr>
            <w:tr w14:paraId="289044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vMerge w:val="continue"/>
                  <w:noWrap w:val="0"/>
                  <w:vAlign w:val="center"/>
                </w:tcPr>
                <w:p w14:paraId="283810A7">
                  <w:pPr>
                    <w:snapToGrid w:val="0"/>
                    <w:spacing w:line="276" w:lineRule="auto"/>
                    <w:ind w:firstLine="360"/>
                    <w:jc w:val="center"/>
                    <w:rPr>
                      <w:rFonts w:ascii="Times New Roman" w:hAnsi="Times New Roman"/>
                      <w:color w:val="auto"/>
                      <w:szCs w:val="21"/>
                      <w:highlight w:val="none"/>
                    </w:rPr>
                  </w:pPr>
                </w:p>
              </w:tc>
              <w:tc>
                <w:tcPr>
                  <w:tcW w:w="1279" w:type="pct"/>
                  <w:noWrap w:val="0"/>
                  <w:vAlign w:val="center"/>
                </w:tcPr>
                <w:p w14:paraId="2E020496">
                  <w:pPr>
                    <w:snapToGrid w:val="0"/>
                    <w:spacing w:line="276" w:lineRule="auto"/>
                    <w:jc w:val="center"/>
                    <w:rPr>
                      <w:rFonts w:hint="eastAsia" w:ascii="Times New Roman" w:hAnsi="Times New Roman"/>
                      <w:bCs/>
                      <w:color w:val="auto"/>
                      <w:spacing w:val="8"/>
                      <w:kern w:val="2"/>
                      <w:sz w:val="21"/>
                      <w:szCs w:val="21"/>
                      <w:highlight w:val="none"/>
                      <w:lang w:val="en-US" w:eastAsia="zh-CN" w:bidi="ar-SA"/>
                    </w:rPr>
                  </w:pPr>
                  <w:r>
                    <w:rPr>
                      <w:rFonts w:hint="eastAsia" w:ascii="Times New Roman" w:hAnsi="Times New Roman"/>
                      <w:bCs/>
                      <w:color w:val="auto"/>
                      <w:spacing w:val="8"/>
                      <w:szCs w:val="21"/>
                      <w:highlight w:val="none"/>
                    </w:rPr>
                    <w:t>厂界</w:t>
                  </w:r>
                </w:p>
              </w:tc>
              <w:tc>
                <w:tcPr>
                  <w:tcW w:w="867" w:type="pct"/>
                  <w:noWrap w:val="0"/>
                  <w:vAlign w:val="center"/>
                </w:tcPr>
                <w:p w14:paraId="3014CBA1">
                  <w:pPr>
                    <w:snapToGrid w:val="0"/>
                    <w:spacing w:line="276" w:lineRule="auto"/>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bCs/>
                      <w:color w:val="auto"/>
                      <w:spacing w:val="8"/>
                      <w:szCs w:val="21"/>
                      <w:highlight w:val="none"/>
                    </w:rPr>
                    <w:t>非甲烷总烃</w:t>
                  </w:r>
                </w:p>
              </w:tc>
              <w:tc>
                <w:tcPr>
                  <w:tcW w:w="866" w:type="pct"/>
                  <w:noWrap w:val="0"/>
                  <w:vAlign w:val="center"/>
                </w:tcPr>
                <w:p w14:paraId="196708F5">
                  <w:pPr>
                    <w:snapToGrid w:val="0"/>
                    <w:spacing w:line="276" w:lineRule="auto"/>
                    <w:jc w:val="center"/>
                    <w:rPr>
                      <w:rFonts w:ascii="Times New Roman" w:hAnsi="Times New Roman"/>
                      <w:color w:val="auto"/>
                      <w:kern w:val="2"/>
                      <w:sz w:val="21"/>
                      <w:szCs w:val="21"/>
                      <w:highlight w:val="none"/>
                      <w:lang w:val="en-US" w:eastAsia="zh-CN" w:bidi="ar-SA"/>
                    </w:rPr>
                  </w:pPr>
                  <w:r>
                    <w:rPr>
                      <w:rFonts w:ascii="Times New Roman" w:hAnsi="Times New Roman"/>
                      <w:color w:val="auto"/>
                      <w:szCs w:val="21"/>
                      <w:highlight w:val="none"/>
                    </w:rPr>
                    <w:t>1次/</w:t>
                  </w:r>
                  <w:r>
                    <w:rPr>
                      <w:rFonts w:hint="eastAsia" w:ascii="Times New Roman" w:hAnsi="Times New Roman"/>
                      <w:color w:val="auto"/>
                      <w:szCs w:val="21"/>
                      <w:highlight w:val="none"/>
                      <w:lang w:val="en-US" w:eastAsia="zh-CN"/>
                    </w:rPr>
                    <w:t>半</w:t>
                  </w:r>
                  <w:r>
                    <w:rPr>
                      <w:rFonts w:ascii="Times New Roman" w:hAnsi="Times New Roman"/>
                      <w:color w:val="auto"/>
                      <w:szCs w:val="21"/>
                      <w:highlight w:val="none"/>
                    </w:rPr>
                    <w:t>年</w:t>
                  </w:r>
                </w:p>
              </w:tc>
              <w:tc>
                <w:tcPr>
                  <w:tcW w:w="1610" w:type="pct"/>
                  <w:noWrap w:val="0"/>
                  <w:vAlign w:val="center"/>
                </w:tcPr>
                <w:p w14:paraId="64258ABF">
                  <w:pPr>
                    <w:snapToGrid w:val="0"/>
                    <w:spacing w:line="276" w:lineRule="auto"/>
                    <w:jc w:val="both"/>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《大气污染物</w:t>
                  </w:r>
                  <w:r>
                    <w:rPr>
                      <w:rFonts w:hint="eastAsia" w:ascii="Times New Roman" w:hAnsi="Times New Roman"/>
                      <w:color w:val="auto"/>
                      <w:szCs w:val="21"/>
                      <w:highlight w:val="none"/>
                      <w:lang w:val="en-US" w:eastAsia="zh-CN"/>
                    </w:rPr>
                    <w:t>综合</w:t>
                  </w:r>
                  <w:r>
                    <w:rPr>
                      <w:rFonts w:hint="eastAsia" w:ascii="Times New Roman" w:hAnsi="Times New Roman"/>
                      <w:color w:val="auto"/>
                      <w:szCs w:val="21"/>
                      <w:highlight w:val="none"/>
                    </w:rPr>
                    <w:t>排放标准》</w:t>
                  </w:r>
                  <w:r>
                    <w:rPr>
                      <w:rFonts w:hint="eastAsia" w:ascii="Times New Roman" w:hAnsi="Times New Roman"/>
                      <w:color w:val="auto"/>
                      <w:szCs w:val="21"/>
                      <w:highlight w:val="none"/>
                      <w:lang w:eastAsia="zh-CN"/>
                    </w:rPr>
                    <w:t>（GB 16297-1996）</w:t>
                  </w:r>
                </w:p>
              </w:tc>
            </w:tr>
          </w:tbl>
          <w:p w14:paraId="2600254C">
            <w:pPr>
              <w:spacing w:line="360" w:lineRule="auto"/>
              <w:ind w:firstLine="482"/>
              <w:rPr>
                <w:rFonts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二</w:t>
            </w:r>
            <w:r>
              <w:rPr>
                <w:rFonts w:hint="eastAsia" w:ascii="宋体" w:hAnsi="宋体" w:cs="宋体"/>
                <w:b/>
                <w:bCs/>
                <w:color w:val="auto"/>
                <w:sz w:val="24"/>
                <w:szCs w:val="24"/>
                <w:highlight w:val="none"/>
              </w:rPr>
              <w:t>、运营期水环境影响和保护措施</w:t>
            </w:r>
          </w:p>
          <w:p w14:paraId="192EDFCC">
            <w:pPr>
              <w:spacing w:line="360" w:lineRule="auto"/>
              <w:ind w:firstLine="442" w:firstLineChars="200"/>
              <w:rPr>
                <w:rFonts w:ascii="Times New Roman" w:hAnsi="宋体"/>
                <w:b/>
                <w:bCs/>
                <w:color w:val="auto"/>
                <w:spacing w:val="-10"/>
                <w:sz w:val="24"/>
                <w:szCs w:val="24"/>
                <w:highlight w:val="none"/>
              </w:rPr>
            </w:pPr>
            <w:r>
              <w:rPr>
                <w:rFonts w:hint="eastAsia" w:ascii="Times New Roman" w:hAnsi="宋体"/>
                <w:b/>
                <w:bCs/>
                <w:color w:val="auto"/>
                <w:spacing w:val="-10"/>
                <w:sz w:val="24"/>
                <w:szCs w:val="24"/>
                <w:highlight w:val="none"/>
              </w:rPr>
              <w:t>1、运营期水环境影响分析</w:t>
            </w:r>
          </w:p>
          <w:p w14:paraId="44FA21B0">
            <w:pPr>
              <w:adjustRightInd w:val="0"/>
              <w:snapToGrid w:val="0"/>
              <w:spacing w:line="360" w:lineRule="auto"/>
              <w:ind w:firstLine="480" w:firstLineChars="200"/>
              <w:rPr>
                <w:rFonts w:hint="default" w:ascii="Times New Roman" w:hAnsi="Times New Roman" w:eastAsia="宋体"/>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根据工程分析，本项目产生磨边废水、打孔废水、倒角废水、清洗废水、纯水制备浓水、超浓水和生活污水。</w:t>
            </w:r>
          </w:p>
          <w:p w14:paraId="0B23F3FF">
            <w:pPr>
              <w:adjustRightInd w:val="0"/>
              <w:snapToGrid w:val="0"/>
              <w:spacing w:line="360" w:lineRule="auto"/>
              <w:ind w:firstLine="482" w:firstLineChars="200"/>
              <w:rPr>
                <w:rFonts w:hint="eastAsia" w:ascii="Times New Roman" w:hAnsi="Times New Roman" w:eastAsia="宋体"/>
                <w:b/>
                <w:color w:val="auto"/>
                <w:sz w:val="24"/>
                <w:szCs w:val="24"/>
                <w:highlight w:val="none"/>
                <w:lang w:eastAsia="zh-CN"/>
              </w:rPr>
            </w:pPr>
            <w:r>
              <w:rPr>
                <w:rFonts w:hint="eastAsia" w:ascii="Times New Roman" w:hAnsi="Times New Roman"/>
                <w:b/>
                <w:color w:val="auto"/>
                <w:sz w:val="24"/>
                <w:szCs w:val="24"/>
                <w:highlight w:val="none"/>
              </w:rPr>
              <w:t>（</w:t>
            </w:r>
            <w:r>
              <w:rPr>
                <w:rFonts w:hint="eastAsia" w:ascii="Times New Roman" w:hAnsi="Times New Roman"/>
                <w:b/>
                <w:color w:val="auto"/>
                <w:sz w:val="24"/>
                <w:szCs w:val="24"/>
                <w:highlight w:val="none"/>
                <w:lang w:val="en-US" w:eastAsia="zh-CN"/>
              </w:rPr>
              <w:t>1</w:t>
            </w:r>
            <w:r>
              <w:rPr>
                <w:rFonts w:hint="eastAsia" w:ascii="Times New Roman" w:hAnsi="Times New Roman"/>
                <w:b/>
                <w:color w:val="auto"/>
                <w:sz w:val="24"/>
                <w:szCs w:val="24"/>
                <w:highlight w:val="none"/>
              </w:rPr>
              <w:t>）生活</w:t>
            </w:r>
            <w:r>
              <w:rPr>
                <w:rFonts w:hint="eastAsia" w:ascii="Times New Roman" w:hAnsi="Times New Roman"/>
                <w:b/>
                <w:color w:val="auto"/>
                <w:sz w:val="24"/>
                <w:szCs w:val="24"/>
                <w:highlight w:val="none"/>
                <w:lang w:val="en-US" w:eastAsia="zh-CN"/>
              </w:rPr>
              <w:t>污水</w:t>
            </w:r>
          </w:p>
          <w:p w14:paraId="1E6BD63A">
            <w:pPr>
              <w:adjustRightInd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szCs w:val="28"/>
                <w:highlight w:val="none"/>
              </w:rPr>
              <w:t>根据建设单位提供资料，</w:t>
            </w:r>
            <w:r>
              <w:rPr>
                <w:rFonts w:ascii="Times New Roman" w:hAnsi="Times New Roman"/>
                <w:color w:val="auto"/>
                <w:sz w:val="24"/>
                <w:szCs w:val="24"/>
                <w:highlight w:val="none"/>
              </w:rPr>
              <w:t>本项目投入生产后劳动定员</w:t>
            </w:r>
            <w:r>
              <w:rPr>
                <w:rFonts w:hint="eastAsia" w:ascii="Times New Roman" w:hAnsi="Times New Roman"/>
                <w:color w:val="auto"/>
                <w:sz w:val="24"/>
                <w:szCs w:val="24"/>
                <w:highlight w:val="none"/>
                <w:lang w:val="en-US" w:eastAsia="zh-CN"/>
              </w:rPr>
              <w:t>60</w:t>
            </w:r>
            <w:r>
              <w:rPr>
                <w:rFonts w:ascii="Times New Roman" w:hAnsi="Times New Roman"/>
                <w:color w:val="auto"/>
                <w:sz w:val="24"/>
                <w:szCs w:val="24"/>
                <w:highlight w:val="none"/>
              </w:rPr>
              <w:t>人。</w:t>
            </w:r>
            <w:r>
              <w:rPr>
                <w:rFonts w:ascii="Times New Roman" w:hAnsi="Times New Roman"/>
                <w:color w:val="auto"/>
                <w:sz w:val="24"/>
                <w:highlight w:val="none"/>
              </w:rPr>
              <w:t>根据《安徽省行业用水定额》（DB34/T 679-201</w:t>
            </w:r>
            <w:r>
              <w:rPr>
                <w:rFonts w:hint="eastAsia" w:ascii="Times New Roman" w:hAnsi="Times New Roman"/>
                <w:color w:val="auto"/>
                <w:sz w:val="24"/>
                <w:highlight w:val="none"/>
              </w:rPr>
              <w:t>9</w:t>
            </w:r>
            <w:r>
              <w:rPr>
                <w:rFonts w:ascii="Times New Roman" w:hAnsi="Times New Roman"/>
                <w:color w:val="auto"/>
                <w:sz w:val="24"/>
                <w:highlight w:val="none"/>
              </w:rPr>
              <w:t>），</w:t>
            </w:r>
            <w:r>
              <w:rPr>
                <w:rFonts w:hint="eastAsia" w:ascii="Times New Roman" w:hAnsi="Times New Roman"/>
                <w:color w:val="auto"/>
                <w:sz w:val="24"/>
                <w:highlight w:val="none"/>
              </w:rPr>
              <w:t>人员</w:t>
            </w:r>
            <w:r>
              <w:rPr>
                <w:rFonts w:ascii="Times New Roman" w:hAnsi="Times New Roman"/>
                <w:color w:val="auto"/>
                <w:sz w:val="24"/>
                <w:highlight w:val="none"/>
              </w:rPr>
              <w:t>用水量</w:t>
            </w:r>
            <w:r>
              <w:rPr>
                <w:rFonts w:hint="eastAsia" w:ascii="Times New Roman" w:hAnsi="Times New Roman"/>
                <w:color w:val="auto"/>
                <w:sz w:val="24"/>
                <w:highlight w:val="none"/>
              </w:rPr>
              <w:t>以</w:t>
            </w:r>
            <w:r>
              <w:rPr>
                <w:rFonts w:hint="eastAsia" w:ascii="Times New Roman" w:hAnsi="Times New Roman"/>
                <w:color w:val="auto"/>
                <w:sz w:val="24"/>
                <w:highlight w:val="none"/>
                <w:lang w:val="en-US" w:eastAsia="zh-CN"/>
              </w:rPr>
              <w:t>15m³</w:t>
            </w:r>
            <w:r>
              <w:rPr>
                <w:rFonts w:ascii="Times New Roman" w:hAnsi="Times New Roman"/>
                <w:color w:val="auto"/>
                <w:sz w:val="24"/>
                <w:highlight w:val="none"/>
              </w:rPr>
              <w:t>/（人·</w:t>
            </w:r>
            <w:r>
              <w:rPr>
                <w:rFonts w:hint="eastAsia" w:ascii="Times New Roman" w:hAnsi="Times New Roman"/>
                <w:color w:val="auto"/>
                <w:sz w:val="24"/>
                <w:highlight w:val="none"/>
                <w:lang w:val="en-US" w:eastAsia="zh-CN"/>
              </w:rPr>
              <w:t>a</w:t>
            </w:r>
            <w:r>
              <w:rPr>
                <w:rFonts w:ascii="Times New Roman" w:hAnsi="Times New Roman"/>
                <w:color w:val="auto"/>
                <w:sz w:val="24"/>
                <w:highlight w:val="none"/>
              </w:rPr>
              <w:t>）计，则用水量为</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/d，合</w:t>
            </w:r>
            <w:r>
              <w:rPr>
                <w:rFonts w:ascii="Times New Roman" w:hAnsi="Times New Roman"/>
                <w:color w:val="auto"/>
                <w:sz w:val="24"/>
                <w:szCs w:val="28"/>
                <w:highlight w:val="none"/>
              </w:rPr>
              <w:t>计年用水量为</w:t>
            </w:r>
            <w:r>
              <w:rPr>
                <w:rFonts w:hint="eastAsia" w:ascii="Times New Roman" w:hAnsi="Times New Roman"/>
                <w:color w:val="auto"/>
                <w:sz w:val="24"/>
                <w:szCs w:val="28"/>
                <w:highlight w:val="none"/>
                <w:lang w:val="en-US" w:eastAsia="zh-CN"/>
              </w:rPr>
              <w:t>900</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w:t>
            </w:r>
            <w:r>
              <w:rPr>
                <w:rFonts w:ascii="Times New Roman" w:hAnsi="Times New Roman"/>
                <w:color w:val="auto"/>
                <w:sz w:val="24"/>
                <w:szCs w:val="28"/>
                <w:highlight w:val="none"/>
              </w:rPr>
              <w:t>根据《环境统计手册》，生活污水的</w:t>
            </w:r>
            <w:r>
              <w:rPr>
                <w:rFonts w:hint="eastAsia" w:ascii="Times New Roman" w:hAnsi="Times New Roman"/>
                <w:color w:val="auto"/>
                <w:sz w:val="24"/>
                <w:szCs w:val="28"/>
                <w:highlight w:val="none"/>
              </w:rPr>
              <w:t>产生</w:t>
            </w:r>
            <w:r>
              <w:rPr>
                <w:rFonts w:ascii="Times New Roman" w:hAnsi="Times New Roman"/>
                <w:color w:val="auto"/>
                <w:sz w:val="24"/>
                <w:szCs w:val="28"/>
                <w:highlight w:val="none"/>
              </w:rPr>
              <w:t>量</w:t>
            </w:r>
            <w:r>
              <w:rPr>
                <w:rFonts w:hint="eastAsia" w:ascii="Times New Roman" w:hAnsi="Times New Roman"/>
                <w:color w:val="auto"/>
                <w:sz w:val="24"/>
                <w:szCs w:val="28"/>
                <w:highlight w:val="none"/>
              </w:rPr>
              <w:t>占用</w:t>
            </w:r>
            <w:r>
              <w:rPr>
                <w:rFonts w:ascii="Times New Roman" w:hAnsi="Times New Roman"/>
                <w:color w:val="auto"/>
                <w:sz w:val="24"/>
                <w:szCs w:val="28"/>
                <w:highlight w:val="none"/>
              </w:rPr>
              <w:t>水量的8</w:t>
            </w:r>
            <w:r>
              <w:rPr>
                <w:rFonts w:hint="eastAsia" w:ascii="Times New Roman" w:hAnsi="Times New Roman"/>
                <w:color w:val="auto"/>
                <w:sz w:val="24"/>
                <w:szCs w:val="28"/>
                <w:highlight w:val="none"/>
                <w:lang w:val="en-US" w:eastAsia="zh-CN"/>
              </w:rPr>
              <w:t>5</w:t>
            </w:r>
            <w:r>
              <w:rPr>
                <w:rFonts w:ascii="Times New Roman" w:hAnsi="Times New Roman"/>
                <w:color w:val="auto"/>
                <w:sz w:val="24"/>
                <w:szCs w:val="28"/>
                <w:highlight w:val="none"/>
              </w:rPr>
              <w:t>%，则生活污水产生量约为</w:t>
            </w:r>
            <w:r>
              <w:rPr>
                <w:rFonts w:hint="eastAsia" w:ascii="Times New Roman" w:hAnsi="Times New Roman"/>
                <w:color w:val="auto"/>
                <w:sz w:val="24"/>
                <w:szCs w:val="28"/>
                <w:highlight w:val="none"/>
                <w:lang w:val="en-US" w:eastAsia="zh-CN"/>
              </w:rPr>
              <w:t>2.55</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765</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w:t>
            </w:r>
            <w:r>
              <w:rPr>
                <w:rFonts w:hint="eastAsia" w:ascii="Times New Roman" w:hAnsi="Times New Roman"/>
                <w:b w:val="0"/>
                <w:bCs/>
                <w:color w:val="auto"/>
                <w:sz w:val="24"/>
                <w:szCs w:val="24"/>
                <w:highlight w:val="none"/>
              </w:rPr>
              <w:t>主要污染物为COD、BOD</w:t>
            </w:r>
            <w:r>
              <w:rPr>
                <w:rFonts w:hint="eastAsia" w:ascii="Times New Roman" w:hAnsi="Times New Roman"/>
                <w:b w:val="0"/>
                <w:bCs/>
                <w:color w:val="auto"/>
                <w:sz w:val="24"/>
                <w:szCs w:val="24"/>
                <w:highlight w:val="none"/>
                <w:vertAlign w:val="subscript"/>
              </w:rPr>
              <w:t>5</w:t>
            </w:r>
            <w:r>
              <w:rPr>
                <w:rFonts w:hint="eastAsia" w:ascii="Times New Roman" w:hAnsi="Times New Roman"/>
                <w:b w:val="0"/>
                <w:bCs/>
                <w:color w:val="auto"/>
                <w:sz w:val="24"/>
                <w:szCs w:val="24"/>
                <w:highlight w:val="none"/>
              </w:rPr>
              <w:t>、SS、NH</w:t>
            </w:r>
            <w:r>
              <w:rPr>
                <w:rFonts w:hint="eastAsia" w:ascii="Times New Roman" w:hAnsi="Times New Roman"/>
                <w:b w:val="0"/>
                <w:bCs/>
                <w:color w:val="auto"/>
                <w:sz w:val="24"/>
                <w:szCs w:val="24"/>
                <w:highlight w:val="none"/>
                <w:vertAlign w:val="subscript"/>
              </w:rPr>
              <w:t>3</w:t>
            </w:r>
            <w:r>
              <w:rPr>
                <w:rFonts w:hint="eastAsia" w:ascii="Times New Roman" w:hAnsi="Times New Roman"/>
                <w:b w:val="0"/>
                <w:bCs/>
                <w:color w:val="auto"/>
                <w:sz w:val="24"/>
                <w:szCs w:val="24"/>
                <w:highlight w:val="none"/>
              </w:rPr>
              <w:t>-N</w:t>
            </w:r>
            <w:r>
              <w:rPr>
                <w:rFonts w:hint="eastAsia" w:ascii="Times New Roman" w:hAnsi="Times New Roman"/>
                <w:color w:val="auto"/>
                <w:sz w:val="24"/>
                <w:highlight w:val="none"/>
              </w:rPr>
              <w:t>。</w:t>
            </w:r>
          </w:p>
          <w:p w14:paraId="3861248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ascii="Times New Roman" w:hAnsi="Times New Roman"/>
                <w:color w:val="auto"/>
                <w:sz w:val="24"/>
                <w:highlight w:val="none"/>
              </w:rPr>
              <w:t>项目</w:t>
            </w:r>
            <w:r>
              <w:rPr>
                <w:rFonts w:hint="eastAsia" w:ascii="Times New Roman" w:hAnsi="Times New Roman"/>
                <w:color w:val="auto"/>
                <w:sz w:val="24"/>
                <w:highlight w:val="none"/>
              </w:rPr>
              <w:t>员工</w:t>
            </w:r>
            <w:r>
              <w:rPr>
                <w:rFonts w:ascii="Times New Roman" w:hAnsi="Times New Roman"/>
                <w:color w:val="auto"/>
                <w:sz w:val="24"/>
                <w:highlight w:val="none"/>
              </w:rPr>
              <w:t>生活污水</w:t>
            </w:r>
            <w:r>
              <w:rPr>
                <w:rFonts w:hint="eastAsia" w:ascii="Times New Roman" w:hAnsi="Times New Roman"/>
                <w:color w:val="auto"/>
                <w:sz w:val="24"/>
                <w:highlight w:val="none"/>
                <w:lang w:eastAsia="zh-CN"/>
              </w:rPr>
              <w:t>经园区化粪池处理后</w:t>
            </w:r>
            <w:r>
              <w:rPr>
                <w:rFonts w:hint="eastAsia" w:ascii="Times New Roman" w:hAnsi="Times New Roman"/>
                <w:color w:val="auto"/>
                <w:sz w:val="24"/>
                <w:highlight w:val="none"/>
                <w:lang w:val="en-US" w:eastAsia="zh-CN"/>
              </w:rPr>
              <w:t>与纯水制备浓水以及废水处理设施产生的超浓水一并经园区污水管网</w:t>
            </w:r>
            <w:r>
              <w:rPr>
                <w:rFonts w:hint="default" w:ascii="Times New Roman" w:hAnsi="Times New Roman" w:cs="Times New Roman"/>
                <w:color w:val="auto"/>
                <w:sz w:val="24"/>
                <w:highlight w:val="none"/>
              </w:rPr>
              <w:t>进入</w:t>
            </w:r>
            <w:r>
              <w:rPr>
                <w:rFonts w:hint="eastAsia" w:ascii="Times New Roman" w:hAnsi="Times New Roman" w:cs="Times New Roman"/>
                <w:color w:val="auto"/>
                <w:sz w:val="24"/>
                <w:highlight w:val="none"/>
                <w:lang w:eastAsia="zh-CN"/>
              </w:rPr>
              <w:t>凤台经济开发区污水处理厂</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处理后的</w:t>
            </w:r>
            <w:r>
              <w:rPr>
                <w:rFonts w:hint="default" w:ascii="Times New Roman" w:hAnsi="Times New Roman" w:cs="Times New Roman"/>
                <w:color w:val="auto"/>
                <w:sz w:val="24"/>
                <w:highlight w:val="none"/>
              </w:rPr>
              <w:t>尾水排入淮河</w:t>
            </w:r>
            <w:r>
              <w:rPr>
                <w:rFonts w:hint="default" w:ascii="Times New Roman" w:hAnsi="Times New Roman" w:cs="Times New Roman"/>
                <w:bCs/>
                <w:color w:val="auto"/>
                <w:sz w:val="24"/>
                <w:highlight w:val="none"/>
              </w:rPr>
              <w:t>。</w:t>
            </w:r>
          </w:p>
          <w:p w14:paraId="75376811">
            <w:pPr>
              <w:adjustRightInd w:val="0"/>
              <w:snapToGrid w:val="0"/>
              <w:spacing w:line="360" w:lineRule="auto"/>
              <w:ind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生产废水</w:t>
            </w:r>
          </w:p>
          <w:p w14:paraId="227E3A68">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eastAsia" w:ascii="Times New Roman" w:hAnsi="Times New Roman" w:cs="Times New Roman"/>
                <w:bCs/>
                <w:color w:val="auto"/>
                <w:sz w:val="24"/>
                <w:highlight w:val="none"/>
                <w:lang w:val="en-US" w:eastAsia="zh-CN"/>
              </w:rPr>
              <w:t>本项目产生的磨边废水、清洗废水、废水处理设施产生的超浓水和纯水制备浓水，</w:t>
            </w:r>
            <w:r>
              <w:rPr>
                <w:rFonts w:hint="eastAsia" w:ascii="Times New Roman" w:hAnsi="Times New Roman"/>
                <w:b w:val="0"/>
                <w:bCs/>
                <w:color w:val="auto"/>
                <w:sz w:val="24"/>
                <w:szCs w:val="24"/>
                <w:highlight w:val="none"/>
              </w:rPr>
              <w:t>主要污染物为COD、SS</w:t>
            </w:r>
            <w:r>
              <w:rPr>
                <w:rFonts w:hint="eastAsia"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本项目设置2套废水处理设备，一套“物化混凝沉淀”废水处理设施用于处理磨边废水（设计处理能力：60t/h），一套“反渗透+RO”废水处理设施用于处理清洗废水（设计处理能力8t/h）。本项目</w:t>
            </w:r>
            <w:r>
              <w:rPr>
                <w:rFonts w:hint="eastAsia" w:ascii="Times New Roman" w:hAnsi="Times New Roman" w:eastAsia="宋体" w:cs="Times New Roman"/>
                <w:bCs/>
                <w:color w:val="auto"/>
                <w:sz w:val="24"/>
                <w:highlight w:val="none"/>
                <w:lang w:val="en-US" w:eastAsia="zh-CN"/>
              </w:rPr>
              <w:t>磨边</w:t>
            </w:r>
            <w:r>
              <w:rPr>
                <w:rFonts w:hint="default" w:ascii="Times New Roman" w:hAnsi="Times New Roman" w:eastAsia="宋体" w:cs="Times New Roman"/>
                <w:bCs/>
                <w:color w:val="auto"/>
                <w:sz w:val="24"/>
                <w:highlight w:val="none"/>
                <w:lang w:val="en-US" w:eastAsia="zh-CN"/>
              </w:rPr>
              <w:t>废水经废水处理设施处理后</w:t>
            </w:r>
            <w:r>
              <w:rPr>
                <w:rFonts w:hint="eastAsia" w:ascii="Times New Roman" w:hAnsi="Times New Roman" w:eastAsia="宋体" w:cs="Times New Roman"/>
                <w:bCs/>
                <w:color w:val="auto"/>
                <w:sz w:val="24"/>
                <w:highlight w:val="none"/>
                <w:lang w:val="en-US" w:eastAsia="zh-CN"/>
              </w:rPr>
              <w:t>全部回用于磨边工序，定期补充损耗，清洗废水经废水处理设施处理后回用于清洗工序，产生的超浓水和生活污水以及纯水制备浓水</w:t>
            </w:r>
            <w:r>
              <w:rPr>
                <w:rFonts w:hint="eastAsia" w:ascii="Times New Roman" w:hAnsi="Times New Roman"/>
                <w:color w:val="auto"/>
                <w:sz w:val="24"/>
                <w:highlight w:val="none"/>
                <w:lang w:val="en-US" w:eastAsia="zh-CN"/>
              </w:rPr>
              <w:t>一并经园区污水管网</w:t>
            </w:r>
            <w:r>
              <w:rPr>
                <w:rFonts w:hint="default" w:ascii="Times New Roman" w:hAnsi="Times New Roman" w:cs="Times New Roman"/>
                <w:color w:val="auto"/>
                <w:sz w:val="24"/>
                <w:highlight w:val="none"/>
              </w:rPr>
              <w:t>进入</w:t>
            </w:r>
            <w:r>
              <w:rPr>
                <w:rFonts w:hint="eastAsia" w:ascii="Times New Roman" w:hAnsi="Times New Roman" w:cs="Times New Roman"/>
                <w:color w:val="auto"/>
                <w:sz w:val="24"/>
                <w:highlight w:val="none"/>
                <w:lang w:eastAsia="zh-CN"/>
              </w:rPr>
              <w:t>凤台经济开发区污水处理厂</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处理后的</w:t>
            </w:r>
            <w:r>
              <w:rPr>
                <w:rFonts w:hint="default" w:ascii="Times New Roman" w:hAnsi="Times New Roman" w:cs="Times New Roman"/>
                <w:color w:val="auto"/>
                <w:sz w:val="24"/>
                <w:highlight w:val="none"/>
              </w:rPr>
              <w:t>尾水排入淮河</w:t>
            </w:r>
            <w:r>
              <w:rPr>
                <w:rFonts w:hint="default" w:ascii="Times New Roman" w:hAnsi="Times New Roman" w:cs="Times New Roman"/>
                <w:bCs/>
                <w:color w:val="auto"/>
                <w:sz w:val="24"/>
                <w:highlight w:val="none"/>
              </w:rPr>
              <w:t>。</w:t>
            </w:r>
          </w:p>
          <w:p w14:paraId="7B48AB38">
            <w:pPr>
              <w:adjustRightInd w:val="0"/>
              <w:snapToGrid w:val="0"/>
              <w:spacing w:line="360" w:lineRule="auto"/>
              <w:ind w:firstLine="480" w:firstLineChars="200"/>
              <w:rPr>
                <w:color w:val="auto"/>
                <w:sz w:val="24"/>
                <w:highlight w:val="none"/>
              </w:rPr>
            </w:pPr>
            <w:r>
              <w:rPr>
                <w:rFonts w:hint="eastAsia"/>
                <w:color w:val="auto"/>
                <w:sz w:val="24"/>
                <w:highlight w:val="none"/>
              </w:rPr>
              <w:t>本项目废水产生情况见下表：</w:t>
            </w:r>
          </w:p>
          <w:p w14:paraId="1383BB62">
            <w:pPr>
              <w:widowControl/>
              <w:spacing w:line="360" w:lineRule="auto"/>
              <w:jc w:val="center"/>
              <w:rPr>
                <w:rFonts w:ascii="Times New Roman" w:hAnsi="黑体" w:eastAsia="黑体"/>
                <w:color w:val="auto"/>
                <w:kern w:val="0"/>
                <w:sz w:val="24"/>
                <w:szCs w:val="24"/>
                <w:highlight w:val="none"/>
              </w:rPr>
            </w:pPr>
            <w:r>
              <w:rPr>
                <w:rFonts w:ascii="Times New Roman" w:hAnsi="黑体" w:eastAsia="黑体"/>
                <w:color w:val="auto"/>
                <w:kern w:val="0"/>
                <w:sz w:val="24"/>
                <w:szCs w:val="24"/>
                <w:highlight w:val="none"/>
              </w:rPr>
              <w:t>表</w:t>
            </w:r>
            <w:r>
              <w:rPr>
                <w:rFonts w:hint="eastAsia" w:ascii="Times New Roman" w:hAnsi="Times New Roman" w:eastAsia="黑体"/>
                <w:color w:val="auto"/>
                <w:kern w:val="0"/>
                <w:sz w:val="24"/>
                <w:szCs w:val="24"/>
                <w:highlight w:val="none"/>
              </w:rPr>
              <w:t>4-</w:t>
            </w:r>
            <w:r>
              <w:rPr>
                <w:rFonts w:hint="eastAsia" w:ascii="Times New Roman" w:hAnsi="Times New Roman" w:eastAsia="黑体"/>
                <w:color w:val="auto"/>
                <w:kern w:val="0"/>
                <w:sz w:val="24"/>
                <w:szCs w:val="24"/>
                <w:highlight w:val="none"/>
                <w:lang w:val="en-US" w:eastAsia="zh-CN"/>
              </w:rPr>
              <w:t>7</w:t>
            </w:r>
            <w:r>
              <w:rPr>
                <w:rFonts w:hint="eastAsia" w:ascii="Times New Roman" w:hAnsi="Times New Roman" w:eastAsia="黑体"/>
                <w:color w:val="auto"/>
                <w:kern w:val="0"/>
                <w:sz w:val="24"/>
                <w:szCs w:val="24"/>
                <w:highlight w:val="none"/>
              </w:rPr>
              <w:t xml:space="preserve">  </w:t>
            </w:r>
            <w:r>
              <w:rPr>
                <w:rFonts w:ascii="Times New Roman" w:hAnsi="黑体" w:eastAsia="黑体"/>
                <w:color w:val="auto"/>
                <w:kern w:val="0"/>
                <w:sz w:val="24"/>
                <w:szCs w:val="24"/>
                <w:highlight w:val="none"/>
              </w:rPr>
              <w:t>项目废水</w:t>
            </w:r>
            <w:r>
              <w:rPr>
                <w:rFonts w:hint="eastAsia" w:ascii="Times New Roman" w:hAnsi="黑体" w:eastAsia="黑体"/>
                <w:color w:val="auto"/>
                <w:kern w:val="0"/>
                <w:sz w:val="24"/>
                <w:szCs w:val="24"/>
                <w:highlight w:val="none"/>
              </w:rPr>
              <w:t>产生</w:t>
            </w:r>
            <w:r>
              <w:rPr>
                <w:rFonts w:ascii="Times New Roman" w:hAnsi="黑体" w:eastAsia="黑体"/>
                <w:color w:val="auto"/>
                <w:kern w:val="0"/>
                <w:sz w:val="24"/>
                <w:szCs w:val="24"/>
                <w:highlight w:val="none"/>
              </w:rPr>
              <w:t>及排放情况一览表</w:t>
            </w:r>
          </w:p>
          <w:tbl>
            <w:tblPr>
              <w:tblStyle w:val="20"/>
              <w:tblW w:w="4901"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923"/>
              <w:gridCol w:w="856"/>
              <w:gridCol w:w="868"/>
              <w:gridCol w:w="890"/>
              <w:gridCol w:w="1841"/>
              <w:gridCol w:w="808"/>
              <w:gridCol w:w="796"/>
            </w:tblGrid>
            <w:tr w14:paraId="293CE6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4" w:type="pct"/>
                  <w:vMerge w:val="restart"/>
                  <w:noWrap w:val="0"/>
                  <w:vAlign w:val="center"/>
                </w:tcPr>
                <w:p w14:paraId="56742C65">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污染源</w:t>
                  </w:r>
                </w:p>
              </w:tc>
              <w:tc>
                <w:tcPr>
                  <w:tcW w:w="596" w:type="pct"/>
                  <w:vMerge w:val="restart"/>
                  <w:noWrap w:val="0"/>
                  <w:vAlign w:val="center"/>
                </w:tcPr>
                <w:p w14:paraId="13150101">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废水量（</w:t>
                  </w: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3</w:t>
                  </w:r>
                  <w:r>
                    <w:rPr>
                      <w:rFonts w:ascii="Times New Roman" w:hAnsi="Times New Roman"/>
                      <w:color w:val="auto"/>
                      <w:kern w:val="0"/>
                      <w:sz w:val="21"/>
                      <w:szCs w:val="21"/>
                      <w:highlight w:val="none"/>
                    </w:rPr>
                    <w:t>/a）</w:t>
                  </w:r>
                </w:p>
              </w:tc>
              <w:tc>
                <w:tcPr>
                  <w:tcW w:w="553" w:type="pct"/>
                  <w:vMerge w:val="restart"/>
                  <w:noWrap w:val="0"/>
                  <w:vAlign w:val="center"/>
                </w:tcPr>
                <w:p w14:paraId="3CEC0F32">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污染物种类</w:t>
                  </w:r>
                </w:p>
              </w:tc>
              <w:tc>
                <w:tcPr>
                  <w:tcW w:w="1136" w:type="pct"/>
                  <w:gridSpan w:val="2"/>
                  <w:noWrap w:val="0"/>
                  <w:vAlign w:val="center"/>
                </w:tcPr>
                <w:p w14:paraId="32052FEE">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污染物产生情况</w:t>
                  </w:r>
                </w:p>
              </w:tc>
              <w:tc>
                <w:tcPr>
                  <w:tcW w:w="1190" w:type="pct"/>
                  <w:vMerge w:val="restart"/>
                  <w:noWrap w:val="0"/>
                  <w:vAlign w:val="center"/>
                </w:tcPr>
                <w:p w14:paraId="7CC16BCE">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治理措施</w:t>
                  </w:r>
                </w:p>
              </w:tc>
              <w:tc>
                <w:tcPr>
                  <w:tcW w:w="1037" w:type="pct"/>
                  <w:gridSpan w:val="2"/>
                  <w:noWrap w:val="0"/>
                  <w:vAlign w:val="center"/>
                </w:tcPr>
                <w:p w14:paraId="791C6AF5">
                  <w:pPr>
                    <w:widowControl/>
                    <w:adjustRightInd w:val="0"/>
                    <w:snapToGrid w:val="0"/>
                    <w:spacing w:line="276" w:lineRule="auto"/>
                    <w:jc w:val="center"/>
                    <w:textAlignment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排放情况</w:t>
                  </w:r>
                </w:p>
                <w:p w14:paraId="25FFF7FE">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（排入外环境）</w:t>
                  </w:r>
                </w:p>
              </w:tc>
            </w:tr>
            <w:tr w14:paraId="295D3C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484" w:type="pct"/>
                  <w:vMerge w:val="continue"/>
                  <w:noWrap w:val="0"/>
                  <w:vAlign w:val="center"/>
                </w:tcPr>
                <w:p w14:paraId="5C2EEED7">
                  <w:pPr>
                    <w:widowControl/>
                    <w:adjustRightInd w:val="0"/>
                    <w:snapToGrid w:val="0"/>
                    <w:spacing w:line="276" w:lineRule="auto"/>
                    <w:ind w:firstLine="361"/>
                    <w:jc w:val="center"/>
                    <w:rPr>
                      <w:rFonts w:ascii="Times New Roman" w:hAnsi="Times New Roman"/>
                      <w:b/>
                      <w:bCs/>
                      <w:color w:val="auto"/>
                      <w:sz w:val="21"/>
                      <w:szCs w:val="21"/>
                      <w:highlight w:val="none"/>
                    </w:rPr>
                  </w:pPr>
                </w:p>
              </w:tc>
              <w:tc>
                <w:tcPr>
                  <w:tcW w:w="596" w:type="pct"/>
                  <w:vMerge w:val="continue"/>
                  <w:noWrap w:val="0"/>
                  <w:vAlign w:val="center"/>
                </w:tcPr>
                <w:p w14:paraId="0F2C969A">
                  <w:pPr>
                    <w:widowControl/>
                    <w:adjustRightInd w:val="0"/>
                    <w:snapToGrid w:val="0"/>
                    <w:spacing w:line="276" w:lineRule="auto"/>
                    <w:ind w:firstLine="361"/>
                    <w:jc w:val="center"/>
                    <w:rPr>
                      <w:rFonts w:ascii="Times New Roman" w:hAnsi="Times New Roman"/>
                      <w:b/>
                      <w:bCs/>
                      <w:color w:val="auto"/>
                      <w:sz w:val="21"/>
                      <w:szCs w:val="21"/>
                      <w:highlight w:val="none"/>
                    </w:rPr>
                  </w:pPr>
                </w:p>
              </w:tc>
              <w:tc>
                <w:tcPr>
                  <w:tcW w:w="553" w:type="pct"/>
                  <w:vMerge w:val="continue"/>
                  <w:noWrap w:val="0"/>
                  <w:vAlign w:val="center"/>
                </w:tcPr>
                <w:p w14:paraId="5B754D48">
                  <w:pPr>
                    <w:widowControl/>
                    <w:adjustRightInd w:val="0"/>
                    <w:snapToGrid w:val="0"/>
                    <w:spacing w:line="276" w:lineRule="auto"/>
                    <w:ind w:firstLine="361"/>
                    <w:jc w:val="center"/>
                    <w:rPr>
                      <w:rFonts w:ascii="Times New Roman" w:hAnsi="Times New Roman"/>
                      <w:b/>
                      <w:bCs/>
                      <w:color w:val="auto"/>
                      <w:sz w:val="21"/>
                      <w:szCs w:val="21"/>
                      <w:highlight w:val="none"/>
                    </w:rPr>
                  </w:pPr>
                </w:p>
              </w:tc>
              <w:tc>
                <w:tcPr>
                  <w:tcW w:w="561" w:type="pct"/>
                  <w:noWrap w:val="0"/>
                  <w:vAlign w:val="center"/>
                </w:tcPr>
                <w:p w14:paraId="6CFF2649">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ascii="Times New Roman" w:hAnsi="Times New Roman"/>
                      <w:b/>
                      <w:bCs/>
                      <w:color w:val="auto"/>
                      <w:kern w:val="0"/>
                      <w:sz w:val="21"/>
                      <w:szCs w:val="21"/>
                      <w:highlight w:val="none"/>
                    </w:rPr>
                    <w:t>产生浓度（mg/L）</w:t>
                  </w:r>
                </w:p>
              </w:tc>
              <w:tc>
                <w:tcPr>
                  <w:tcW w:w="575" w:type="pct"/>
                  <w:noWrap w:val="0"/>
                  <w:vAlign w:val="center"/>
                </w:tcPr>
                <w:p w14:paraId="66F1652E">
                  <w:pPr>
                    <w:widowControl/>
                    <w:adjustRightInd w:val="0"/>
                    <w:snapToGrid w:val="0"/>
                    <w:spacing w:line="276" w:lineRule="auto"/>
                    <w:jc w:val="center"/>
                    <w:textAlignment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产生量</w:t>
                  </w:r>
                </w:p>
                <w:p w14:paraId="373A773A">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hint="eastAsia" w:ascii="Times New Roman" w:hAnsi="Times New Roman"/>
                      <w:b/>
                      <w:bCs/>
                      <w:color w:val="auto"/>
                      <w:kern w:val="0"/>
                      <w:sz w:val="21"/>
                      <w:szCs w:val="21"/>
                      <w:highlight w:val="none"/>
                      <w:lang w:eastAsia="zh-CN"/>
                    </w:rPr>
                    <w:t>(</w:t>
                  </w:r>
                  <w:r>
                    <w:rPr>
                      <w:rFonts w:ascii="Times New Roman" w:hAnsi="Times New Roman"/>
                      <w:b/>
                      <w:bCs/>
                      <w:color w:val="auto"/>
                      <w:kern w:val="0"/>
                      <w:sz w:val="21"/>
                      <w:szCs w:val="21"/>
                      <w:highlight w:val="none"/>
                    </w:rPr>
                    <w:t>t/a</w:t>
                  </w:r>
                  <w:r>
                    <w:rPr>
                      <w:rFonts w:hint="eastAsia" w:ascii="Times New Roman" w:hAnsi="Times New Roman"/>
                      <w:b/>
                      <w:bCs/>
                      <w:color w:val="auto"/>
                      <w:kern w:val="0"/>
                      <w:sz w:val="21"/>
                      <w:szCs w:val="21"/>
                      <w:highlight w:val="none"/>
                      <w:lang w:eastAsia="zh-CN"/>
                    </w:rPr>
                    <w:t>)</w:t>
                  </w:r>
                </w:p>
              </w:tc>
              <w:tc>
                <w:tcPr>
                  <w:tcW w:w="1190" w:type="pct"/>
                  <w:vMerge w:val="continue"/>
                  <w:noWrap w:val="0"/>
                  <w:vAlign w:val="center"/>
                </w:tcPr>
                <w:p w14:paraId="03AA1ADA">
                  <w:pPr>
                    <w:widowControl/>
                    <w:adjustRightInd w:val="0"/>
                    <w:snapToGrid w:val="0"/>
                    <w:spacing w:line="276" w:lineRule="auto"/>
                    <w:ind w:firstLine="361"/>
                    <w:jc w:val="center"/>
                    <w:rPr>
                      <w:rFonts w:ascii="Times New Roman" w:hAnsi="Times New Roman"/>
                      <w:b/>
                      <w:bCs/>
                      <w:color w:val="auto"/>
                      <w:sz w:val="21"/>
                      <w:szCs w:val="21"/>
                      <w:highlight w:val="none"/>
                    </w:rPr>
                  </w:pPr>
                </w:p>
              </w:tc>
              <w:tc>
                <w:tcPr>
                  <w:tcW w:w="522" w:type="pct"/>
                  <w:noWrap w:val="0"/>
                  <w:vAlign w:val="center"/>
                </w:tcPr>
                <w:p w14:paraId="277BFCEB">
                  <w:pPr>
                    <w:widowControl/>
                    <w:adjustRightInd w:val="0"/>
                    <w:snapToGrid w:val="0"/>
                    <w:spacing w:line="276" w:lineRule="auto"/>
                    <w:jc w:val="center"/>
                    <w:textAlignment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排放浓度（mg/L）</w:t>
                  </w:r>
                </w:p>
              </w:tc>
              <w:tc>
                <w:tcPr>
                  <w:tcW w:w="514" w:type="pct"/>
                  <w:noWrap w:val="0"/>
                  <w:vAlign w:val="center"/>
                </w:tcPr>
                <w:p w14:paraId="544B20E7">
                  <w:pPr>
                    <w:widowControl/>
                    <w:adjustRightInd w:val="0"/>
                    <w:snapToGrid w:val="0"/>
                    <w:spacing w:line="276" w:lineRule="auto"/>
                    <w:jc w:val="center"/>
                    <w:textAlignment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排放量</w:t>
                  </w:r>
                </w:p>
                <w:p w14:paraId="75FE1D0C">
                  <w:pPr>
                    <w:widowControl/>
                    <w:adjustRightInd w:val="0"/>
                    <w:snapToGrid w:val="0"/>
                    <w:spacing w:line="276" w:lineRule="auto"/>
                    <w:jc w:val="center"/>
                    <w:textAlignment w:val="center"/>
                    <w:rPr>
                      <w:rFonts w:ascii="Times New Roman" w:hAnsi="Times New Roman"/>
                      <w:b/>
                      <w:bCs/>
                      <w:color w:val="auto"/>
                      <w:sz w:val="21"/>
                      <w:szCs w:val="21"/>
                      <w:highlight w:val="none"/>
                    </w:rPr>
                  </w:pPr>
                  <w:r>
                    <w:rPr>
                      <w:rFonts w:hint="eastAsia" w:ascii="Times New Roman" w:hAnsi="Times New Roman"/>
                      <w:b/>
                      <w:bCs/>
                      <w:color w:val="auto"/>
                      <w:kern w:val="0"/>
                      <w:sz w:val="21"/>
                      <w:szCs w:val="21"/>
                      <w:highlight w:val="none"/>
                      <w:lang w:eastAsia="zh-CN"/>
                    </w:rPr>
                    <w:t>(</w:t>
                  </w:r>
                  <w:r>
                    <w:rPr>
                      <w:rFonts w:ascii="Times New Roman" w:hAnsi="Times New Roman"/>
                      <w:b/>
                      <w:bCs/>
                      <w:color w:val="auto"/>
                      <w:kern w:val="0"/>
                      <w:sz w:val="21"/>
                      <w:szCs w:val="21"/>
                      <w:highlight w:val="none"/>
                    </w:rPr>
                    <w:t>t/a</w:t>
                  </w:r>
                  <w:r>
                    <w:rPr>
                      <w:rFonts w:hint="eastAsia" w:ascii="Times New Roman" w:hAnsi="Times New Roman"/>
                      <w:b/>
                      <w:bCs/>
                      <w:color w:val="auto"/>
                      <w:kern w:val="0"/>
                      <w:sz w:val="21"/>
                      <w:szCs w:val="21"/>
                      <w:highlight w:val="none"/>
                      <w:lang w:eastAsia="zh-CN"/>
                    </w:rPr>
                    <w:t>)</w:t>
                  </w:r>
                </w:p>
              </w:tc>
            </w:tr>
            <w:tr w14:paraId="159EEC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restart"/>
                  <w:noWrap w:val="0"/>
                  <w:vAlign w:val="center"/>
                </w:tcPr>
                <w:p w14:paraId="316204CC">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生活污水</w:t>
                  </w:r>
                </w:p>
              </w:tc>
              <w:tc>
                <w:tcPr>
                  <w:tcW w:w="596" w:type="pct"/>
                  <w:vMerge w:val="restart"/>
                  <w:noWrap w:val="0"/>
                  <w:vAlign w:val="center"/>
                </w:tcPr>
                <w:p w14:paraId="3DE8A7D4">
                  <w:pPr>
                    <w:widowControl/>
                    <w:adjustRightInd w:val="0"/>
                    <w:snapToGrid w:val="0"/>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kern w:val="0"/>
                      <w:sz w:val="21"/>
                      <w:szCs w:val="21"/>
                      <w:highlight w:val="none"/>
                      <w:lang w:val="en-US" w:eastAsia="zh-CN"/>
                    </w:rPr>
                    <w:t>765</w:t>
                  </w:r>
                </w:p>
              </w:tc>
              <w:tc>
                <w:tcPr>
                  <w:tcW w:w="553" w:type="pct"/>
                  <w:noWrap w:val="0"/>
                  <w:vAlign w:val="center"/>
                </w:tcPr>
                <w:p w14:paraId="3A4C146D">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COD</w:t>
                  </w:r>
                  <w:r>
                    <w:rPr>
                      <w:rFonts w:ascii="Times New Roman" w:hAnsi="Times New Roman"/>
                      <w:color w:val="auto"/>
                      <w:kern w:val="0"/>
                      <w:sz w:val="21"/>
                      <w:szCs w:val="21"/>
                      <w:highlight w:val="none"/>
                      <w:vertAlign w:val="subscript"/>
                    </w:rPr>
                    <w:t>Cr</w:t>
                  </w:r>
                </w:p>
              </w:tc>
              <w:tc>
                <w:tcPr>
                  <w:tcW w:w="561" w:type="pct"/>
                  <w:noWrap w:val="0"/>
                  <w:vAlign w:val="center"/>
                </w:tcPr>
                <w:p w14:paraId="4078423C">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300</w:t>
                  </w:r>
                </w:p>
              </w:tc>
              <w:tc>
                <w:tcPr>
                  <w:tcW w:w="575" w:type="pct"/>
                  <w:noWrap w:val="0"/>
                  <w:vAlign w:val="center"/>
                </w:tcPr>
                <w:p w14:paraId="791B1A09">
                  <w:pPr>
                    <w:keepNext w:val="0"/>
                    <w:keepLines w:val="0"/>
                    <w:widowControl/>
                    <w:suppressLineNumbers w:val="0"/>
                    <w:jc w:val="center"/>
                    <w:textAlignment w:val="center"/>
                    <w:rPr>
                      <w:rFonts w:hint="default" w:ascii="Times New Roman" w:hAnsi="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0.230 </w:t>
                  </w:r>
                </w:p>
              </w:tc>
              <w:tc>
                <w:tcPr>
                  <w:tcW w:w="1190" w:type="pct"/>
                  <w:vMerge w:val="restart"/>
                  <w:noWrap w:val="0"/>
                  <w:vAlign w:val="center"/>
                </w:tcPr>
                <w:p w14:paraId="0E1490D8">
                  <w:pPr>
                    <w:widowControl/>
                    <w:adjustRightInd w:val="0"/>
                    <w:snapToGrid w:val="0"/>
                    <w:spacing w:line="276" w:lineRule="auto"/>
                    <w:jc w:val="center"/>
                    <w:textAlignment w:val="center"/>
                    <w:rPr>
                      <w:rFonts w:ascii="Times New Roman" w:hAnsi="Times New Roman"/>
                      <w:color w:val="auto"/>
                      <w:sz w:val="21"/>
                      <w:szCs w:val="21"/>
                      <w:highlight w:val="none"/>
                    </w:rPr>
                  </w:pPr>
                  <w:r>
                    <w:rPr>
                      <w:rFonts w:hint="default" w:ascii="Times New Roman" w:hAnsi="Times New Roman"/>
                      <w:color w:val="auto"/>
                      <w:sz w:val="21"/>
                      <w:szCs w:val="21"/>
                      <w:highlight w:val="none"/>
                    </w:rPr>
                    <w:t>经园区化粪池处理后</w:t>
                  </w:r>
                  <w:r>
                    <w:rPr>
                      <w:rFonts w:hint="default" w:ascii="Times New Roman" w:hAnsi="Times New Roman"/>
                      <w:color w:val="auto"/>
                      <w:sz w:val="21"/>
                      <w:szCs w:val="21"/>
                      <w:highlight w:val="none"/>
                      <w:lang w:val="en-US" w:eastAsia="zh-CN"/>
                    </w:rPr>
                    <w:t>与纯水制备浓水以及废水处理设施产生的超浓水一并经园区污水管网</w:t>
                  </w:r>
                  <w:r>
                    <w:rPr>
                      <w:rFonts w:hint="default" w:ascii="Times New Roman" w:hAnsi="Times New Roman"/>
                      <w:color w:val="auto"/>
                      <w:sz w:val="21"/>
                      <w:szCs w:val="21"/>
                      <w:highlight w:val="none"/>
                    </w:rPr>
                    <w:t>进入</w:t>
                  </w:r>
                  <w:r>
                    <w:rPr>
                      <w:rFonts w:hint="default" w:ascii="Times New Roman" w:hAnsi="Times New Roman"/>
                      <w:color w:val="auto"/>
                      <w:sz w:val="21"/>
                      <w:szCs w:val="21"/>
                      <w:highlight w:val="none"/>
                      <w:lang w:eastAsia="zh-CN"/>
                    </w:rPr>
                    <w:t>凤台经济开发区污水处理厂</w:t>
                  </w:r>
                </w:p>
              </w:tc>
              <w:tc>
                <w:tcPr>
                  <w:tcW w:w="522" w:type="pct"/>
                  <w:noWrap w:val="0"/>
                  <w:vAlign w:val="center"/>
                </w:tcPr>
                <w:p w14:paraId="0AF1907D">
                  <w:pPr>
                    <w:widowControl/>
                    <w:adjustRightInd w:val="0"/>
                    <w:snapToGrid w:val="0"/>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17ECB096">
                  <w:pPr>
                    <w:keepNext w:val="0"/>
                    <w:keepLines w:val="0"/>
                    <w:widowControl/>
                    <w:suppressLineNumbers w:val="0"/>
                    <w:jc w:val="center"/>
                    <w:textAlignment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w:t>
                  </w:r>
                </w:p>
              </w:tc>
            </w:tr>
            <w:tr w14:paraId="06C975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6125AE68">
                  <w:pPr>
                    <w:widowControl/>
                    <w:adjustRightInd w:val="0"/>
                    <w:snapToGrid w:val="0"/>
                    <w:spacing w:line="276" w:lineRule="auto"/>
                    <w:ind w:firstLine="360"/>
                    <w:jc w:val="center"/>
                    <w:rPr>
                      <w:rFonts w:ascii="Times New Roman" w:hAnsi="Times New Roman"/>
                      <w:color w:val="auto"/>
                      <w:sz w:val="21"/>
                      <w:szCs w:val="21"/>
                      <w:highlight w:val="none"/>
                    </w:rPr>
                  </w:pPr>
                </w:p>
              </w:tc>
              <w:tc>
                <w:tcPr>
                  <w:tcW w:w="596" w:type="pct"/>
                  <w:vMerge w:val="continue"/>
                  <w:noWrap w:val="0"/>
                  <w:vAlign w:val="center"/>
                </w:tcPr>
                <w:p w14:paraId="28DA60C7">
                  <w:pPr>
                    <w:widowControl/>
                    <w:adjustRightInd w:val="0"/>
                    <w:snapToGrid w:val="0"/>
                    <w:spacing w:line="276" w:lineRule="auto"/>
                    <w:ind w:firstLine="360"/>
                    <w:jc w:val="center"/>
                    <w:rPr>
                      <w:rFonts w:ascii="Times New Roman" w:hAnsi="Times New Roman"/>
                      <w:color w:val="auto"/>
                      <w:sz w:val="21"/>
                      <w:szCs w:val="21"/>
                      <w:highlight w:val="none"/>
                    </w:rPr>
                  </w:pPr>
                </w:p>
              </w:tc>
              <w:tc>
                <w:tcPr>
                  <w:tcW w:w="553" w:type="pct"/>
                  <w:noWrap w:val="0"/>
                  <w:vAlign w:val="center"/>
                </w:tcPr>
                <w:p w14:paraId="0A09ED67">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BOD</w:t>
                  </w:r>
                  <w:r>
                    <w:rPr>
                      <w:rFonts w:ascii="Times New Roman" w:hAnsi="Times New Roman"/>
                      <w:color w:val="auto"/>
                      <w:kern w:val="0"/>
                      <w:sz w:val="21"/>
                      <w:szCs w:val="21"/>
                      <w:highlight w:val="none"/>
                      <w:vertAlign w:val="subscript"/>
                    </w:rPr>
                    <w:t>5</w:t>
                  </w:r>
                </w:p>
              </w:tc>
              <w:tc>
                <w:tcPr>
                  <w:tcW w:w="561" w:type="pct"/>
                  <w:noWrap w:val="0"/>
                  <w:vAlign w:val="center"/>
                </w:tcPr>
                <w:p w14:paraId="372391B0">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180</w:t>
                  </w:r>
                </w:p>
              </w:tc>
              <w:tc>
                <w:tcPr>
                  <w:tcW w:w="575" w:type="pct"/>
                  <w:noWrap w:val="0"/>
                  <w:vAlign w:val="center"/>
                </w:tcPr>
                <w:p w14:paraId="74B06E2B">
                  <w:pPr>
                    <w:keepNext w:val="0"/>
                    <w:keepLines w:val="0"/>
                    <w:widowControl/>
                    <w:suppressLineNumbers w:val="0"/>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c>
                <w:tcPr>
                  <w:tcW w:w="1190" w:type="pct"/>
                  <w:vMerge w:val="continue"/>
                  <w:noWrap w:val="0"/>
                  <w:vAlign w:val="center"/>
                </w:tcPr>
                <w:p w14:paraId="201E7415">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33E4292A">
                  <w:pPr>
                    <w:widowControl/>
                    <w:adjustRightInd w:val="0"/>
                    <w:snapToGrid w:val="0"/>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56368FD5">
                  <w:pPr>
                    <w:keepNext w:val="0"/>
                    <w:keepLines w:val="0"/>
                    <w:widowControl/>
                    <w:suppressLineNumbers w:val="0"/>
                    <w:jc w:val="center"/>
                    <w:textAlignment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w:t>
                  </w:r>
                </w:p>
              </w:tc>
            </w:tr>
            <w:tr w14:paraId="5E8ADE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21B0B9B7">
                  <w:pPr>
                    <w:widowControl/>
                    <w:adjustRightInd w:val="0"/>
                    <w:snapToGrid w:val="0"/>
                    <w:spacing w:line="276" w:lineRule="auto"/>
                    <w:ind w:firstLine="360"/>
                    <w:jc w:val="center"/>
                    <w:rPr>
                      <w:rFonts w:ascii="Times New Roman" w:hAnsi="Times New Roman"/>
                      <w:color w:val="auto"/>
                      <w:sz w:val="21"/>
                      <w:szCs w:val="21"/>
                      <w:highlight w:val="none"/>
                    </w:rPr>
                  </w:pPr>
                </w:p>
              </w:tc>
              <w:tc>
                <w:tcPr>
                  <w:tcW w:w="596" w:type="pct"/>
                  <w:vMerge w:val="continue"/>
                  <w:noWrap w:val="0"/>
                  <w:vAlign w:val="center"/>
                </w:tcPr>
                <w:p w14:paraId="19977770">
                  <w:pPr>
                    <w:widowControl/>
                    <w:adjustRightInd w:val="0"/>
                    <w:snapToGrid w:val="0"/>
                    <w:spacing w:line="276" w:lineRule="auto"/>
                    <w:ind w:firstLine="360"/>
                    <w:jc w:val="center"/>
                    <w:rPr>
                      <w:rFonts w:ascii="Times New Roman" w:hAnsi="Times New Roman"/>
                      <w:color w:val="auto"/>
                      <w:sz w:val="21"/>
                      <w:szCs w:val="21"/>
                      <w:highlight w:val="none"/>
                    </w:rPr>
                  </w:pPr>
                </w:p>
              </w:tc>
              <w:tc>
                <w:tcPr>
                  <w:tcW w:w="553" w:type="pct"/>
                  <w:noWrap w:val="0"/>
                  <w:vAlign w:val="center"/>
                </w:tcPr>
                <w:p w14:paraId="3D63C233">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SS</w:t>
                  </w:r>
                </w:p>
              </w:tc>
              <w:tc>
                <w:tcPr>
                  <w:tcW w:w="561" w:type="pct"/>
                  <w:noWrap w:val="0"/>
                  <w:vAlign w:val="center"/>
                </w:tcPr>
                <w:p w14:paraId="7D444EE3">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150</w:t>
                  </w:r>
                </w:p>
              </w:tc>
              <w:tc>
                <w:tcPr>
                  <w:tcW w:w="575" w:type="pct"/>
                  <w:noWrap w:val="0"/>
                  <w:vAlign w:val="center"/>
                </w:tcPr>
                <w:p w14:paraId="03B94193">
                  <w:pPr>
                    <w:keepNext w:val="0"/>
                    <w:keepLines w:val="0"/>
                    <w:widowControl/>
                    <w:suppressLineNumbers w:val="0"/>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0.115 </w:t>
                  </w:r>
                </w:p>
              </w:tc>
              <w:tc>
                <w:tcPr>
                  <w:tcW w:w="1190" w:type="pct"/>
                  <w:vMerge w:val="continue"/>
                  <w:noWrap w:val="0"/>
                  <w:vAlign w:val="center"/>
                </w:tcPr>
                <w:p w14:paraId="0CF5DBA3">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3C958643">
                  <w:pPr>
                    <w:widowControl/>
                    <w:adjustRightInd w:val="0"/>
                    <w:snapToGrid w:val="0"/>
                    <w:spacing w:line="276"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6A970E3A">
                  <w:pPr>
                    <w:keepNext w:val="0"/>
                    <w:keepLines w:val="0"/>
                    <w:widowControl/>
                    <w:suppressLineNumbers w:val="0"/>
                    <w:jc w:val="center"/>
                    <w:textAlignment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w:t>
                  </w:r>
                </w:p>
              </w:tc>
            </w:tr>
            <w:tr w14:paraId="263FAA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763CA183">
                  <w:pPr>
                    <w:widowControl/>
                    <w:adjustRightInd w:val="0"/>
                    <w:snapToGrid w:val="0"/>
                    <w:spacing w:line="276" w:lineRule="auto"/>
                    <w:ind w:firstLine="360"/>
                    <w:jc w:val="center"/>
                    <w:rPr>
                      <w:rFonts w:ascii="Times New Roman" w:hAnsi="Times New Roman"/>
                      <w:color w:val="auto"/>
                      <w:sz w:val="21"/>
                      <w:szCs w:val="21"/>
                      <w:highlight w:val="none"/>
                    </w:rPr>
                  </w:pPr>
                </w:p>
              </w:tc>
              <w:tc>
                <w:tcPr>
                  <w:tcW w:w="596" w:type="pct"/>
                  <w:vMerge w:val="continue"/>
                  <w:noWrap w:val="0"/>
                  <w:vAlign w:val="center"/>
                </w:tcPr>
                <w:p w14:paraId="3F1BD25E">
                  <w:pPr>
                    <w:widowControl/>
                    <w:adjustRightInd w:val="0"/>
                    <w:snapToGrid w:val="0"/>
                    <w:spacing w:line="276" w:lineRule="auto"/>
                    <w:ind w:firstLine="360"/>
                    <w:jc w:val="center"/>
                    <w:rPr>
                      <w:rFonts w:ascii="Times New Roman" w:hAnsi="Times New Roman"/>
                      <w:color w:val="auto"/>
                      <w:sz w:val="21"/>
                      <w:szCs w:val="21"/>
                      <w:highlight w:val="none"/>
                    </w:rPr>
                  </w:pPr>
                </w:p>
              </w:tc>
              <w:tc>
                <w:tcPr>
                  <w:tcW w:w="553" w:type="pct"/>
                  <w:noWrap w:val="0"/>
                  <w:vAlign w:val="center"/>
                </w:tcPr>
                <w:p w14:paraId="3A9E569E">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NH</w:t>
                  </w:r>
                  <w:r>
                    <w:rPr>
                      <w:rFonts w:ascii="Times New Roman" w:hAnsi="Times New Roman"/>
                      <w:color w:val="auto"/>
                      <w:kern w:val="0"/>
                      <w:sz w:val="21"/>
                      <w:szCs w:val="21"/>
                      <w:highlight w:val="none"/>
                      <w:vertAlign w:val="subscript"/>
                    </w:rPr>
                    <w:t>3</w:t>
                  </w:r>
                  <w:r>
                    <w:rPr>
                      <w:rFonts w:ascii="Times New Roman" w:hAnsi="Times New Roman"/>
                      <w:color w:val="auto"/>
                      <w:kern w:val="0"/>
                      <w:sz w:val="21"/>
                      <w:szCs w:val="21"/>
                      <w:highlight w:val="none"/>
                    </w:rPr>
                    <w:t>-N</w:t>
                  </w:r>
                </w:p>
              </w:tc>
              <w:tc>
                <w:tcPr>
                  <w:tcW w:w="561" w:type="pct"/>
                  <w:noWrap w:val="0"/>
                  <w:vAlign w:val="center"/>
                </w:tcPr>
                <w:p w14:paraId="710C1342">
                  <w:pPr>
                    <w:widowControl/>
                    <w:adjustRightInd w:val="0"/>
                    <w:snapToGrid w:val="0"/>
                    <w:spacing w:line="276" w:lineRule="auto"/>
                    <w:jc w:val="center"/>
                    <w:textAlignment w:val="center"/>
                    <w:rPr>
                      <w:rFonts w:ascii="Times New Roman" w:hAnsi="Times New Roman"/>
                      <w:color w:val="auto"/>
                      <w:sz w:val="21"/>
                      <w:szCs w:val="21"/>
                      <w:highlight w:val="none"/>
                    </w:rPr>
                  </w:pPr>
                  <w:r>
                    <w:rPr>
                      <w:rFonts w:ascii="Times New Roman" w:hAnsi="Times New Roman"/>
                      <w:color w:val="auto"/>
                      <w:kern w:val="0"/>
                      <w:sz w:val="21"/>
                      <w:szCs w:val="21"/>
                      <w:highlight w:val="none"/>
                    </w:rPr>
                    <w:t>25</w:t>
                  </w:r>
                </w:p>
              </w:tc>
              <w:tc>
                <w:tcPr>
                  <w:tcW w:w="575" w:type="pct"/>
                  <w:noWrap w:val="0"/>
                  <w:vAlign w:val="center"/>
                </w:tcPr>
                <w:p w14:paraId="40261BEE">
                  <w:pPr>
                    <w:keepNext w:val="0"/>
                    <w:keepLines w:val="0"/>
                    <w:widowControl/>
                    <w:suppressLineNumbers w:val="0"/>
                    <w:jc w:val="center"/>
                    <w:textAlignment w:val="center"/>
                    <w:rPr>
                      <w:rFonts w:ascii="Times New Roman" w:hAnsi="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 </w:t>
                  </w:r>
                </w:p>
              </w:tc>
              <w:tc>
                <w:tcPr>
                  <w:tcW w:w="1190" w:type="pct"/>
                  <w:vMerge w:val="continue"/>
                  <w:noWrap w:val="0"/>
                  <w:vAlign w:val="center"/>
                </w:tcPr>
                <w:p w14:paraId="31F9625F">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24F36EAA">
                  <w:pPr>
                    <w:widowControl/>
                    <w:adjustRightInd w:val="0"/>
                    <w:snapToGrid w:val="0"/>
                    <w:spacing w:line="276" w:lineRule="auto"/>
                    <w:jc w:val="center"/>
                    <w:textAlignment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4972147E">
                  <w:pPr>
                    <w:keepNext w:val="0"/>
                    <w:keepLines w:val="0"/>
                    <w:widowControl/>
                    <w:suppressLineNumbers w:val="0"/>
                    <w:jc w:val="center"/>
                    <w:textAlignment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lang w:val="en-US" w:eastAsia="zh-CN"/>
                    </w:rPr>
                    <w:t>/</w:t>
                  </w:r>
                </w:p>
              </w:tc>
            </w:tr>
            <w:tr w14:paraId="6813E4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noWrap w:val="0"/>
                  <w:vAlign w:val="center"/>
                </w:tcPr>
                <w:p w14:paraId="04E690F0">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磨边</w:t>
                  </w:r>
                </w:p>
              </w:tc>
              <w:tc>
                <w:tcPr>
                  <w:tcW w:w="596" w:type="pct"/>
                  <w:noWrap w:val="0"/>
                  <w:vAlign w:val="center"/>
                </w:tcPr>
                <w:p w14:paraId="3E3D93D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361392</w:t>
                  </w:r>
                </w:p>
              </w:tc>
              <w:tc>
                <w:tcPr>
                  <w:tcW w:w="553" w:type="pct"/>
                  <w:noWrap w:val="0"/>
                  <w:vAlign w:val="center"/>
                </w:tcPr>
                <w:p w14:paraId="5D68E6EC">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w:t>
                  </w:r>
                </w:p>
              </w:tc>
              <w:tc>
                <w:tcPr>
                  <w:tcW w:w="561" w:type="pct"/>
                  <w:noWrap w:val="0"/>
                  <w:vAlign w:val="center"/>
                </w:tcPr>
                <w:p w14:paraId="19D618FC">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500</w:t>
                  </w:r>
                </w:p>
              </w:tc>
              <w:tc>
                <w:tcPr>
                  <w:tcW w:w="575" w:type="pct"/>
                  <w:noWrap w:val="0"/>
                  <w:vAlign w:val="center"/>
                </w:tcPr>
                <w:p w14:paraId="1A8B196D">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180.696 </w:t>
                  </w:r>
                </w:p>
              </w:tc>
              <w:tc>
                <w:tcPr>
                  <w:tcW w:w="1190" w:type="pct"/>
                  <w:noWrap w:val="0"/>
                  <w:vAlign w:val="center"/>
                </w:tcPr>
                <w:p w14:paraId="4478E89E">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经</w:t>
                  </w:r>
                  <w:r>
                    <w:rPr>
                      <w:rFonts w:hint="default" w:ascii="Times New Roman" w:hAnsi="Times New Roman" w:eastAsia="宋体" w:cs="Times New Roman"/>
                      <w:color w:val="auto"/>
                      <w:kern w:val="0"/>
                      <w:sz w:val="21"/>
                      <w:szCs w:val="21"/>
                      <w:highlight w:val="none"/>
                      <w:lang w:val="en-US" w:eastAsia="zh-CN"/>
                    </w:rPr>
                    <w:t>一套“物化混凝沉淀”废水处理设施</w:t>
                  </w:r>
                  <w:r>
                    <w:rPr>
                      <w:rFonts w:hint="eastAsia" w:ascii="Times New Roman" w:hAnsi="Times New Roman" w:eastAsia="宋体" w:cs="Times New Roman"/>
                      <w:color w:val="auto"/>
                      <w:kern w:val="0"/>
                      <w:sz w:val="21"/>
                      <w:szCs w:val="21"/>
                      <w:highlight w:val="none"/>
                      <w:lang w:val="en-US" w:eastAsia="zh-CN"/>
                    </w:rPr>
                    <w:t>处理后回用于磨边工序</w:t>
                  </w:r>
                </w:p>
              </w:tc>
              <w:tc>
                <w:tcPr>
                  <w:tcW w:w="522" w:type="pct"/>
                  <w:noWrap w:val="0"/>
                  <w:vAlign w:val="center"/>
                </w:tcPr>
                <w:p w14:paraId="0FB0BD7E">
                  <w:pPr>
                    <w:widowControl/>
                    <w:adjustRightInd w:val="0"/>
                    <w:snapToGrid w:val="0"/>
                    <w:spacing w:line="276" w:lineRule="auto"/>
                    <w:jc w:val="center"/>
                    <w:textAlignment w:val="center"/>
                    <w:rPr>
                      <w:rFonts w:hint="eastAsia" w:ascii="Times New Roman" w:hAnsi="Times New Roman" w:eastAsia="宋体"/>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5BDA070A">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r>
            <w:tr w14:paraId="4F2E9E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noWrap w:val="0"/>
                  <w:vAlign w:val="center"/>
                </w:tcPr>
                <w:p w14:paraId="04028FFA">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清洗废水</w:t>
                  </w:r>
                </w:p>
              </w:tc>
              <w:tc>
                <w:tcPr>
                  <w:tcW w:w="596" w:type="pct"/>
                  <w:noWrap w:val="0"/>
                  <w:vAlign w:val="center"/>
                </w:tcPr>
                <w:p w14:paraId="6E67651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33801</w:t>
                  </w:r>
                </w:p>
              </w:tc>
              <w:tc>
                <w:tcPr>
                  <w:tcW w:w="553" w:type="pct"/>
                  <w:noWrap w:val="0"/>
                  <w:vAlign w:val="center"/>
                </w:tcPr>
                <w:p w14:paraId="58E4DDF2">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w:t>
                  </w:r>
                </w:p>
              </w:tc>
              <w:tc>
                <w:tcPr>
                  <w:tcW w:w="561" w:type="pct"/>
                  <w:noWrap w:val="0"/>
                  <w:vAlign w:val="center"/>
                </w:tcPr>
                <w:p w14:paraId="5D2CE713">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200</w:t>
                  </w:r>
                </w:p>
              </w:tc>
              <w:tc>
                <w:tcPr>
                  <w:tcW w:w="575" w:type="pct"/>
                  <w:noWrap w:val="0"/>
                  <w:vAlign w:val="center"/>
                </w:tcPr>
                <w:p w14:paraId="03D6B949">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6.760 </w:t>
                  </w:r>
                </w:p>
              </w:tc>
              <w:tc>
                <w:tcPr>
                  <w:tcW w:w="1190" w:type="pct"/>
                  <w:noWrap w:val="0"/>
                  <w:vAlign w:val="center"/>
                </w:tcPr>
                <w:p w14:paraId="095BD010">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经</w:t>
                  </w:r>
                  <w:r>
                    <w:rPr>
                      <w:rFonts w:hint="default" w:ascii="Times New Roman" w:hAnsi="Times New Roman" w:eastAsia="宋体" w:cs="Times New Roman"/>
                      <w:color w:val="auto"/>
                      <w:kern w:val="0"/>
                      <w:sz w:val="21"/>
                      <w:szCs w:val="21"/>
                      <w:highlight w:val="none"/>
                      <w:lang w:val="en-US" w:eastAsia="zh-CN"/>
                    </w:rPr>
                    <w:t>一套“反渗透+RO”废水处理设施</w:t>
                  </w:r>
                  <w:r>
                    <w:rPr>
                      <w:rFonts w:hint="eastAsia" w:ascii="Times New Roman" w:hAnsi="Times New Roman" w:eastAsia="宋体" w:cs="Times New Roman"/>
                      <w:color w:val="auto"/>
                      <w:kern w:val="0"/>
                      <w:sz w:val="21"/>
                      <w:szCs w:val="21"/>
                      <w:highlight w:val="none"/>
                      <w:lang w:val="en-US" w:eastAsia="zh-CN"/>
                    </w:rPr>
                    <w:t>处理后回用于清洗工序</w:t>
                  </w:r>
                </w:p>
              </w:tc>
              <w:tc>
                <w:tcPr>
                  <w:tcW w:w="522" w:type="pct"/>
                  <w:noWrap w:val="0"/>
                  <w:vAlign w:val="center"/>
                </w:tcPr>
                <w:p w14:paraId="1C777084">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30ACF327">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r>
            <w:tr w14:paraId="123CB8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restart"/>
                  <w:noWrap w:val="0"/>
                  <w:vAlign w:val="center"/>
                </w:tcPr>
                <w:p w14:paraId="45FD9436">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纯水制备</w:t>
                  </w:r>
                  <w:r>
                    <w:rPr>
                      <w:rFonts w:ascii="Times New Roman" w:hAnsi="Times New Roman" w:eastAsia="宋体" w:cs="Times New Roman"/>
                      <w:color w:val="auto"/>
                      <w:kern w:val="0"/>
                      <w:sz w:val="21"/>
                      <w:szCs w:val="21"/>
                      <w:highlight w:val="none"/>
                    </w:rPr>
                    <w:t>浓水</w:t>
                  </w:r>
                </w:p>
              </w:tc>
              <w:tc>
                <w:tcPr>
                  <w:tcW w:w="596" w:type="pct"/>
                  <w:vMerge w:val="restart"/>
                  <w:noWrap w:val="0"/>
                  <w:vAlign w:val="center"/>
                </w:tcPr>
                <w:p w14:paraId="1372285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3082</w:t>
                  </w:r>
                </w:p>
              </w:tc>
              <w:tc>
                <w:tcPr>
                  <w:tcW w:w="553" w:type="pct"/>
                  <w:noWrap w:val="0"/>
                  <w:vAlign w:val="center"/>
                </w:tcPr>
                <w:p w14:paraId="73B76493">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COD</w:t>
                  </w:r>
                </w:p>
              </w:tc>
              <w:tc>
                <w:tcPr>
                  <w:tcW w:w="561" w:type="pct"/>
                  <w:noWrap w:val="0"/>
                  <w:vAlign w:val="center"/>
                </w:tcPr>
                <w:p w14:paraId="67BC42C5">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w:t>
                  </w:r>
                </w:p>
              </w:tc>
              <w:tc>
                <w:tcPr>
                  <w:tcW w:w="575" w:type="pct"/>
                  <w:noWrap w:val="0"/>
                  <w:vAlign w:val="center"/>
                </w:tcPr>
                <w:p w14:paraId="34518BA4">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0.308 </w:t>
                  </w:r>
                </w:p>
              </w:tc>
              <w:tc>
                <w:tcPr>
                  <w:tcW w:w="1190" w:type="pct"/>
                  <w:vMerge w:val="restart"/>
                  <w:noWrap w:val="0"/>
                  <w:vAlign w:val="center"/>
                </w:tcPr>
                <w:p w14:paraId="6863B139">
                  <w:pPr>
                    <w:widowControl/>
                    <w:adjustRightInd w:val="0"/>
                    <w:snapToGrid w:val="0"/>
                    <w:spacing w:line="276" w:lineRule="auto"/>
                    <w:jc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和生活污水一并经园区污水管网进入凤台经济开发区污水处理厂</w:t>
                  </w:r>
                </w:p>
              </w:tc>
              <w:tc>
                <w:tcPr>
                  <w:tcW w:w="522" w:type="pct"/>
                  <w:noWrap w:val="0"/>
                  <w:vAlign w:val="center"/>
                </w:tcPr>
                <w:p w14:paraId="5C6DC821">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5135D00B">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r>
            <w:tr w14:paraId="558B11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70BE24B8">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96" w:type="pct"/>
                  <w:vMerge w:val="continue"/>
                  <w:noWrap w:val="0"/>
                  <w:vAlign w:val="center"/>
                </w:tcPr>
                <w:p w14:paraId="40AE0EF7">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53" w:type="pct"/>
                  <w:noWrap w:val="0"/>
                  <w:vAlign w:val="center"/>
                </w:tcPr>
                <w:p w14:paraId="5FB64727">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w:t>
                  </w:r>
                </w:p>
              </w:tc>
              <w:tc>
                <w:tcPr>
                  <w:tcW w:w="561" w:type="pct"/>
                  <w:noWrap w:val="0"/>
                  <w:vAlign w:val="center"/>
                </w:tcPr>
                <w:p w14:paraId="531D547E">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w:t>
                  </w:r>
                </w:p>
              </w:tc>
              <w:tc>
                <w:tcPr>
                  <w:tcW w:w="575" w:type="pct"/>
                  <w:noWrap w:val="0"/>
                  <w:vAlign w:val="center"/>
                </w:tcPr>
                <w:p w14:paraId="30A4088F">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0.123 </w:t>
                  </w:r>
                </w:p>
              </w:tc>
              <w:tc>
                <w:tcPr>
                  <w:tcW w:w="1190" w:type="pct"/>
                  <w:vMerge w:val="continue"/>
                  <w:noWrap w:val="0"/>
                  <w:vAlign w:val="center"/>
                </w:tcPr>
                <w:p w14:paraId="4AF65FF3">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5EDF2E10">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269B2564">
                  <w:pPr>
                    <w:widowControl/>
                    <w:adjustRightInd w:val="0"/>
                    <w:snapToGrid w:val="0"/>
                    <w:spacing w:line="276" w:lineRule="auto"/>
                    <w:jc w:val="center"/>
                    <w:textAlignment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lang w:val="en-US" w:eastAsia="zh-CN"/>
                    </w:rPr>
                    <w:t>/</w:t>
                  </w:r>
                </w:p>
              </w:tc>
            </w:tr>
            <w:tr w14:paraId="06DC6A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restart"/>
                  <w:noWrap w:val="0"/>
                  <w:vAlign w:val="center"/>
                </w:tcPr>
                <w:p w14:paraId="19FA74A1">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超浓水</w:t>
                  </w:r>
                </w:p>
              </w:tc>
              <w:tc>
                <w:tcPr>
                  <w:tcW w:w="596" w:type="pct"/>
                  <w:vMerge w:val="restart"/>
                  <w:noWrap w:val="0"/>
                  <w:vAlign w:val="center"/>
                </w:tcPr>
                <w:p w14:paraId="06659A72">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639</w:t>
                  </w:r>
                </w:p>
              </w:tc>
              <w:tc>
                <w:tcPr>
                  <w:tcW w:w="553" w:type="pct"/>
                  <w:noWrap w:val="0"/>
                  <w:vAlign w:val="center"/>
                </w:tcPr>
                <w:p w14:paraId="6316FC23">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rPr>
                    <w:t>COD</w:t>
                  </w:r>
                </w:p>
              </w:tc>
              <w:tc>
                <w:tcPr>
                  <w:tcW w:w="561" w:type="pct"/>
                  <w:noWrap w:val="0"/>
                  <w:vAlign w:val="center"/>
                </w:tcPr>
                <w:p w14:paraId="0048C5D3">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w:t>
                  </w:r>
                </w:p>
              </w:tc>
              <w:tc>
                <w:tcPr>
                  <w:tcW w:w="575" w:type="pct"/>
                  <w:noWrap w:val="0"/>
                  <w:vAlign w:val="center"/>
                </w:tcPr>
                <w:p w14:paraId="649B09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0.308 </w:t>
                  </w:r>
                </w:p>
              </w:tc>
              <w:tc>
                <w:tcPr>
                  <w:tcW w:w="1190" w:type="pct"/>
                  <w:vMerge w:val="continue"/>
                  <w:noWrap w:val="0"/>
                  <w:vAlign w:val="center"/>
                </w:tcPr>
                <w:p w14:paraId="3550B297">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30E901F6">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21EBF0F7">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14:paraId="2E2BAE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3C1F8166">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96" w:type="pct"/>
                  <w:vMerge w:val="continue"/>
                  <w:noWrap w:val="0"/>
                  <w:vAlign w:val="center"/>
                </w:tcPr>
                <w:p w14:paraId="5F8DF3B8">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53" w:type="pct"/>
                  <w:noWrap w:val="0"/>
                  <w:vAlign w:val="center"/>
                </w:tcPr>
                <w:p w14:paraId="3DB4271C">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w:t>
                  </w:r>
                </w:p>
              </w:tc>
              <w:tc>
                <w:tcPr>
                  <w:tcW w:w="561" w:type="pct"/>
                  <w:noWrap w:val="0"/>
                  <w:vAlign w:val="center"/>
                </w:tcPr>
                <w:p w14:paraId="6A65297E">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w:t>
                  </w:r>
                </w:p>
              </w:tc>
              <w:tc>
                <w:tcPr>
                  <w:tcW w:w="575" w:type="pct"/>
                  <w:noWrap w:val="0"/>
                  <w:vAlign w:val="center"/>
                </w:tcPr>
                <w:p w14:paraId="5D9D42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0.123 </w:t>
                  </w:r>
                </w:p>
              </w:tc>
              <w:tc>
                <w:tcPr>
                  <w:tcW w:w="1190" w:type="pct"/>
                  <w:vMerge w:val="continue"/>
                  <w:noWrap w:val="0"/>
                  <w:vAlign w:val="center"/>
                </w:tcPr>
                <w:p w14:paraId="43F3CB7A">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0B961D3B">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c>
                <w:tcPr>
                  <w:tcW w:w="514" w:type="pct"/>
                  <w:noWrap w:val="0"/>
                  <w:vAlign w:val="center"/>
                </w:tcPr>
                <w:p w14:paraId="7F8C59F3">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14:paraId="2FC3BD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restart"/>
                  <w:noWrap w:val="0"/>
                  <w:vAlign w:val="center"/>
                </w:tcPr>
                <w:p w14:paraId="3A3DA4B6">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综合废水</w:t>
                  </w:r>
                </w:p>
              </w:tc>
              <w:tc>
                <w:tcPr>
                  <w:tcW w:w="596" w:type="pct"/>
                  <w:vMerge w:val="restart"/>
                  <w:noWrap w:val="0"/>
                  <w:vAlign w:val="center"/>
                </w:tcPr>
                <w:p w14:paraId="7C5D0D09">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4487</w:t>
                  </w:r>
                </w:p>
              </w:tc>
              <w:tc>
                <w:tcPr>
                  <w:tcW w:w="553" w:type="pct"/>
                  <w:noWrap w:val="0"/>
                  <w:vAlign w:val="center"/>
                </w:tcPr>
                <w:p w14:paraId="2DF3BA9F">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COD</w:t>
                  </w:r>
                  <w:r>
                    <w:rPr>
                      <w:rFonts w:hint="default" w:ascii="Times New Roman" w:hAnsi="Times New Roman" w:eastAsia="宋体" w:cs="Times New Roman"/>
                      <w:color w:val="auto"/>
                      <w:kern w:val="0"/>
                      <w:sz w:val="21"/>
                      <w:szCs w:val="21"/>
                      <w:highlight w:val="none"/>
                      <w:vertAlign w:val="subscript"/>
                      <w:lang w:val="en-US" w:eastAsia="zh-CN"/>
                    </w:rPr>
                    <w:t>Cr</w:t>
                  </w:r>
                </w:p>
              </w:tc>
              <w:tc>
                <w:tcPr>
                  <w:tcW w:w="561" w:type="pct"/>
                  <w:noWrap w:val="0"/>
                  <w:vAlign w:val="center"/>
                </w:tcPr>
                <w:p w14:paraId="730EE580">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70.71 </w:t>
                  </w:r>
                </w:p>
              </w:tc>
              <w:tc>
                <w:tcPr>
                  <w:tcW w:w="575" w:type="pct"/>
                  <w:noWrap w:val="0"/>
                  <w:vAlign w:val="center"/>
                </w:tcPr>
                <w:p w14:paraId="19D61548">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0.32 </w:t>
                  </w:r>
                </w:p>
              </w:tc>
              <w:tc>
                <w:tcPr>
                  <w:tcW w:w="1190" w:type="pct"/>
                  <w:vMerge w:val="restart"/>
                  <w:noWrap w:val="0"/>
                  <w:vAlign w:val="center"/>
                </w:tcPr>
                <w:p w14:paraId="41E70F6E">
                  <w:pPr>
                    <w:widowControl/>
                    <w:adjustRightInd w:val="0"/>
                    <w:snapToGrid w:val="0"/>
                    <w:spacing w:line="276" w:lineRule="auto"/>
                    <w:jc w:val="center"/>
                    <w:rPr>
                      <w:rFonts w:ascii="Times New Roman" w:hAnsi="Times New Roman"/>
                      <w:color w:val="auto"/>
                      <w:sz w:val="21"/>
                      <w:szCs w:val="21"/>
                      <w:highlight w:val="none"/>
                    </w:rPr>
                  </w:pPr>
                  <w:r>
                    <w:rPr>
                      <w:rFonts w:hint="default" w:ascii="Times New Roman" w:hAnsi="Times New Roman" w:eastAsia="宋体"/>
                      <w:color w:val="auto"/>
                      <w:sz w:val="21"/>
                      <w:szCs w:val="21"/>
                      <w:highlight w:val="none"/>
                      <w:lang w:val="en-US" w:eastAsia="zh-CN"/>
                    </w:rPr>
                    <w:t>经园区污水管网进入凤台经济开发区污水处理厂</w:t>
                  </w:r>
                </w:p>
              </w:tc>
              <w:tc>
                <w:tcPr>
                  <w:tcW w:w="522" w:type="pct"/>
                  <w:noWrap w:val="0"/>
                  <w:vAlign w:val="center"/>
                </w:tcPr>
                <w:p w14:paraId="4D176DF9">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50</w:t>
                  </w:r>
                </w:p>
              </w:tc>
              <w:tc>
                <w:tcPr>
                  <w:tcW w:w="514" w:type="pct"/>
                  <w:noWrap w:val="0"/>
                  <w:vAlign w:val="center"/>
                </w:tcPr>
                <w:p w14:paraId="591ACF85">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0.22 </w:t>
                  </w:r>
                </w:p>
              </w:tc>
            </w:tr>
            <w:tr w14:paraId="2D7FFE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58623E7C">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p>
              </w:tc>
              <w:tc>
                <w:tcPr>
                  <w:tcW w:w="596" w:type="pct"/>
                  <w:vMerge w:val="continue"/>
                  <w:noWrap w:val="0"/>
                  <w:vAlign w:val="center"/>
                </w:tcPr>
                <w:p w14:paraId="3E627810">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53" w:type="pct"/>
                  <w:noWrap w:val="0"/>
                  <w:vAlign w:val="center"/>
                </w:tcPr>
                <w:p w14:paraId="43F82850">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p>
              </w:tc>
              <w:tc>
                <w:tcPr>
                  <w:tcW w:w="561" w:type="pct"/>
                  <w:noWrap w:val="0"/>
                  <w:vAlign w:val="center"/>
                </w:tcPr>
                <w:p w14:paraId="67130BBE">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30.76 </w:t>
                  </w:r>
                </w:p>
              </w:tc>
              <w:tc>
                <w:tcPr>
                  <w:tcW w:w="575" w:type="pct"/>
                  <w:noWrap w:val="0"/>
                  <w:vAlign w:val="center"/>
                </w:tcPr>
                <w:p w14:paraId="74489190">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0.14 </w:t>
                  </w:r>
                </w:p>
              </w:tc>
              <w:tc>
                <w:tcPr>
                  <w:tcW w:w="1190" w:type="pct"/>
                  <w:vMerge w:val="continue"/>
                  <w:noWrap w:val="0"/>
                  <w:vAlign w:val="center"/>
                </w:tcPr>
                <w:p w14:paraId="06556E5B">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73F78BED">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10</w:t>
                  </w:r>
                </w:p>
              </w:tc>
              <w:tc>
                <w:tcPr>
                  <w:tcW w:w="514" w:type="pct"/>
                  <w:noWrap w:val="0"/>
                  <w:vAlign w:val="center"/>
                </w:tcPr>
                <w:p w14:paraId="11921746">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0.04 </w:t>
                  </w:r>
                </w:p>
              </w:tc>
            </w:tr>
            <w:tr w14:paraId="79A3BD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51D6A409">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p>
              </w:tc>
              <w:tc>
                <w:tcPr>
                  <w:tcW w:w="596" w:type="pct"/>
                  <w:vMerge w:val="continue"/>
                  <w:noWrap w:val="0"/>
                  <w:vAlign w:val="center"/>
                </w:tcPr>
                <w:p w14:paraId="0506CB30">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53" w:type="pct"/>
                  <w:noWrap w:val="0"/>
                  <w:vAlign w:val="center"/>
                </w:tcPr>
                <w:p w14:paraId="1517DAF0">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SS</w:t>
                  </w:r>
                </w:p>
              </w:tc>
              <w:tc>
                <w:tcPr>
                  <w:tcW w:w="561" w:type="pct"/>
                  <w:noWrap w:val="0"/>
                  <w:vAlign w:val="center"/>
                </w:tcPr>
                <w:p w14:paraId="5BDB716F">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35.35 </w:t>
                  </w:r>
                </w:p>
              </w:tc>
              <w:tc>
                <w:tcPr>
                  <w:tcW w:w="575" w:type="pct"/>
                  <w:noWrap w:val="0"/>
                  <w:vAlign w:val="center"/>
                </w:tcPr>
                <w:p w14:paraId="7BD54454">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0.16 </w:t>
                  </w:r>
                </w:p>
              </w:tc>
              <w:tc>
                <w:tcPr>
                  <w:tcW w:w="1190" w:type="pct"/>
                  <w:vMerge w:val="continue"/>
                  <w:noWrap w:val="0"/>
                  <w:vAlign w:val="center"/>
                </w:tcPr>
                <w:p w14:paraId="1017E7CA">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6A710E78">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sz w:val="21"/>
                      <w:szCs w:val="21"/>
                      <w:highlight w:val="none"/>
                      <w:lang w:val="en-US" w:eastAsia="zh-CN"/>
                    </w:rPr>
                    <w:t>10</w:t>
                  </w:r>
                </w:p>
              </w:tc>
              <w:tc>
                <w:tcPr>
                  <w:tcW w:w="514" w:type="pct"/>
                  <w:noWrap w:val="0"/>
                  <w:vAlign w:val="center"/>
                </w:tcPr>
                <w:p w14:paraId="2BC8F994">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0.04 </w:t>
                  </w:r>
                </w:p>
              </w:tc>
            </w:tr>
            <w:tr w14:paraId="224007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012C8F12">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p>
              </w:tc>
              <w:tc>
                <w:tcPr>
                  <w:tcW w:w="596" w:type="pct"/>
                  <w:vMerge w:val="continue"/>
                  <w:noWrap w:val="0"/>
                  <w:vAlign w:val="center"/>
                </w:tcPr>
                <w:p w14:paraId="30164CE6">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p>
              </w:tc>
              <w:tc>
                <w:tcPr>
                  <w:tcW w:w="553" w:type="pct"/>
                  <w:noWrap w:val="0"/>
                  <w:vAlign w:val="center"/>
                </w:tcPr>
                <w:p w14:paraId="201ED42E">
                  <w:pPr>
                    <w:widowControl/>
                    <w:adjustRightInd w:val="0"/>
                    <w:snapToGrid w:val="0"/>
                    <w:spacing w:line="276" w:lineRule="auto"/>
                    <w:jc w:val="center"/>
                    <w:textAlignment w:val="center"/>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p>
              </w:tc>
              <w:tc>
                <w:tcPr>
                  <w:tcW w:w="561" w:type="pct"/>
                  <w:noWrap w:val="0"/>
                  <w:vAlign w:val="center"/>
                </w:tcPr>
                <w:p w14:paraId="78BFB881">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4.24 </w:t>
                  </w:r>
                </w:p>
              </w:tc>
              <w:tc>
                <w:tcPr>
                  <w:tcW w:w="575" w:type="pct"/>
                  <w:noWrap w:val="0"/>
                  <w:vAlign w:val="center"/>
                </w:tcPr>
                <w:p w14:paraId="02EFCD49">
                  <w:pPr>
                    <w:widowControl/>
                    <w:adjustRightInd w:val="0"/>
                    <w:snapToGrid w:val="0"/>
                    <w:spacing w:line="276"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0.02 </w:t>
                  </w:r>
                </w:p>
              </w:tc>
              <w:tc>
                <w:tcPr>
                  <w:tcW w:w="1190" w:type="pct"/>
                  <w:vMerge w:val="continue"/>
                  <w:noWrap w:val="0"/>
                  <w:vAlign w:val="center"/>
                </w:tcPr>
                <w:p w14:paraId="55CF2DDD">
                  <w:pPr>
                    <w:widowControl/>
                    <w:adjustRightInd w:val="0"/>
                    <w:snapToGrid w:val="0"/>
                    <w:spacing w:line="276" w:lineRule="auto"/>
                    <w:ind w:firstLine="360"/>
                    <w:jc w:val="center"/>
                    <w:rPr>
                      <w:rFonts w:ascii="Times New Roman" w:hAnsi="Times New Roman"/>
                      <w:color w:val="auto"/>
                      <w:sz w:val="21"/>
                      <w:szCs w:val="21"/>
                      <w:highlight w:val="none"/>
                    </w:rPr>
                  </w:pPr>
                </w:p>
              </w:tc>
              <w:tc>
                <w:tcPr>
                  <w:tcW w:w="522" w:type="pct"/>
                  <w:noWrap w:val="0"/>
                  <w:vAlign w:val="center"/>
                </w:tcPr>
                <w:p w14:paraId="6FC148C7">
                  <w:pPr>
                    <w:widowControl/>
                    <w:adjustRightInd w:val="0"/>
                    <w:snapToGrid w:val="0"/>
                    <w:spacing w:line="276" w:lineRule="auto"/>
                    <w:jc w:val="center"/>
                    <w:textAlignment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5</w:t>
                  </w:r>
                </w:p>
              </w:tc>
              <w:tc>
                <w:tcPr>
                  <w:tcW w:w="514" w:type="pct"/>
                  <w:noWrap w:val="0"/>
                  <w:vAlign w:val="center"/>
                </w:tcPr>
                <w:p w14:paraId="308656C9">
                  <w:pPr>
                    <w:widowControl/>
                    <w:adjustRightInd w:val="0"/>
                    <w:snapToGrid w:val="0"/>
                    <w:spacing w:line="276" w:lineRule="auto"/>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0.02 </w:t>
                  </w:r>
                </w:p>
              </w:tc>
            </w:tr>
          </w:tbl>
          <w:p w14:paraId="61DABE14">
            <w:pPr>
              <w:spacing w:line="360" w:lineRule="auto"/>
              <w:ind w:firstLine="482" w:firstLineChars="200"/>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2、</w:t>
            </w:r>
            <w:r>
              <w:rPr>
                <w:rFonts w:ascii="Times New Roman" w:hAnsi="Times New Roman"/>
                <w:b/>
                <w:bCs/>
                <w:color w:val="auto"/>
                <w:sz w:val="24"/>
                <w:szCs w:val="24"/>
                <w:highlight w:val="none"/>
              </w:rPr>
              <w:t>运营期水环境保护措施</w:t>
            </w:r>
          </w:p>
          <w:p w14:paraId="0BB956AC">
            <w:pPr>
              <w:spacing w:line="360" w:lineRule="auto"/>
              <w:ind w:firstLine="482" w:firstLineChars="200"/>
              <w:rPr>
                <w:rFonts w:hint="eastAsia" w:ascii="Times New Roman" w:hAnsi="Times New Roman"/>
                <w:b/>
                <w:color w:val="auto"/>
                <w:sz w:val="24"/>
                <w:highlight w:val="none"/>
              </w:rPr>
            </w:pPr>
            <w:r>
              <w:rPr>
                <w:rFonts w:hint="eastAsia" w:ascii="Times New Roman" w:hAnsi="Times New Roman"/>
                <w:b/>
                <w:color w:val="auto"/>
                <w:sz w:val="24"/>
                <w:highlight w:val="none"/>
              </w:rPr>
              <w:t>（1）项目水污染控制和水环境影响减缓措施有效性评价</w:t>
            </w:r>
          </w:p>
          <w:p w14:paraId="07F44802">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①</w:t>
            </w:r>
            <w:r>
              <w:rPr>
                <w:rFonts w:hint="eastAsia" w:ascii="宋体" w:hAnsi="宋体" w:eastAsia="宋体" w:cs="宋体"/>
                <w:color w:val="auto"/>
                <w:sz w:val="24"/>
                <w:highlight w:val="none"/>
                <w:lang w:val="en-US" w:eastAsia="zh-CN"/>
              </w:rPr>
              <w:t>生活污水预处理</w:t>
            </w:r>
          </w:p>
          <w:p w14:paraId="4E50C8A4">
            <w:pPr>
              <w:spacing w:line="360" w:lineRule="auto"/>
              <w:ind w:firstLine="480" w:firstLineChars="200"/>
              <w:rPr>
                <w:rFonts w:hint="eastAsia" w:ascii="Times New Roman" w:hAnsi="Times New Roman"/>
                <w:bCs/>
                <w:color w:val="auto"/>
                <w:sz w:val="24"/>
                <w:highlight w:val="none"/>
                <w:lang w:val="en-GB"/>
              </w:rPr>
            </w:pPr>
            <w:r>
              <w:rPr>
                <w:rFonts w:hint="eastAsia" w:ascii="Times New Roman" w:hAnsi="Times New Roman"/>
                <w:color w:val="auto"/>
                <w:sz w:val="24"/>
                <w:highlight w:val="none"/>
              </w:rPr>
              <w:t>本项目</w:t>
            </w:r>
            <w:r>
              <w:rPr>
                <w:rFonts w:ascii="Times New Roman" w:hAnsi="宋体"/>
                <w:color w:val="auto"/>
                <w:sz w:val="24"/>
                <w:highlight w:val="none"/>
              </w:rPr>
              <w:t>用水主要为</w:t>
            </w:r>
            <w:r>
              <w:rPr>
                <w:rFonts w:hint="eastAsia" w:ascii="Times New Roman" w:hAnsi="宋体"/>
                <w:color w:val="auto"/>
                <w:sz w:val="24"/>
                <w:highlight w:val="none"/>
                <w:lang w:val="en-US" w:eastAsia="zh-CN"/>
              </w:rPr>
              <w:t>工艺用水</w:t>
            </w:r>
            <w:r>
              <w:rPr>
                <w:rFonts w:hint="eastAsia" w:ascii="Times New Roman" w:hAnsi="宋体"/>
                <w:color w:val="auto"/>
                <w:sz w:val="24"/>
                <w:highlight w:val="none"/>
              </w:rPr>
              <w:t>和生活用水，用水量约为</w:t>
            </w:r>
            <w:r>
              <w:rPr>
                <w:rFonts w:hint="eastAsia" w:ascii="Times New Roman" w:hAnsi="Times New Roman"/>
                <w:bCs/>
                <w:color w:val="auto"/>
                <w:sz w:val="24"/>
                <w:szCs w:val="24"/>
                <w:highlight w:val="none"/>
                <w:lang w:val="en-US" w:eastAsia="zh-CN"/>
              </w:rPr>
              <w:t>13227</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/a。项目采用雨污分流的形式，项目</w:t>
            </w:r>
            <w:r>
              <w:rPr>
                <w:rFonts w:hint="eastAsia" w:ascii="Times New Roman" w:hAnsi="Times New Roman"/>
                <w:color w:val="auto"/>
                <w:sz w:val="24"/>
                <w:highlight w:val="none"/>
                <w:lang w:val="en-US" w:eastAsia="zh-CN"/>
              </w:rPr>
              <w:t>工艺废水经废水处理设施处理后全部回用于生产定期补充损耗，外排废水</w:t>
            </w:r>
            <w:r>
              <w:rPr>
                <w:rFonts w:hint="eastAsia" w:ascii="Times New Roman" w:hAnsi="Times New Roman"/>
                <w:color w:val="auto"/>
                <w:sz w:val="24"/>
                <w:highlight w:val="none"/>
              </w:rPr>
              <w:t>为</w:t>
            </w:r>
            <w:r>
              <w:rPr>
                <w:rFonts w:hint="eastAsia" w:ascii="Times New Roman" w:hAnsi="Times New Roman"/>
                <w:bCs/>
                <w:color w:val="auto"/>
                <w:sz w:val="24"/>
                <w:szCs w:val="24"/>
                <w:highlight w:val="none"/>
              </w:rPr>
              <w:t>生活污水</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纯水制备浓水和超浓水</w:t>
            </w:r>
            <w:r>
              <w:rPr>
                <w:rFonts w:hint="eastAsia" w:ascii="Times New Roman" w:hAnsi="Times New Roman"/>
                <w:bCs/>
                <w:color w:val="auto"/>
                <w:sz w:val="24"/>
                <w:szCs w:val="24"/>
                <w:highlight w:val="none"/>
              </w:rPr>
              <w:t>，废水产生量为</w:t>
            </w:r>
            <w:r>
              <w:rPr>
                <w:rFonts w:hint="eastAsia" w:ascii="Times New Roman" w:hAnsi="Times New Roman"/>
                <w:color w:val="auto"/>
                <w:sz w:val="24"/>
                <w:szCs w:val="28"/>
                <w:highlight w:val="none"/>
                <w:lang w:val="en-US" w:eastAsia="zh-CN"/>
              </w:rPr>
              <w:t>14.96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4487</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w:t>
            </w:r>
            <w:r>
              <w:rPr>
                <w:rFonts w:hint="eastAsia" w:ascii="Times New Roman" w:hAnsi="Times New Roman"/>
                <w:color w:val="auto"/>
                <w:sz w:val="24"/>
                <w:highlight w:val="none"/>
              </w:rPr>
              <w:t>）</w:t>
            </w:r>
            <w:r>
              <w:rPr>
                <w:rFonts w:hint="eastAsia" w:ascii="Times New Roman" w:hAnsi="Times New Roman"/>
                <w:bCs/>
                <w:color w:val="auto"/>
                <w:sz w:val="24"/>
                <w:szCs w:val="24"/>
                <w:highlight w:val="none"/>
              </w:rPr>
              <w:t>，生活污水经园区化粪池处理后</w:t>
            </w:r>
            <w:r>
              <w:rPr>
                <w:rFonts w:hint="eastAsia" w:ascii="Times New Roman" w:hAnsi="Times New Roman"/>
                <w:bCs/>
                <w:color w:val="auto"/>
                <w:sz w:val="24"/>
                <w:szCs w:val="24"/>
                <w:highlight w:val="none"/>
                <w:lang w:val="en-US" w:eastAsia="zh-CN"/>
              </w:rPr>
              <w:t>可达到</w:t>
            </w:r>
            <w:r>
              <w:rPr>
                <w:rFonts w:hint="eastAsia" w:ascii="Times New Roman" w:hAnsi="Times New Roman" w:cs="Times New Roman"/>
                <w:color w:val="auto"/>
                <w:sz w:val="24"/>
                <w:highlight w:val="none"/>
                <w:lang w:eastAsia="zh-CN"/>
              </w:rPr>
              <w:t>凤台经济开发区污水处理厂</w:t>
            </w:r>
            <w:r>
              <w:rPr>
                <w:rFonts w:hint="eastAsia" w:ascii="Times New Roman" w:hAnsi="Times New Roman" w:cs="Times New Roman"/>
                <w:color w:val="auto"/>
                <w:sz w:val="24"/>
                <w:highlight w:val="none"/>
                <w:lang w:val="en-US" w:eastAsia="zh-CN"/>
              </w:rPr>
              <w:t>接管标准，与</w:t>
            </w:r>
            <w:r>
              <w:rPr>
                <w:rFonts w:hint="eastAsia" w:ascii="Times New Roman" w:hAnsi="Times New Roman"/>
                <w:bCs/>
                <w:color w:val="auto"/>
                <w:sz w:val="24"/>
                <w:szCs w:val="24"/>
                <w:highlight w:val="none"/>
                <w:lang w:val="en-US" w:eastAsia="zh-CN"/>
              </w:rPr>
              <w:t>纯水制备浓水和超浓水一并由市政管网</w:t>
            </w:r>
            <w:r>
              <w:rPr>
                <w:rFonts w:hint="default" w:ascii="Times New Roman" w:hAnsi="Times New Roman" w:cs="Times New Roman"/>
                <w:color w:val="auto"/>
                <w:sz w:val="24"/>
                <w:highlight w:val="none"/>
              </w:rPr>
              <w:t>进入</w:t>
            </w:r>
            <w:r>
              <w:rPr>
                <w:rFonts w:hint="eastAsia" w:ascii="Times New Roman" w:hAnsi="Times New Roman" w:cs="Times New Roman"/>
                <w:color w:val="auto"/>
                <w:sz w:val="24"/>
                <w:highlight w:val="none"/>
                <w:lang w:eastAsia="zh-CN"/>
              </w:rPr>
              <w:t>凤台经济开发区污水处理厂</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处理后的</w:t>
            </w:r>
            <w:r>
              <w:rPr>
                <w:rFonts w:hint="default" w:ascii="Times New Roman" w:hAnsi="Times New Roman" w:cs="Times New Roman"/>
                <w:color w:val="auto"/>
                <w:sz w:val="24"/>
                <w:highlight w:val="none"/>
              </w:rPr>
              <w:t>尾水排入淮河</w:t>
            </w:r>
            <w:r>
              <w:rPr>
                <w:rFonts w:hint="eastAsia" w:ascii="Times New Roman" w:hAnsi="Times New Roman"/>
                <w:bCs/>
                <w:color w:val="auto"/>
                <w:sz w:val="24"/>
                <w:highlight w:val="none"/>
                <w:lang w:val="en-GB"/>
              </w:rPr>
              <w:t>。</w:t>
            </w:r>
          </w:p>
          <w:p w14:paraId="3DD20AB0">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GB"/>
              </w:rPr>
              <w:t>②</w:t>
            </w:r>
            <w:r>
              <w:rPr>
                <w:rFonts w:hint="default" w:ascii="Times New Roman" w:hAnsi="Times New Roman" w:eastAsia="宋体" w:cs="Times New Roman"/>
                <w:bCs/>
                <w:color w:val="auto"/>
                <w:sz w:val="24"/>
                <w:highlight w:val="none"/>
                <w:lang w:val="en-US" w:eastAsia="zh-CN"/>
              </w:rPr>
              <w:t>生产废水处理回用</w:t>
            </w:r>
          </w:p>
          <w:p w14:paraId="78086EB7">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产废水经废水处理设施处理后循环使用。本项目设置2套废水处理设备，一套“物化混凝沉淀”废水处理设施用于处理磨边废水（设计处理能力：60t/h），一套“反渗透+RO”废水处理设施用于处理清洗废水（设计处理能力8t/h）。具体处理工艺流程如下：</w:t>
            </w:r>
          </w:p>
          <w:p w14:paraId="223D071B">
            <w:pPr>
              <w:spacing w:line="360" w:lineRule="auto"/>
              <w:jc w:val="center"/>
              <w:rPr>
                <w:color w:val="auto"/>
                <w:highlight w:val="none"/>
              </w:rPr>
            </w:pPr>
            <w:r>
              <w:rPr>
                <w:color w:val="auto"/>
                <w:highlight w:val="none"/>
              </w:rPr>
              <w:drawing>
                <wp:inline distT="0" distB="0" distL="114300" distR="114300">
                  <wp:extent cx="3784600" cy="3289935"/>
                  <wp:effectExtent l="0" t="0" r="6350" b="5715"/>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pic:cNvPicPr>
                            <a:picLocks noChangeAspect="1"/>
                          </pic:cNvPicPr>
                        </pic:nvPicPr>
                        <pic:blipFill>
                          <a:blip r:embed="rId20"/>
                          <a:stretch>
                            <a:fillRect/>
                          </a:stretch>
                        </pic:blipFill>
                        <pic:spPr>
                          <a:xfrm>
                            <a:off x="0" y="0"/>
                            <a:ext cx="3784600" cy="3289935"/>
                          </a:xfrm>
                          <a:prstGeom prst="rect">
                            <a:avLst/>
                          </a:prstGeom>
                          <a:noFill/>
                          <a:ln>
                            <a:noFill/>
                          </a:ln>
                        </pic:spPr>
                      </pic:pic>
                    </a:graphicData>
                  </a:graphic>
                </wp:inline>
              </w:drawing>
            </w:r>
          </w:p>
          <w:p w14:paraId="71DC00C8">
            <w:pPr>
              <w:spacing w:line="360" w:lineRule="auto"/>
              <w:jc w:val="center"/>
              <w:rPr>
                <w:rFonts w:hint="default" w:ascii="Arial" w:hAnsi="Arial" w:eastAsia="黑体" w:cs="Arial"/>
                <w:color w:val="auto"/>
                <w:highlight w:val="none"/>
                <w:lang w:val="en-US" w:eastAsia="zh-CN"/>
              </w:rPr>
            </w:pPr>
            <w:r>
              <w:rPr>
                <w:rFonts w:hint="default" w:ascii="Arial" w:hAnsi="Arial" w:eastAsia="黑体" w:cs="Arial"/>
                <w:color w:val="auto"/>
                <w:highlight w:val="none"/>
                <w:lang w:val="en-US" w:eastAsia="zh-CN"/>
              </w:rPr>
              <w:t>图4-1 磨边废水处理工艺流程</w:t>
            </w:r>
          </w:p>
          <w:p w14:paraId="506EABC4">
            <w:pPr>
              <w:spacing w:line="360" w:lineRule="auto"/>
              <w:jc w:val="center"/>
              <w:rPr>
                <w:color w:val="auto"/>
                <w:highlight w:val="none"/>
              </w:rPr>
            </w:pPr>
            <w:r>
              <w:rPr>
                <w:color w:val="auto"/>
                <w:highlight w:val="none"/>
              </w:rPr>
              <w:drawing>
                <wp:inline distT="0" distB="0" distL="114300" distR="114300">
                  <wp:extent cx="4925695" cy="2967355"/>
                  <wp:effectExtent l="0" t="0" r="8255" b="444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1"/>
                          <a:stretch>
                            <a:fillRect/>
                          </a:stretch>
                        </pic:blipFill>
                        <pic:spPr>
                          <a:xfrm>
                            <a:off x="0" y="0"/>
                            <a:ext cx="4925695" cy="2967355"/>
                          </a:xfrm>
                          <a:prstGeom prst="rect">
                            <a:avLst/>
                          </a:prstGeom>
                          <a:noFill/>
                          <a:ln>
                            <a:noFill/>
                          </a:ln>
                        </pic:spPr>
                      </pic:pic>
                    </a:graphicData>
                  </a:graphic>
                </wp:inline>
              </w:drawing>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202565</wp:posOffset>
                      </wp:positionH>
                      <wp:positionV relativeFrom="paragraph">
                        <wp:posOffset>2578100</wp:posOffset>
                      </wp:positionV>
                      <wp:extent cx="328930" cy="258445"/>
                      <wp:effectExtent l="0" t="0" r="13970" b="8255"/>
                      <wp:wrapNone/>
                      <wp:docPr id="8" name="文本框 26"/>
                      <wp:cNvGraphicFramePr/>
                      <a:graphic xmlns:a="http://schemas.openxmlformats.org/drawingml/2006/main">
                        <a:graphicData uri="http://schemas.microsoft.com/office/word/2010/wordprocessingShape">
                          <wps:wsp>
                            <wps:cNvSpPr txBox="1"/>
                            <wps:spPr>
                              <a:xfrm>
                                <a:off x="0" y="0"/>
                                <a:ext cx="328930" cy="258445"/>
                              </a:xfrm>
                              <a:prstGeom prst="rect">
                                <a:avLst/>
                              </a:prstGeom>
                              <a:solidFill>
                                <a:srgbClr val="FFFFFF"/>
                              </a:solidFill>
                              <a:ln w="6350">
                                <a:noFill/>
                              </a:ln>
                            </wps:spPr>
                            <wps:txbx>
                              <w:txbxContent>
                                <w:p w14:paraId="34ED5116"/>
                              </w:txbxContent>
                            </wps:txbx>
                            <wps:bodyPr vert="horz" wrap="square" anchor="t" anchorCtr="0" upright="1"/>
                          </wps:wsp>
                        </a:graphicData>
                      </a:graphic>
                    </wp:anchor>
                  </w:drawing>
                </mc:Choice>
                <mc:Fallback>
                  <w:pict>
                    <v:shape id="文本框 26" o:spid="_x0000_s1026" o:spt="202" type="#_x0000_t202" style="position:absolute;left:0pt;margin-left:15.95pt;margin-top:203pt;height:20.35pt;width:25.9pt;z-index:251664384;mso-width-relative:page;mso-height-relative:page;" fillcolor="#FFFFFF" filled="t" stroked="f" coordsize="21600,21600" o:gfxdata="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fnzR1AAAAAkB&#10;AAAPAAAAAAAAAAEAIAAAACIAAABkcnMvZG93bnJldi54bWxQSwECFAAUAAAACACHTuJAAufEb+YB&#10;AACzAwAADgAAAAAAAAABACAAAAAjAQAAZHJzL2Uyb0RvYy54bWxQSwUGAAAAAAYABgBZAQAAewUA&#10;AAAA&#10;">
                      <v:fill on="t" focussize="0,0"/>
                      <v:stroke on="f" weight="0.5pt"/>
                      <v:imagedata o:title=""/>
                      <o:lock v:ext="edit" aspectratio="f"/>
                      <v:textbox>
                        <w:txbxContent>
                          <w:p w14:paraId="34ED5116"/>
                        </w:txbxContent>
                      </v:textbox>
                    </v:shape>
                  </w:pict>
                </mc:Fallback>
              </mc:AlternateContent>
            </w:r>
          </w:p>
          <w:p w14:paraId="1C2A1492">
            <w:pPr>
              <w:spacing w:line="360" w:lineRule="auto"/>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图4-2 清洗废水处理工艺流程</w:t>
            </w:r>
          </w:p>
          <w:p w14:paraId="7DB006C4">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a.磨边废水处理原理</w:t>
            </w:r>
          </w:p>
          <w:p w14:paraId="4E4E39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设备主要采用聚合氯化铝混凝沉淀固液分离技术。聚合氯化铝由一系列不同聚合的无机高分子化合物所组成，具有吸附、凝聚、沉淀等性能。其主要成分AIO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AL</w:t>
            </w:r>
            <w:r>
              <w:rPr>
                <w:rFonts w:hint="default" w:ascii="Times New Roman" w:hAnsi="Times New Roman" w:cs="Times New Roman"/>
                <w:color w:val="auto"/>
                <w:sz w:val="24"/>
                <w:szCs w:val="24"/>
                <w:highlight w:val="none"/>
                <w:vertAlign w:val="subscript"/>
                <w:lang w:val="en-US" w:eastAsia="zh-CN"/>
              </w:rPr>
              <w:t>12</w:t>
            </w:r>
            <w:r>
              <w:rPr>
                <w:rFonts w:hint="default" w:ascii="Times New Roman" w:hAnsi="Times New Roman" w:cs="Times New Roman"/>
                <w:color w:val="auto"/>
                <w:sz w:val="24"/>
                <w:szCs w:val="24"/>
                <w:highlight w:val="none"/>
                <w:lang w:val="en-US" w:eastAsia="zh-CN"/>
              </w:rPr>
              <w:t>(OH)</w:t>
            </w:r>
            <w:r>
              <w:rPr>
                <w:rFonts w:hint="default" w:ascii="Times New Roman" w:hAnsi="Times New Roman" w:cs="Times New Roman"/>
                <w:color w:val="auto"/>
                <w:sz w:val="24"/>
                <w:szCs w:val="24"/>
                <w:highlight w:val="none"/>
                <w:vertAlign w:val="subscript"/>
                <w:lang w:val="en-US" w:eastAsia="zh-CN"/>
              </w:rPr>
              <w:t>24</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O)</w:t>
            </w:r>
            <w:r>
              <w:rPr>
                <w:rFonts w:hint="default" w:ascii="Times New Roman" w:hAnsi="Times New Roman" w:cs="Times New Roman"/>
                <w:color w:val="auto"/>
                <w:sz w:val="24"/>
                <w:szCs w:val="24"/>
                <w:highlight w:val="none"/>
                <w:vertAlign w:val="subscript"/>
                <w:lang w:val="en-US" w:eastAsia="zh-CN"/>
              </w:rPr>
              <w:t>12</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，为具Keggin结构的高电荷聚合环链体形，对水中胶体和</w:t>
            </w:r>
            <w:r>
              <w:rPr>
                <w:rFonts w:hint="eastAsia" w:ascii="Times New Roman" w:hAnsi="Times New Roman" w:cs="Times New Roman"/>
                <w:color w:val="auto"/>
                <w:sz w:val="24"/>
                <w:szCs w:val="24"/>
                <w:highlight w:val="none"/>
                <w:lang w:val="en-US" w:eastAsia="zh-CN"/>
              </w:rPr>
              <w:t>颗粒</w:t>
            </w:r>
            <w:r>
              <w:rPr>
                <w:rFonts w:hint="default" w:ascii="Times New Roman" w:hAnsi="Times New Roman" w:cs="Times New Roman"/>
                <w:color w:val="auto"/>
                <w:sz w:val="24"/>
                <w:szCs w:val="24"/>
                <w:highlight w:val="none"/>
                <w:lang w:val="en-US" w:eastAsia="zh-CN"/>
              </w:rPr>
              <w:t>具有高度电中和及桥联作用，并可强力去除微有毒物及重金属离子，性状稳定。在水中与胶体颗粒所带的负电荷瞬间中和作用。使胶体脱稳，胶体颗粒迅速混凝，并进一步架桥生成絮团面快速沉淀。由于比重的不同，分离后的上清液从反应罐上部的溢流堰溢出。重于水的颗粒状絮体沉降至反应罐底部的锥形沉渣区，沉渣区底部设有排泥阀门，当锥形沉渣区积泥较多时，打开“罐体反冲洗阀”用水冲洗罐壁，再经“排污口”排出沉渣。通过重力作用将位于底部的污泥排出，利用压滤机将污泥进行压缩至饼状后集中处理。</w:t>
            </w:r>
          </w:p>
          <w:p w14:paraId="3E164C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b.清洗废水和浓水处理原理</w:t>
            </w:r>
          </w:p>
          <w:p w14:paraId="7D413EB5">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该废水处理系统以“多级膜分离+化学辅助”为核心技术路线，通过“预处理除杂→反渗透脱盐/截污→浓水深度回收→系统维护保效”的协同流程实现废水净化与资源化：原水首先进入超滤设备，利用膜过滤截留悬浮物、胶体及大分子有机物，配套清洗水箱、泵定期维护膜组件；经超滤的水暂存于原水箱后，由增压泵提升压力，依次经过石英砂过滤器（去除细小颗粒）、活性炭过滤器（吸附余氯、异味等），完成二级预处理以降低后续负荷。随后，预处理水进入一级RO反渗透主机，在高压驱动下，水分子透过半透膜产出纯水（送入纯水箱），而溶解性盐类、重金属等污染物被截留形成浓水；浓水进一步送入浓水RO主机进行二次浓缩，再次回收淡水回用至前端流程，</w:t>
            </w:r>
            <w:r>
              <w:rPr>
                <w:rFonts w:ascii="宋体" w:hAnsi="宋体" w:eastAsia="宋体" w:cs="宋体"/>
                <w:color w:val="auto"/>
                <w:sz w:val="24"/>
                <w:szCs w:val="24"/>
                <w:highlight w:val="none"/>
              </w:rPr>
              <w:t>剩余超浓水排放以减少污染。全</w:t>
            </w:r>
            <w:r>
              <w:rPr>
                <w:rFonts w:hint="default" w:ascii="Times New Roman" w:hAnsi="Times New Roman" w:eastAsia="宋体" w:cs="Times New Roman"/>
                <w:color w:val="auto"/>
                <w:sz w:val="24"/>
                <w:szCs w:val="24"/>
                <w:highlight w:val="none"/>
              </w:rPr>
              <w:t>流程中，药洗装置通过酸碱清洗、阻垢剂投加等方式维护膜性能，防止结垢污堵；同时系统通过精准的水量分配（如自来水补给、浓水回流、超浓水排放）实现水平衡，最终达成污染物高效截留、水资源循环利用的目标，兼顾环保效益与资源回收效率。</w:t>
            </w:r>
          </w:p>
          <w:p w14:paraId="6D792791">
            <w:pPr>
              <w:autoSpaceDE w:val="0"/>
              <w:autoSpaceDN w:val="0"/>
              <w:adjustRightInd w:val="0"/>
              <w:spacing w:line="360" w:lineRule="auto"/>
              <w:ind w:firstLine="488" w:firstLineChars="200"/>
              <w:rPr>
                <w:rFonts w:hint="eastAsia" w:ascii="Times New Roman" w:hAnsi="Times New Roman" w:eastAsia="宋体" w:cs="Times New Roman"/>
                <w:color w:val="auto"/>
                <w:spacing w:val="2"/>
                <w:sz w:val="24"/>
                <w:szCs w:val="24"/>
                <w:highlight w:val="none"/>
              </w:rPr>
            </w:pPr>
            <w:r>
              <w:rPr>
                <w:rFonts w:hint="eastAsia" w:ascii="Times New Roman" w:hAnsi="Times New Roman" w:eastAsia="宋体" w:cs="Times New Roman"/>
                <w:color w:val="auto"/>
                <w:spacing w:val="2"/>
                <w:sz w:val="24"/>
                <w:szCs w:val="24"/>
                <w:highlight w:val="none"/>
              </w:rPr>
              <w:t>本项目生产废水经污水处理设施处理后回用，回用水满足《城市污水再生利用</w:t>
            </w:r>
            <w:r>
              <w:rPr>
                <w:rFonts w:hint="eastAsia" w:ascii="Times New Roman" w:hAnsi="Times New Roman" w:eastAsia="宋体" w:cs="Times New Roman"/>
                <w:color w:val="auto"/>
                <w:spacing w:val="2"/>
                <w:sz w:val="24"/>
                <w:szCs w:val="24"/>
                <w:highlight w:val="none"/>
                <w:lang w:val="en-US" w:eastAsia="zh-CN"/>
              </w:rPr>
              <w:t xml:space="preserve"> </w:t>
            </w:r>
            <w:r>
              <w:rPr>
                <w:rFonts w:hint="eastAsia" w:ascii="Times New Roman" w:hAnsi="Times New Roman" w:eastAsia="宋体" w:cs="Times New Roman"/>
                <w:color w:val="auto"/>
                <w:spacing w:val="2"/>
                <w:sz w:val="24"/>
                <w:szCs w:val="24"/>
                <w:highlight w:val="none"/>
              </w:rPr>
              <w:t>工业用水水质》</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GB/T 19923-20</w:t>
            </w:r>
            <w:r>
              <w:rPr>
                <w:rFonts w:hint="eastAsia" w:ascii="Times New Roman" w:hAnsi="Times New Roman" w:eastAsia="宋体" w:cs="Times New Roman"/>
                <w:color w:val="auto"/>
                <w:spacing w:val="2"/>
                <w:sz w:val="24"/>
                <w:szCs w:val="24"/>
                <w:highlight w:val="none"/>
                <w:lang w:val="en-US" w:eastAsia="zh-CN"/>
              </w:rPr>
              <w:t>24</w:t>
            </w:r>
            <w:r>
              <w:rPr>
                <w:rFonts w:hint="eastAsia" w:ascii="Times New Roman" w:hAnsi="Times New Roman" w:eastAsia="宋体" w:cs="Times New Roman"/>
                <w:color w:val="auto"/>
                <w:spacing w:val="2"/>
                <w:sz w:val="24"/>
                <w:szCs w:val="24"/>
                <w:highlight w:val="none"/>
              </w:rPr>
              <w:t>）表1中</w:t>
            </w:r>
            <w:r>
              <w:rPr>
                <w:rFonts w:hint="eastAsia" w:ascii="Times New Roman" w:hAnsi="Times New Roman" w:eastAsia="宋体" w:cs="Times New Roman"/>
                <w:color w:val="auto"/>
                <w:spacing w:val="2"/>
                <w:sz w:val="24"/>
                <w:szCs w:val="24"/>
                <w:highlight w:val="none"/>
                <w:lang w:val="en-US" w:eastAsia="zh-CN"/>
              </w:rPr>
              <w:t>工艺</w:t>
            </w:r>
            <w:r>
              <w:rPr>
                <w:rFonts w:hint="eastAsia" w:ascii="Times New Roman" w:hAnsi="Times New Roman" w:eastAsia="宋体" w:cs="Times New Roman"/>
                <w:color w:val="auto"/>
                <w:spacing w:val="2"/>
                <w:sz w:val="24"/>
                <w:szCs w:val="24"/>
                <w:highlight w:val="none"/>
              </w:rPr>
              <w:t>用水标准。废水处理设施进出水水质情况见</w:t>
            </w:r>
            <w:r>
              <w:rPr>
                <w:rFonts w:hint="eastAsia" w:ascii="Times New Roman" w:hAnsi="Times New Roman" w:eastAsia="宋体" w:cs="Times New Roman"/>
                <w:color w:val="auto"/>
                <w:spacing w:val="2"/>
                <w:sz w:val="24"/>
                <w:szCs w:val="24"/>
                <w:highlight w:val="none"/>
                <w:lang w:val="en-US" w:eastAsia="zh-CN"/>
              </w:rPr>
              <w:t>下表</w:t>
            </w:r>
            <w:r>
              <w:rPr>
                <w:rFonts w:hint="eastAsia" w:ascii="Times New Roman" w:hAnsi="Times New Roman" w:eastAsia="宋体" w:cs="Times New Roman"/>
                <w:color w:val="auto"/>
                <w:spacing w:val="2"/>
                <w:sz w:val="24"/>
                <w:szCs w:val="24"/>
                <w:highlight w:val="none"/>
              </w:rPr>
              <w:t>。</w:t>
            </w:r>
          </w:p>
          <w:p w14:paraId="07D0F85E">
            <w:pPr>
              <w:spacing w:line="360" w:lineRule="auto"/>
              <w:jc w:val="center"/>
              <w:rPr>
                <w:rFonts w:hint="eastAsia" w:ascii="Times New Roman" w:hAnsi="Times New Roman" w:eastAsia="黑体"/>
                <w:color w:val="auto"/>
                <w:sz w:val="24"/>
                <w:szCs w:val="24"/>
                <w:highlight w:val="none"/>
              </w:rPr>
            </w:pPr>
            <w:r>
              <w:rPr>
                <w:rFonts w:ascii="Times New Roman" w:hAnsi="Times New Roman" w:eastAsia="黑体"/>
                <w:color w:val="auto"/>
                <w:sz w:val="24"/>
                <w:szCs w:val="24"/>
                <w:highlight w:val="none"/>
              </w:rPr>
              <w:t>表</w:t>
            </w:r>
            <w:r>
              <w:rPr>
                <w:rFonts w:hint="eastAsia" w:ascii="Times New Roman" w:hAnsi="Times New Roman" w:eastAsia="黑体"/>
                <w:color w:val="auto"/>
                <w:sz w:val="24"/>
                <w:szCs w:val="24"/>
                <w:highlight w:val="none"/>
              </w:rPr>
              <w:t>4-</w:t>
            </w:r>
            <w:r>
              <w:rPr>
                <w:rFonts w:hint="eastAsia" w:ascii="Times New Roman" w:hAnsi="Times New Roman" w:eastAsia="黑体"/>
                <w:color w:val="auto"/>
                <w:sz w:val="24"/>
                <w:szCs w:val="24"/>
                <w:highlight w:val="none"/>
                <w:lang w:val="en-US" w:eastAsia="zh-CN"/>
              </w:rPr>
              <w:t>8 本项目废水处理设施进出水水质一览表</w:t>
            </w:r>
            <w:r>
              <w:rPr>
                <w:rFonts w:hint="eastAsia" w:ascii="Times New Roman" w:hAnsi="Times New Roman" w:eastAsia="黑体"/>
                <w:color w:val="auto"/>
                <w:sz w:val="24"/>
                <w:szCs w:val="24"/>
                <w:highlight w:val="none"/>
              </w:rPr>
              <w:t>（</w:t>
            </w:r>
            <w:r>
              <w:rPr>
                <w:rFonts w:hint="eastAsia" w:ascii="Times New Roman" w:hAnsi="Times New Roman" w:eastAsia="黑体"/>
                <w:color w:val="auto"/>
                <w:sz w:val="24"/>
                <w:szCs w:val="24"/>
                <w:highlight w:val="none"/>
                <w:lang w:val="en-US" w:eastAsia="zh-CN"/>
              </w:rPr>
              <w:t>单位：mg/L</w:t>
            </w:r>
            <w:r>
              <w:rPr>
                <w:rFonts w:hint="eastAsia" w:ascii="Times New Roman" w:hAnsi="Times New Roman" w:eastAsia="黑体"/>
                <w:color w:val="auto"/>
                <w:sz w:val="24"/>
                <w:szCs w:val="24"/>
                <w:highlight w:val="none"/>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980"/>
              <w:gridCol w:w="1960"/>
              <w:gridCol w:w="998"/>
              <w:gridCol w:w="2000"/>
            </w:tblGrid>
            <w:tr w14:paraId="6457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85" w:type="dxa"/>
                  <w:vMerge w:val="restart"/>
                  <w:tcBorders>
                    <w:top w:val="single" w:color="auto" w:sz="8" w:space="0"/>
                    <w:bottom w:val="single" w:color="auto" w:sz="4" w:space="0"/>
                    <w:right w:val="single" w:color="auto" w:sz="4" w:space="0"/>
                  </w:tcBorders>
                  <w:noWrap w:val="0"/>
                  <w:vAlign w:val="center"/>
                </w:tcPr>
                <w:p w14:paraId="1D26EF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污染因子</w:t>
                  </w:r>
                </w:p>
              </w:tc>
              <w:tc>
                <w:tcPr>
                  <w:tcW w:w="2940" w:type="dxa"/>
                  <w:gridSpan w:val="2"/>
                  <w:tcBorders>
                    <w:top w:val="single" w:color="auto" w:sz="8" w:space="0"/>
                    <w:left w:val="single" w:color="auto" w:sz="4" w:space="0"/>
                    <w:bottom w:val="single" w:color="auto" w:sz="4" w:space="0"/>
                    <w:right w:val="single" w:color="auto" w:sz="4" w:space="0"/>
                  </w:tcBorders>
                  <w:noWrap w:val="0"/>
                  <w:vAlign w:val="center"/>
                </w:tcPr>
                <w:p w14:paraId="48750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COD</w:t>
                  </w:r>
                </w:p>
              </w:tc>
              <w:tc>
                <w:tcPr>
                  <w:tcW w:w="2998" w:type="dxa"/>
                  <w:gridSpan w:val="2"/>
                  <w:tcBorders>
                    <w:top w:val="single" w:color="auto" w:sz="8" w:space="0"/>
                    <w:left w:val="single" w:color="auto" w:sz="4" w:space="0"/>
                    <w:bottom w:val="single" w:color="auto" w:sz="4" w:space="0"/>
                    <w:right w:val="nil"/>
                  </w:tcBorders>
                  <w:noWrap w:val="0"/>
                  <w:vAlign w:val="center"/>
                </w:tcPr>
                <w:p w14:paraId="74BAE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w:t>
                  </w:r>
                </w:p>
              </w:tc>
            </w:tr>
            <w:tr w14:paraId="2F3B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85" w:type="dxa"/>
                  <w:vMerge w:val="continue"/>
                  <w:tcBorders>
                    <w:top w:val="single" w:color="auto" w:sz="4" w:space="0"/>
                    <w:left w:val="nil"/>
                    <w:bottom w:val="single" w:color="auto" w:sz="4" w:space="0"/>
                    <w:right w:val="single" w:color="auto" w:sz="4" w:space="0"/>
                  </w:tcBorders>
                  <w:noWrap w:val="0"/>
                  <w:vAlign w:val="center"/>
                </w:tcPr>
                <w:p w14:paraId="1ACAF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1843D2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磨边废水</w:t>
                  </w:r>
                </w:p>
              </w:tc>
              <w:tc>
                <w:tcPr>
                  <w:tcW w:w="1960" w:type="dxa"/>
                  <w:tcBorders>
                    <w:top w:val="single" w:color="auto" w:sz="4" w:space="0"/>
                    <w:left w:val="single" w:color="auto" w:sz="4" w:space="0"/>
                    <w:bottom w:val="single" w:color="auto" w:sz="4" w:space="0"/>
                    <w:right w:val="single" w:color="auto" w:sz="4" w:space="0"/>
                  </w:tcBorders>
                  <w:noWrap w:val="0"/>
                  <w:vAlign w:val="center"/>
                </w:tcPr>
                <w:p w14:paraId="622309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清洗废水</w:t>
                  </w:r>
                </w:p>
              </w:tc>
              <w:tc>
                <w:tcPr>
                  <w:tcW w:w="998" w:type="dxa"/>
                  <w:tcBorders>
                    <w:top w:val="single" w:color="auto" w:sz="4" w:space="0"/>
                    <w:left w:val="single" w:color="auto" w:sz="4" w:space="0"/>
                    <w:bottom w:val="single" w:color="auto" w:sz="4" w:space="0"/>
                    <w:right w:val="single" w:color="auto" w:sz="4" w:space="0"/>
                  </w:tcBorders>
                  <w:noWrap w:val="0"/>
                  <w:vAlign w:val="center"/>
                </w:tcPr>
                <w:p w14:paraId="0EEDC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磨边废水</w:t>
                  </w:r>
                </w:p>
              </w:tc>
              <w:tc>
                <w:tcPr>
                  <w:tcW w:w="2000" w:type="dxa"/>
                  <w:tcBorders>
                    <w:top w:val="single" w:color="auto" w:sz="4" w:space="0"/>
                    <w:left w:val="single" w:color="auto" w:sz="4" w:space="0"/>
                    <w:bottom w:val="single" w:color="auto" w:sz="4" w:space="0"/>
                    <w:right w:val="nil"/>
                  </w:tcBorders>
                  <w:noWrap w:val="0"/>
                  <w:vAlign w:val="center"/>
                </w:tcPr>
                <w:p w14:paraId="1A6B2F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清洗废水</w:t>
                  </w:r>
                </w:p>
              </w:tc>
            </w:tr>
            <w:tr w14:paraId="353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85" w:type="dxa"/>
                  <w:tcBorders>
                    <w:top w:val="single" w:color="auto" w:sz="4" w:space="0"/>
                    <w:left w:val="nil"/>
                    <w:bottom w:val="single" w:color="auto" w:sz="4" w:space="0"/>
                    <w:right w:val="single" w:color="auto" w:sz="4" w:space="0"/>
                  </w:tcBorders>
                  <w:noWrap w:val="0"/>
                  <w:vAlign w:val="center"/>
                </w:tcPr>
                <w:p w14:paraId="62EA3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进水水质</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4568C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300</w:t>
                  </w:r>
                </w:p>
              </w:tc>
              <w:tc>
                <w:tcPr>
                  <w:tcW w:w="1960" w:type="dxa"/>
                  <w:tcBorders>
                    <w:top w:val="single" w:color="auto" w:sz="4" w:space="0"/>
                    <w:left w:val="single" w:color="auto" w:sz="4" w:space="0"/>
                    <w:bottom w:val="single" w:color="auto" w:sz="4" w:space="0"/>
                    <w:right w:val="single" w:color="auto" w:sz="4" w:space="0"/>
                  </w:tcBorders>
                  <w:noWrap w:val="0"/>
                  <w:vAlign w:val="center"/>
                </w:tcPr>
                <w:p w14:paraId="09E32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250</w:t>
                  </w:r>
                </w:p>
              </w:tc>
              <w:tc>
                <w:tcPr>
                  <w:tcW w:w="998" w:type="dxa"/>
                  <w:tcBorders>
                    <w:top w:val="single" w:color="auto" w:sz="4" w:space="0"/>
                    <w:left w:val="single" w:color="auto" w:sz="4" w:space="0"/>
                    <w:bottom w:val="single" w:color="auto" w:sz="4" w:space="0"/>
                    <w:right w:val="single" w:color="auto" w:sz="4" w:space="0"/>
                  </w:tcBorders>
                  <w:noWrap w:val="0"/>
                  <w:vAlign w:val="center"/>
                </w:tcPr>
                <w:p w14:paraId="24BFF5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500</w:t>
                  </w:r>
                </w:p>
              </w:tc>
              <w:tc>
                <w:tcPr>
                  <w:tcW w:w="2000" w:type="dxa"/>
                  <w:tcBorders>
                    <w:top w:val="single" w:color="auto" w:sz="4" w:space="0"/>
                    <w:left w:val="single" w:color="auto" w:sz="4" w:space="0"/>
                    <w:bottom w:val="single" w:color="auto" w:sz="4" w:space="0"/>
                    <w:right w:val="nil"/>
                  </w:tcBorders>
                  <w:noWrap w:val="0"/>
                  <w:vAlign w:val="center"/>
                </w:tcPr>
                <w:p w14:paraId="62F445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400</w:t>
                  </w:r>
                </w:p>
              </w:tc>
            </w:tr>
            <w:tr w14:paraId="17AF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85" w:type="dxa"/>
                  <w:tcBorders>
                    <w:top w:val="single" w:color="auto" w:sz="4" w:space="0"/>
                    <w:left w:val="nil"/>
                    <w:bottom w:val="single" w:color="auto" w:sz="4" w:space="0"/>
                    <w:right w:val="single" w:color="auto" w:sz="4" w:space="0"/>
                  </w:tcBorders>
                  <w:noWrap w:val="0"/>
                  <w:vAlign w:val="center"/>
                </w:tcPr>
                <w:p w14:paraId="7E580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出水水质</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51EC6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1960" w:type="dxa"/>
                  <w:tcBorders>
                    <w:top w:val="single" w:color="auto" w:sz="4" w:space="0"/>
                    <w:left w:val="single" w:color="auto" w:sz="4" w:space="0"/>
                    <w:bottom w:val="single" w:color="auto" w:sz="4" w:space="0"/>
                    <w:right w:val="single" w:color="auto" w:sz="4" w:space="0"/>
                  </w:tcBorders>
                  <w:noWrap w:val="0"/>
                  <w:vAlign w:val="center"/>
                </w:tcPr>
                <w:p w14:paraId="4E8A1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998" w:type="dxa"/>
                  <w:tcBorders>
                    <w:top w:val="single" w:color="auto" w:sz="4" w:space="0"/>
                    <w:left w:val="single" w:color="auto" w:sz="4" w:space="0"/>
                    <w:bottom w:val="single" w:color="auto" w:sz="4" w:space="0"/>
                    <w:right w:val="single" w:color="auto" w:sz="4" w:space="0"/>
                  </w:tcBorders>
                  <w:noWrap w:val="0"/>
                  <w:vAlign w:val="center"/>
                </w:tcPr>
                <w:p w14:paraId="7AB03F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2000" w:type="dxa"/>
                  <w:tcBorders>
                    <w:top w:val="single" w:color="auto" w:sz="4" w:space="0"/>
                    <w:left w:val="single" w:color="auto" w:sz="4" w:space="0"/>
                    <w:bottom w:val="single" w:color="auto" w:sz="4" w:space="0"/>
                    <w:right w:val="nil"/>
                  </w:tcBorders>
                  <w:noWrap w:val="0"/>
                  <w:vAlign w:val="center"/>
                </w:tcPr>
                <w:p w14:paraId="016875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r>
            <w:tr w14:paraId="7EB9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85" w:type="dxa"/>
                  <w:tcBorders>
                    <w:top w:val="single" w:color="auto" w:sz="4" w:space="0"/>
                    <w:left w:val="nil"/>
                    <w:bottom w:val="single" w:color="auto" w:sz="4" w:space="0"/>
                    <w:right w:val="single" w:color="auto" w:sz="4" w:space="0"/>
                  </w:tcBorders>
                  <w:noWrap w:val="0"/>
                  <w:vAlign w:val="center"/>
                </w:tcPr>
                <w:p w14:paraId="7CBC6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去除效率</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60E8E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r>
                    <w:rPr>
                      <w:rFonts w:hint="default" w:ascii="Times New Roman" w:hAnsi="Times New Roman" w:eastAsia="宋体" w:cs="Times New Roman"/>
                      <w:color w:val="auto"/>
                      <w:sz w:val="21"/>
                      <w:szCs w:val="21"/>
                      <w:highlight w:val="none"/>
                      <w:vertAlign w:val="baseline"/>
                      <w:lang w:val="en-US" w:eastAsia="zh-CN"/>
                    </w:rPr>
                    <w:t>%</w:t>
                  </w:r>
                </w:p>
              </w:tc>
              <w:tc>
                <w:tcPr>
                  <w:tcW w:w="1960" w:type="dxa"/>
                  <w:tcBorders>
                    <w:top w:val="single" w:color="auto" w:sz="4" w:space="0"/>
                    <w:left w:val="single" w:color="auto" w:sz="4" w:space="0"/>
                    <w:bottom w:val="single" w:color="auto" w:sz="4" w:space="0"/>
                    <w:right w:val="single" w:color="auto" w:sz="4" w:space="0"/>
                  </w:tcBorders>
                  <w:noWrap w:val="0"/>
                  <w:vAlign w:val="center"/>
                </w:tcPr>
                <w:p w14:paraId="729F5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998" w:type="dxa"/>
                  <w:tcBorders>
                    <w:top w:val="single" w:color="auto" w:sz="4" w:space="0"/>
                    <w:left w:val="single" w:color="auto" w:sz="4" w:space="0"/>
                    <w:bottom w:val="single" w:color="auto" w:sz="4" w:space="0"/>
                    <w:right w:val="single" w:color="auto" w:sz="4" w:space="0"/>
                  </w:tcBorders>
                  <w:noWrap w:val="0"/>
                  <w:vAlign w:val="center"/>
                </w:tcPr>
                <w:p w14:paraId="121B9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99%</w:t>
                  </w:r>
                </w:p>
              </w:tc>
              <w:tc>
                <w:tcPr>
                  <w:tcW w:w="2000" w:type="dxa"/>
                  <w:tcBorders>
                    <w:top w:val="single" w:color="auto" w:sz="4" w:space="0"/>
                    <w:left w:val="single" w:color="auto" w:sz="4" w:space="0"/>
                    <w:bottom w:val="single" w:color="auto" w:sz="4" w:space="0"/>
                    <w:right w:val="nil"/>
                  </w:tcBorders>
                  <w:noWrap w:val="0"/>
                  <w:vAlign w:val="center"/>
                </w:tcPr>
                <w:p w14:paraId="213829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99%</w:t>
                  </w:r>
                </w:p>
              </w:tc>
            </w:tr>
            <w:tr w14:paraId="7DBB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85" w:type="dxa"/>
                  <w:tcBorders>
                    <w:top w:val="single" w:color="auto" w:sz="4" w:space="0"/>
                    <w:left w:val="nil"/>
                    <w:bottom w:val="single" w:color="auto" w:sz="8" w:space="0"/>
                    <w:right w:val="single" w:color="auto" w:sz="4" w:space="0"/>
                  </w:tcBorders>
                  <w:noWrap w:val="0"/>
                  <w:vAlign w:val="center"/>
                </w:tcPr>
                <w:p w14:paraId="0620F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是否达到回用标准</w:t>
                  </w:r>
                </w:p>
              </w:tc>
              <w:tc>
                <w:tcPr>
                  <w:tcW w:w="980" w:type="dxa"/>
                  <w:tcBorders>
                    <w:top w:val="single" w:color="auto" w:sz="4" w:space="0"/>
                    <w:left w:val="single" w:color="auto" w:sz="4" w:space="0"/>
                    <w:bottom w:val="single" w:color="auto" w:sz="8" w:space="0"/>
                    <w:right w:val="single" w:color="auto" w:sz="4" w:space="0"/>
                  </w:tcBorders>
                  <w:noWrap w:val="0"/>
                  <w:vAlign w:val="center"/>
                </w:tcPr>
                <w:p w14:paraId="6DB8B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c>
                <w:tcPr>
                  <w:tcW w:w="1960" w:type="dxa"/>
                  <w:tcBorders>
                    <w:top w:val="single" w:color="auto" w:sz="4" w:space="0"/>
                    <w:left w:val="single" w:color="auto" w:sz="4" w:space="0"/>
                    <w:bottom w:val="single" w:color="auto" w:sz="8" w:space="0"/>
                    <w:right w:val="single" w:color="auto" w:sz="4" w:space="0"/>
                  </w:tcBorders>
                  <w:noWrap w:val="0"/>
                  <w:vAlign w:val="center"/>
                </w:tcPr>
                <w:p w14:paraId="7CA68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c>
                <w:tcPr>
                  <w:tcW w:w="998" w:type="dxa"/>
                  <w:tcBorders>
                    <w:top w:val="single" w:color="auto" w:sz="4" w:space="0"/>
                    <w:left w:val="single" w:color="auto" w:sz="4" w:space="0"/>
                    <w:bottom w:val="single" w:color="auto" w:sz="8" w:space="0"/>
                    <w:right w:val="single" w:color="auto" w:sz="4" w:space="0"/>
                  </w:tcBorders>
                  <w:noWrap w:val="0"/>
                  <w:vAlign w:val="center"/>
                </w:tcPr>
                <w:p w14:paraId="45E816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2000" w:type="dxa"/>
                  <w:tcBorders>
                    <w:top w:val="single" w:color="auto" w:sz="4" w:space="0"/>
                    <w:left w:val="single" w:color="auto" w:sz="4" w:space="0"/>
                    <w:bottom w:val="single" w:color="auto" w:sz="8" w:space="0"/>
                    <w:right w:val="nil"/>
                  </w:tcBorders>
                  <w:noWrap w:val="0"/>
                  <w:vAlign w:val="center"/>
                </w:tcPr>
                <w:p w14:paraId="4CA3DC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14:paraId="1407831E">
            <w:pPr>
              <w:keepNext w:val="0"/>
              <w:keepLines w:val="0"/>
              <w:pageBreakBefore w:val="0"/>
              <w:widowControl w:val="0"/>
              <w:kinsoku/>
              <w:wordWrap/>
              <w:overflowPunct/>
              <w:topLinePunct w:val="0"/>
              <w:autoSpaceDE/>
              <w:autoSpaceDN/>
              <w:bidi w:val="0"/>
              <w:adjustRightInd w:val="0"/>
              <w:snapToGrid w:val="0"/>
              <w:spacing w:line="360" w:lineRule="auto"/>
              <w:ind w:firstLine="488" w:firstLineChars="200"/>
              <w:jc w:val="left"/>
              <w:textAlignment w:val="auto"/>
              <w:rPr>
                <w:rFonts w:hint="eastAsia" w:ascii="Times New Roman" w:hAnsi="Times New Roman" w:eastAsia="黑体"/>
                <w:color w:val="auto"/>
                <w:sz w:val="24"/>
                <w:szCs w:val="24"/>
                <w:highlight w:val="none"/>
              </w:rPr>
            </w:pPr>
            <w:r>
              <w:rPr>
                <w:rFonts w:hint="eastAsia" w:ascii="Times New Roman" w:hAnsi="Times New Roman" w:eastAsia="宋体" w:cs="Times New Roman"/>
                <w:color w:val="auto"/>
                <w:spacing w:val="2"/>
                <w:sz w:val="24"/>
                <w:szCs w:val="24"/>
                <w:highlight w:val="none"/>
              </w:rPr>
              <w:t>由上表可以看出，本项目生产废水</w:t>
            </w:r>
            <w:r>
              <w:rPr>
                <w:rFonts w:hint="eastAsia" w:ascii="Times New Roman" w:hAnsi="Times New Roman" w:eastAsia="宋体" w:cs="Times New Roman"/>
                <w:color w:val="auto"/>
                <w:spacing w:val="2"/>
                <w:sz w:val="24"/>
                <w:szCs w:val="24"/>
                <w:highlight w:val="none"/>
                <w:lang w:val="en-US" w:eastAsia="zh-CN"/>
              </w:rPr>
              <w:t>经处理后COD和SS浓度均有不同程度的降低，</w:t>
            </w:r>
            <w:r>
              <w:rPr>
                <w:rFonts w:hint="eastAsia" w:ascii="Times New Roman" w:hAnsi="Times New Roman" w:cs="Times New Roman"/>
                <w:color w:val="auto"/>
                <w:spacing w:val="2"/>
                <w:sz w:val="24"/>
                <w:szCs w:val="24"/>
                <w:highlight w:val="none"/>
                <w:lang w:val="en-US" w:eastAsia="zh-CN"/>
              </w:rPr>
              <w:t>COD</w:t>
            </w:r>
            <w:r>
              <w:rPr>
                <w:rFonts w:hint="eastAsia" w:ascii="Times New Roman" w:hAnsi="Times New Roman" w:eastAsia="宋体" w:cs="Times New Roman"/>
                <w:color w:val="auto"/>
                <w:spacing w:val="2"/>
                <w:sz w:val="24"/>
                <w:szCs w:val="24"/>
                <w:highlight w:val="none"/>
              </w:rPr>
              <w:t>可达到《城市污水再生利用 工业用水水质》</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GB/T 19923-2024</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表1中</w:t>
            </w:r>
            <w:r>
              <w:rPr>
                <w:rFonts w:hint="eastAsia" w:ascii="Times New Roman" w:hAnsi="Times New Roman" w:eastAsia="宋体" w:cs="Times New Roman"/>
                <w:color w:val="auto"/>
                <w:spacing w:val="2"/>
                <w:sz w:val="24"/>
                <w:szCs w:val="24"/>
                <w:highlight w:val="none"/>
                <w:lang w:val="en-US" w:eastAsia="zh-CN"/>
              </w:rPr>
              <w:t>工艺用水</w:t>
            </w:r>
            <w:r>
              <w:rPr>
                <w:rFonts w:hint="eastAsia" w:ascii="Times New Roman" w:hAnsi="Times New Roman" w:eastAsia="宋体" w:cs="Times New Roman"/>
                <w:color w:val="auto"/>
                <w:spacing w:val="2"/>
                <w:sz w:val="24"/>
                <w:szCs w:val="24"/>
                <w:highlight w:val="none"/>
              </w:rPr>
              <w:t>标准。</w:t>
            </w:r>
          </w:p>
          <w:p w14:paraId="3B161B5E">
            <w:pPr>
              <w:spacing w:line="360" w:lineRule="auto"/>
              <w:ind w:firstLine="482" w:firstLineChars="200"/>
              <w:rPr>
                <w:rFonts w:ascii="Times New Roman" w:hAnsi="Times New Roman"/>
                <w:b/>
                <w:bCs/>
                <w:color w:val="auto"/>
                <w:sz w:val="24"/>
                <w:szCs w:val="24"/>
                <w:highlight w:val="none"/>
              </w:rPr>
            </w:pPr>
            <w:r>
              <w:rPr>
                <w:rFonts w:hint="eastAsia" w:ascii="Times New Roman" w:hAnsi="Times New Roman"/>
                <w:b/>
                <w:bCs/>
                <w:color w:val="auto"/>
                <w:sz w:val="24"/>
                <w:szCs w:val="24"/>
                <w:highlight w:val="none"/>
              </w:rPr>
              <w:t>（2）依托污水处理设施的可行性分析</w:t>
            </w:r>
          </w:p>
          <w:p w14:paraId="004FCEBF">
            <w:pPr>
              <w:spacing w:line="360" w:lineRule="auto"/>
              <w:ind w:firstLine="480" w:firstLineChars="200"/>
              <w:rPr>
                <w:rFonts w:hint="eastAsia" w:ascii="Times New Roman" w:hAnsi="Times New Roman"/>
                <w:color w:val="auto"/>
                <w:kern w:val="0"/>
                <w:sz w:val="24"/>
                <w:highlight w:val="none"/>
              </w:rPr>
            </w:pPr>
            <w:r>
              <w:rPr>
                <w:rFonts w:hint="eastAsia" w:ascii="Times New Roman" w:hAnsi="Times New Roman"/>
                <w:color w:val="auto"/>
                <w:kern w:val="0"/>
                <w:sz w:val="24"/>
                <w:highlight w:val="none"/>
              </w:rPr>
              <w:t>项目位于</w:t>
            </w:r>
            <w:r>
              <w:rPr>
                <w:rFonts w:hint="eastAsia" w:ascii="Times New Roman" w:hAnsi="Times New Roman"/>
                <w:color w:val="auto"/>
                <w:kern w:val="0"/>
                <w:sz w:val="24"/>
                <w:highlight w:val="none"/>
                <w:lang w:eastAsia="zh-CN"/>
              </w:rPr>
              <w:t>安徽省淮南市凤台经济开发区国晟（凤台）异质结双碳产业园</w:t>
            </w:r>
            <w:r>
              <w:rPr>
                <w:rFonts w:hint="eastAsia" w:ascii="Times New Roman" w:hAnsi="Times New Roman"/>
                <w:color w:val="auto"/>
                <w:kern w:val="0"/>
                <w:sz w:val="24"/>
                <w:highlight w:val="none"/>
                <w:lang w:val="en-US" w:eastAsia="zh-CN"/>
              </w:rPr>
              <w:t>11</w:t>
            </w:r>
            <w:r>
              <w:rPr>
                <w:rFonts w:hint="eastAsia" w:ascii="Times New Roman" w:hAnsi="宋体"/>
                <w:color w:val="auto"/>
                <w:sz w:val="24"/>
                <w:highlight w:val="none"/>
              </w:rPr>
              <w:t>#、</w:t>
            </w:r>
            <w:r>
              <w:rPr>
                <w:rFonts w:hint="eastAsia" w:ascii="Times New Roman" w:hAnsi="宋体"/>
                <w:color w:val="auto"/>
                <w:sz w:val="24"/>
                <w:highlight w:val="none"/>
                <w:lang w:val="en-US" w:eastAsia="zh-CN"/>
              </w:rPr>
              <w:t>12</w:t>
            </w:r>
            <w:r>
              <w:rPr>
                <w:rFonts w:hint="eastAsia" w:ascii="Times New Roman" w:hAnsi="宋体"/>
                <w:color w:val="auto"/>
                <w:sz w:val="24"/>
                <w:highlight w:val="none"/>
              </w:rPr>
              <w:t>#标准化厂房内，</w:t>
            </w:r>
            <w:r>
              <w:rPr>
                <w:rFonts w:hint="eastAsia" w:ascii="Times New Roman" w:hAnsi="Times New Roman"/>
                <w:bCs/>
                <w:color w:val="auto"/>
                <w:sz w:val="24"/>
                <w:szCs w:val="24"/>
                <w:highlight w:val="none"/>
              </w:rPr>
              <w:t>生活污水经园区化粪池处理后</w:t>
            </w:r>
            <w:r>
              <w:rPr>
                <w:rFonts w:hint="eastAsia" w:ascii="Times New Roman" w:hAnsi="Times New Roman"/>
                <w:bCs/>
                <w:color w:val="auto"/>
                <w:sz w:val="24"/>
                <w:szCs w:val="24"/>
                <w:highlight w:val="none"/>
                <w:lang w:val="en-US" w:eastAsia="zh-CN"/>
              </w:rPr>
              <w:t>和废水处理设施产生的超浓水以及纯水制备浓水一并由市政管网</w:t>
            </w:r>
            <w:r>
              <w:rPr>
                <w:rFonts w:hint="default" w:ascii="Times New Roman" w:hAnsi="Times New Roman" w:cs="Times New Roman"/>
                <w:color w:val="auto"/>
                <w:sz w:val="24"/>
                <w:highlight w:val="none"/>
              </w:rPr>
              <w:t>进入</w:t>
            </w:r>
            <w:r>
              <w:rPr>
                <w:rFonts w:hint="eastAsia" w:ascii="Times New Roman" w:hAnsi="Times New Roman" w:cs="Times New Roman"/>
                <w:color w:val="auto"/>
                <w:sz w:val="24"/>
                <w:highlight w:val="none"/>
                <w:lang w:eastAsia="zh-CN"/>
              </w:rPr>
              <w:t>凤台经济开发区污水处理厂</w:t>
            </w:r>
            <w:r>
              <w:rPr>
                <w:rFonts w:hint="default" w:ascii="Times New Roman" w:hAnsi="Times New Roman" w:cs="Times New Roman"/>
                <w:color w:val="auto"/>
                <w:sz w:val="24"/>
                <w:highlight w:val="none"/>
                <w:lang w:val="en-US" w:eastAsia="zh-CN"/>
              </w:rPr>
              <w:t>处理</w:t>
            </w:r>
            <w:r>
              <w:rPr>
                <w:rFonts w:hint="eastAsia" w:ascii="Times New Roman" w:hAnsi="Times New Roman"/>
                <w:color w:val="auto"/>
                <w:kern w:val="0"/>
                <w:sz w:val="24"/>
                <w:highlight w:val="none"/>
              </w:rPr>
              <w:t>。</w:t>
            </w:r>
          </w:p>
          <w:p w14:paraId="41B38F82">
            <w:pPr>
              <w:autoSpaceDE w:val="0"/>
              <w:autoSpaceDN w:val="0"/>
              <w:adjustRightInd w:val="0"/>
              <w:spacing w:line="360" w:lineRule="auto"/>
              <w:ind w:firstLine="488" w:firstLineChars="200"/>
              <w:rPr>
                <w:rFonts w:ascii="Times New Roman" w:hAnsi="Times New Roman" w:eastAsia="宋体" w:cs="Times New Roman"/>
                <w:color w:val="auto"/>
                <w:spacing w:val="2"/>
                <w:sz w:val="24"/>
                <w:szCs w:val="24"/>
                <w:highlight w:val="none"/>
              </w:rPr>
            </w:pPr>
            <w:r>
              <w:rPr>
                <w:rFonts w:hint="eastAsia" w:ascii="Times New Roman" w:hAnsi="Times New Roman" w:eastAsia="宋体" w:cs="Times New Roman"/>
                <w:color w:val="auto"/>
                <w:spacing w:val="2"/>
                <w:sz w:val="24"/>
                <w:szCs w:val="24"/>
                <w:highlight w:val="none"/>
              </w:rPr>
              <w:t>安徽凤台经济开发区污水处理厂</w:t>
            </w:r>
            <w:r>
              <w:rPr>
                <w:rFonts w:hint="eastAsia" w:ascii="Times New Roman" w:hAnsi="Times New Roman" w:eastAsia="宋体" w:cs="Times New Roman"/>
                <w:color w:val="auto"/>
                <w:spacing w:val="2"/>
                <w:sz w:val="24"/>
                <w:szCs w:val="24"/>
                <w:highlight w:val="none"/>
                <w:lang w:val="en-US" w:eastAsia="zh-CN"/>
              </w:rPr>
              <w:t>位于</w:t>
            </w:r>
            <w:r>
              <w:rPr>
                <w:rFonts w:hint="eastAsia" w:ascii="Times New Roman" w:hAnsi="Times New Roman" w:eastAsia="宋体" w:cs="Times New Roman"/>
                <w:color w:val="auto"/>
                <w:spacing w:val="2"/>
                <w:sz w:val="24"/>
                <w:szCs w:val="24"/>
                <w:highlight w:val="none"/>
              </w:rPr>
              <w:t>安徽凤台经济开发区凤寿路与滨河大道交叉口东北处。安徽凤台经济开发区污水处理厂在</w:t>
            </w:r>
            <w:r>
              <w:rPr>
                <w:rFonts w:ascii="Times New Roman" w:hAnsi="Times New Roman" w:eastAsia="宋体" w:cs="Times New Roman"/>
                <w:color w:val="auto"/>
                <w:spacing w:val="2"/>
                <w:sz w:val="24"/>
                <w:szCs w:val="24"/>
                <w:highlight w:val="none"/>
              </w:rPr>
              <w:t>2023</w:t>
            </w:r>
            <w:r>
              <w:rPr>
                <w:rFonts w:hint="eastAsia" w:ascii="Times New Roman" w:hAnsi="Times New Roman" w:eastAsia="宋体" w:cs="Times New Roman"/>
                <w:color w:val="auto"/>
                <w:spacing w:val="2"/>
                <w:sz w:val="24"/>
                <w:szCs w:val="24"/>
                <w:highlight w:val="none"/>
              </w:rPr>
              <w:t>年</w:t>
            </w:r>
            <w:r>
              <w:rPr>
                <w:rFonts w:ascii="Times New Roman" w:hAnsi="Times New Roman" w:eastAsia="宋体" w:cs="Times New Roman"/>
                <w:color w:val="auto"/>
                <w:spacing w:val="2"/>
                <w:sz w:val="24"/>
                <w:szCs w:val="24"/>
                <w:highlight w:val="none"/>
              </w:rPr>
              <w:t>7</w:t>
            </w:r>
            <w:r>
              <w:rPr>
                <w:rFonts w:hint="eastAsia" w:ascii="Times New Roman" w:hAnsi="Times New Roman" w:eastAsia="宋体" w:cs="Times New Roman"/>
                <w:color w:val="auto"/>
                <w:spacing w:val="2"/>
                <w:sz w:val="24"/>
                <w:szCs w:val="24"/>
                <w:highlight w:val="none"/>
              </w:rPr>
              <w:t>月建成，污水处理厂规模为日处理工业污水</w:t>
            </w:r>
            <w:r>
              <w:rPr>
                <w:rFonts w:ascii="Times New Roman" w:hAnsi="Times New Roman" w:eastAsia="宋体" w:cs="Times New Roman"/>
                <w:color w:val="auto"/>
                <w:spacing w:val="2"/>
                <w:sz w:val="24"/>
                <w:szCs w:val="24"/>
                <w:highlight w:val="none"/>
              </w:rPr>
              <w:t>2</w:t>
            </w:r>
            <w:r>
              <w:rPr>
                <w:rFonts w:hint="eastAsia" w:ascii="Times New Roman" w:hAnsi="Times New Roman" w:eastAsia="宋体" w:cs="Times New Roman"/>
                <w:color w:val="auto"/>
                <w:spacing w:val="2"/>
                <w:sz w:val="24"/>
                <w:szCs w:val="24"/>
                <w:highlight w:val="none"/>
              </w:rPr>
              <w:t>万吨。</w:t>
            </w:r>
          </w:p>
          <w:p w14:paraId="34EBBA38">
            <w:pPr>
              <w:autoSpaceDE w:val="0"/>
              <w:autoSpaceDN w:val="0"/>
              <w:adjustRightInd w:val="0"/>
              <w:spacing w:line="360" w:lineRule="auto"/>
              <w:ind w:firstLine="488" w:firstLineChars="200"/>
              <w:rPr>
                <w:rFonts w:hint="eastAsia" w:ascii="Times New Roman" w:hAnsi="Times New Roman" w:eastAsia="宋体" w:cs="Times New Roman"/>
                <w:color w:val="auto"/>
                <w:spacing w:val="2"/>
                <w:sz w:val="24"/>
                <w:szCs w:val="24"/>
                <w:highlight w:val="none"/>
              </w:rPr>
            </w:pPr>
            <w:r>
              <w:rPr>
                <w:rFonts w:hint="eastAsia" w:ascii="Times New Roman" w:hAnsi="Times New Roman" w:eastAsia="宋体" w:cs="Times New Roman"/>
                <w:color w:val="auto"/>
                <w:spacing w:val="2"/>
                <w:sz w:val="24"/>
                <w:szCs w:val="24"/>
                <w:highlight w:val="none"/>
              </w:rPr>
              <w:t>污水处理厂污水一级处理采用“粗格栅及进水泵房</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细格栅</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旋流沉砂池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调节池及事故池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反应沉淀池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水解酸化池”工艺；污水二级生物处理采用“</w:t>
            </w:r>
            <w:r>
              <w:rPr>
                <w:rFonts w:ascii="Times New Roman" w:hAnsi="Times New Roman" w:eastAsia="宋体" w:cs="Times New Roman"/>
                <w:color w:val="auto"/>
                <w:spacing w:val="2"/>
                <w:sz w:val="24"/>
                <w:szCs w:val="24"/>
                <w:highlight w:val="none"/>
              </w:rPr>
              <w:t>Bardenpho</w:t>
            </w:r>
            <w:r>
              <w:rPr>
                <w:rFonts w:hint="eastAsia" w:ascii="Times New Roman" w:hAnsi="Times New Roman" w:eastAsia="宋体" w:cs="Times New Roman"/>
                <w:color w:val="auto"/>
                <w:spacing w:val="2"/>
                <w:sz w:val="24"/>
                <w:szCs w:val="24"/>
                <w:highlight w:val="none"/>
              </w:rPr>
              <w:t>生物池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二沉池”工艺；污水深度处理采用“活性炭吸附池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高效沉淀池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反硝化深床滤池</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臭氧催化氧化池”工艺；后接“接触消毒”工艺；污泥处理采用“污泥浓缩</w:t>
            </w:r>
            <w:r>
              <w:rPr>
                <w:rFonts w:ascii="Times New Roman" w:hAnsi="Times New Roman" w:eastAsia="宋体" w:cs="Times New Roman"/>
                <w:color w:val="auto"/>
                <w:spacing w:val="2"/>
                <w:sz w:val="24"/>
                <w:szCs w:val="24"/>
                <w:highlight w:val="none"/>
              </w:rPr>
              <w:t>+</w:t>
            </w:r>
            <w:r>
              <w:rPr>
                <w:rFonts w:hint="eastAsia" w:ascii="Times New Roman" w:hAnsi="Times New Roman" w:eastAsia="宋体" w:cs="Times New Roman"/>
                <w:color w:val="auto"/>
                <w:spacing w:val="2"/>
                <w:sz w:val="24"/>
                <w:szCs w:val="24"/>
                <w:highlight w:val="none"/>
              </w:rPr>
              <w:t>高压板框”工艺；消毒工艺采用</w:t>
            </w:r>
            <w:r>
              <w:rPr>
                <w:rFonts w:hint="eastAsia" w:ascii="Times New Roman" w:hAnsi="Times New Roman" w:eastAsia="宋体" w:cs="Times New Roman"/>
                <w:color w:val="auto"/>
                <w:spacing w:val="2"/>
                <w:sz w:val="24"/>
                <w:szCs w:val="24"/>
                <w:highlight w:val="none"/>
                <w:lang w:eastAsia="zh-CN"/>
              </w:rPr>
              <w:t>次氯酸钠</w:t>
            </w:r>
            <w:r>
              <w:rPr>
                <w:rFonts w:hint="eastAsia" w:ascii="Times New Roman" w:hAnsi="Times New Roman" w:eastAsia="宋体" w:cs="Times New Roman"/>
                <w:color w:val="auto"/>
                <w:spacing w:val="2"/>
                <w:sz w:val="24"/>
                <w:szCs w:val="24"/>
                <w:highlight w:val="none"/>
              </w:rPr>
              <w:t>消毒；</w:t>
            </w:r>
            <w:r>
              <w:rPr>
                <w:rFonts w:hint="eastAsia" w:ascii="Times New Roman" w:hAnsi="Times New Roman" w:cs="Times New Roman"/>
                <w:color w:val="auto"/>
                <w:spacing w:val="2"/>
                <w:sz w:val="24"/>
                <w:szCs w:val="24"/>
                <w:highlight w:val="none"/>
                <w:lang w:eastAsia="zh-CN"/>
              </w:rPr>
              <w:t>污水处理厂</w:t>
            </w:r>
            <w:r>
              <w:rPr>
                <w:rFonts w:hint="eastAsia" w:ascii="Times New Roman" w:hAnsi="Times New Roman" w:eastAsia="宋体" w:cs="Times New Roman"/>
                <w:color w:val="auto"/>
                <w:spacing w:val="2"/>
                <w:sz w:val="24"/>
                <w:szCs w:val="24"/>
                <w:highlight w:val="none"/>
              </w:rPr>
              <w:t>除臭采用生物除臭。</w:t>
            </w:r>
          </w:p>
          <w:p w14:paraId="12CD7936">
            <w:pPr>
              <w:spacing w:line="360" w:lineRule="auto"/>
              <w:ind w:firstLine="480" w:firstLineChars="200"/>
              <w:rPr>
                <w:rFonts w:ascii="Times New Roman" w:hAnsi="Times New Roman" w:eastAsia="宋体" w:cs="Times New Roman"/>
                <w:color w:val="auto"/>
                <w:sz w:val="24"/>
                <w:szCs w:val="24"/>
                <w:highlight w:val="none"/>
                <w:shd w:val="clear" w:color="auto" w:fill="FFFFFF"/>
              </w:rPr>
            </w:pPr>
            <w:r>
              <w:rPr>
                <w:rFonts w:hint="eastAsia" w:ascii="Times New Roman" w:hAnsi="Times New Roman" w:eastAsia="宋体" w:cs="Times New Roman"/>
                <w:color w:val="auto"/>
                <w:sz w:val="24"/>
                <w:szCs w:val="24"/>
                <w:highlight w:val="none"/>
                <w:shd w:val="clear" w:color="auto" w:fill="FFFFFF"/>
              </w:rPr>
              <w:t>①收水范围可行性分析</w:t>
            </w:r>
          </w:p>
          <w:p w14:paraId="5C51C20D">
            <w:pPr>
              <w:spacing w:line="360" w:lineRule="auto"/>
              <w:ind w:firstLine="480" w:firstLineChars="200"/>
              <w:rPr>
                <w:rFonts w:ascii="Times New Roman" w:hAnsi="Times New Roman" w:eastAsia="宋体" w:cs="Times New Roman"/>
                <w:color w:val="auto"/>
                <w:sz w:val="24"/>
                <w:szCs w:val="24"/>
                <w:highlight w:val="none"/>
                <w:shd w:val="clear" w:color="auto" w:fill="FFFFFF"/>
              </w:rPr>
            </w:pPr>
            <w:r>
              <w:rPr>
                <w:rFonts w:hint="eastAsia" w:ascii="Times New Roman" w:hAnsi="Times New Roman" w:eastAsia="宋体" w:cs="Times New Roman"/>
                <w:color w:val="auto"/>
                <w:sz w:val="24"/>
                <w:szCs w:val="28"/>
                <w:highlight w:val="none"/>
              </w:rPr>
              <w:t>本项目位于安徽省淮南市</w:t>
            </w:r>
            <w:r>
              <w:rPr>
                <w:rFonts w:hint="eastAsia" w:ascii="Times New Roman" w:hAnsi="宋体"/>
                <w:color w:val="auto"/>
                <w:sz w:val="24"/>
                <w:highlight w:val="none"/>
                <w:lang w:eastAsia="zh-CN"/>
              </w:rPr>
              <w:t>凤台经济开发区国晟（凤台）异质结双碳产业园</w:t>
            </w:r>
            <w:r>
              <w:rPr>
                <w:rFonts w:ascii="Times New Roman" w:hAnsi="Times New Roman" w:eastAsia="宋体" w:cs="Times New Roman"/>
                <w:color w:val="auto"/>
                <w:sz w:val="24"/>
                <w:szCs w:val="24"/>
                <w:highlight w:val="none"/>
                <w:shd w:val="clear" w:color="auto" w:fill="FFFFFF"/>
              </w:rPr>
              <w:t>，属于</w:t>
            </w:r>
            <w:r>
              <w:rPr>
                <w:rFonts w:hint="eastAsia" w:ascii="Times New Roman" w:hAnsi="Times New Roman" w:eastAsia="宋体" w:cs="Times New Roman"/>
                <w:color w:val="auto"/>
                <w:spacing w:val="2"/>
                <w:sz w:val="24"/>
                <w:szCs w:val="24"/>
                <w:highlight w:val="none"/>
              </w:rPr>
              <w:t>安徽凤台经济开发区污水处理厂</w:t>
            </w:r>
            <w:r>
              <w:rPr>
                <w:rFonts w:ascii="Times New Roman" w:hAnsi="Times New Roman" w:eastAsia="宋体" w:cs="Times New Roman"/>
                <w:color w:val="auto"/>
                <w:sz w:val="24"/>
                <w:szCs w:val="24"/>
                <w:highlight w:val="none"/>
                <w:shd w:val="clear" w:color="auto" w:fill="FFFFFF"/>
              </w:rPr>
              <w:t>纳水范围内，</w:t>
            </w:r>
            <w:r>
              <w:rPr>
                <w:rFonts w:hint="eastAsia" w:ascii="Times New Roman" w:hAnsi="宋体" w:eastAsia="宋体" w:cs="Times New Roman"/>
                <w:color w:val="auto"/>
                <w:sz w:val="24"/>
                <w:szCs w:val="24"/>
                <w:highlight w:val="none"/>
              </w:rPr>
              <w:t>项目区域管网已铺设到位。建设项目废水可接管进入市政污水管网。</w:t>
            </w:r>
          </w:p>
          <w:p w14:paraId="115BB0B2">
            <w:pPr>
              <w:spacing w:line="360" w:lineRule="auto"/>
              <w:ind w:firstLine="480" w:firstLineChars="200"/>
              <w:rPr>
                <w:rFonts w:ascii="Times New Roman" w:hAnsi="Times New Roman" w:eastAsia="宋体" w:cs="Times New Roman"/>
                <w:color w:val="auto"/>
                <w:sz w:val="24"/>
                <w:szCs w:val="24"/>
                <w:highlight w:val="none"/>
                <w:shd w:val="clear" w:color="auto" w:fill="FFFFFF"/>
              </w:rPr>
            </w:pPr>
            <w:r>
              <w:rPr>
                <w:rFonts w:hint="eastAsia" w:ascii="Times New Roman" w:hAnsi="Times New Roman" w:eastAsia="宋体" w:cs="Times New Roman"/>
                <w:color w:val="auto"/>
                <w:sz w:val="24"/>
                <w:szCs w:val="24"/>
                <w:highlight w:val="none"/>
                <w:shd w:val="clear" w:color="auto" w:fill="FFFFFF"/>
              </w:rPr>
              <w:t>②接管水质可行性分析</w:t>
            </w:r>
          </w:p>
          <w:p w14:paraId="6101EE23">
            <w:pPr>
              <w:widowControl w:val="0"/>
              <w:autoSpaceDE w:val="0"/>
              <w:autoSpaceDN w:val="0"/>
              <w:adjustRightInd/>
              <w:spacing w:line="360" w:lineRule="auto"/>
              <w:ind w:firstLine="480" w:firstLineChars="200"/>
              <w:rPr>
                <w:rFonts w:ascii="Calibri" w:hAnsi="宋体" w:eastAsia="宋体" w:cs="Times New Roman"/>
                <w:color w:val="auto"/>
                <w:kern w:val="2"/>
                <w:sz w:val="24"/>
                <w:szCs w:val="24"/>
                <w:highlight w:val="none"/>
                <w:lang w:val="en-US" w:eastAsia="zh-CN" w:bidi="ar-SA"/>
              </w:rPr>
            </w:pPr>
            <w:r>
              <w:rPr>
                <w:rFonts w:ascii="Times New Roman" w:hAnsi="Calibri" w:eastAsia="宋体" w:cs="Times New Roman"/>
                <w:color w:val="auto"/>
                <w:kern w:val="2"/>
                <w:sz w:val="24"/>
                <w:szCs w:val="24"/>
                <w:highlight w:val="none"/>
                <w:shd w:val="clear" w:color="auto" w:fill="FFFFFF"/>
                <w:lang w:val="en-US" w:eastAsia="zh-CN" w:bidi="ar-SA"/>
              </w:rPr>
              <w:t>项目</w:t>
            </w:r>
            <w:r>
              <w:rPr>
                <w:rFonts w:hint="eastAsia" w:ascii="Times New Roman" w:eastAsia="宋体" w:cs="Times New Roman"/>
                <w:color w:val="auto"/>
                <w:kern w:val="2"/>
                <w:sz w:val="24"/>
                <w:szCs w:val="24"/>
                <w:highlight w:val="none"/>
                <w:shd w:val="clear" w:color="auto" w:fill="FFFFFF"/>
                <w:lang w:val="en-US" w:eastAsia="zh-CN" w:bidi="ar-SA"/>
              </w:rPr>
              <w:t>生活污水</w:t>
            </w:r>
            <w:r>
              <w:rPr>
                <w:rFonts w:ascii="Times New Roman" w:hAnsi="Calibri" w:eastAsia="宋体" w:cs="Times New Roman"/>
                <w:color w:val="auto"/>
                <w:kern w:val="2"/>
                <w:sz w:val="24"/>
                <w:szCs w:val="24"/>
                <w:highlight w:val="none"/>
                <w:shd w:val="clear" w:color="auto" w:fill="FFFFFF"/>
                <w:lang w:val="en-US" w:eastAsia="zh-CN" w:bidi="ar-SA"/>
              </w:rPr>
              <w:t>经化粪池预处理后</w:t>
            </w:r>
            <w:r>
              <w:rPr>
                <w:rFonts w:hint="eastAsia" w:ascii="Times New Roman" w:eastAsia="宋体" w:cs="Times New Roman"/>
                <w:color w:val="auto"/>
                <w:kern w:val="2"/>
                <w:sz w:val="24"/>
                <w:szCs w:val="24"/>
                <w:highlight w:val="none"/>
                <w:shd w:val="clear" w:color="auto" w:fill="FFFFFF"/>
                <w:lang w:val="en-US" w:eastAsia="zh-CN" w:bidi="ar-SA"/>
              </w:rPr>
              <w:t>与纯水制备浓水和超浓水均</w:t>
            </w:r>
            <w:r>
              <w:rPr>
                <w:rFonts w:ascii="Times New Roman" w:hAnsi="Calibri" w:eastAsia="宋体" w:cs="Times New Roman"/>
                <w:color w:val="auto"/>
                <w:kern w:val="2"/>
                <w:sz w:val="24"/>
                <w:szCs w:val="24"/>
                <w:highlight w:val="none"/>
                <w:shd w:val="clear" w:color="auto" w:fill="FFFFFF"/>
                <w:lang w:val="en-US" w:eastAsia="zh-CN" w:bidi="ar-SA"/>
              </w:rPr>
              <w:t>能够达到</w:t>
            </w:r>
            <w:r>
              <w:rPr>
                <w:rFonts w:hint="eastAsia" w:ascii="Times New Roman" w:hAnsi="Calibri" w:eastAsia="宋体" w:cs="Times New Roman"/>
                <w:color w:val="auto"/>
                <w:spacing w:val="2"/>
                <w:kern w:val="2"/>
                <w:sz w:val="24"/>
                <w:szCs w:val="24"/>
                <w:highlight w:val="none"/>
                <w:lang w:val="en-US" w:eastAsia="zh-CN" w:bidi="ar-SA"/>
              </w:rPr>
              <w:t>凤台经济开发区污水处理厂</w:t>
            </w:r>
            <w:r>
              <w:rPr>
                <w:rFonts w:ascii="Times New Roman" w:hAnsi="Calibri" w:eastAsia="宋体" w:cs="Times New Roman"/>
                <w:color w:val="auto"/>
                <w:kern w:val="2"/>
                <w:sz w:val="24"/>
                <w:szCs w:val="24"/>
                <w:highlight w:val="none"/>
                <w:shd w:val="clear" w:color="auto" w:fill="FFFFFF"/>
                <w:lang w:val="en-US" w:eastAsia="zh-CN" w:bidi="ar-SA"/>
              </w:rPr>
              <w:t>的</w:t>
            </w:r>
            <w:r>
              <w:rPr>
                <w:rFonts w:hint="eastAsia" w:ascii="Times New Roman" w:hAnsi="Calibri" w:eastAsia="宋体" w:cs="Times New Roman"/>
                <w:color w:val="auto"/>
                <w:kern w:val="2"/>
                <w:sz w:val="24"/>
                <w:szCs w:val="24"/>
                <w:highlight w:val="none"/>
                <w:shd w:val="clear" w:color="auto" w:fill="FFFFFF"/>
                <w:lang w:val="en-US" w:eastAsia="zh-CN" w:bidi="ar-SA"/>
              </w:rPr>
              <w:t>接管</w:t>
            </w:r>
            <w:r>
              <w:rPr>
                <w:rFonts w:ascii="Times New Roman" w:hAnsi="Calibri" w:eastAsia="宋体" w:cs="Times New Roman"/>
                <w:color w:val="auto"/>
                <w:kern w:val="2"/>
                <w:sz w:val="24"/>
                <w:szCs w:val="24"/>
                <w:highlight w:val="none"/>
                <w:shd w:val="clear" w:color="auto" w:fill="FFFFFF"/>
                <w:lang w:val="en-US" w:eastAsia="zh-CN" w:bidi="ar-SA"/>
              </w:rPr>
              <w:t>限值</w:t>
            </w:r>
            <w:r>
              <w:rPr>
                <w:rFonts w:hint="eastAsia" w:ascii="Times New Roman" w:hAnsi="Calibri" w:eastAsia="宋体" w:cs="Times New Roman"/>
                <w:color w:val="auto"/>
                <w:kern w:val="2"/>
                <w:sz w:val="24"/>
                <w:szCs w:val="24"/>
                <w:highlight w:val="none"/>
                <w:shd w:val="clear" w:color="auto" w:fill="FFFFFF"/>
                <w:lang w:val="en-US" w:eastAsia="zh-CN" w:bidi="ar-SA"/>
              </w:rPr>
              <w:t>，</w:t>
            </w:r>
            <w:r>
              <w:rPr>
                <w:rFonts w:hint="eastAsia" w:ascii="Calibri" w:hAnsi="宋体" w:eastAsia="宋体" w:cs="Times New Roman"/>
                <w:color w:val="auto"/>
                <w:kern w:val="2"/>
                <w:sz w:val="24"/>
                <w:szCs w:val="24"/>
                <w:highlight w:val="none"/>
                <w:lang w:val="en-US" w:eastAsia="zh-CN" w:bidi="ar-SA"/>
              </w:rPr>
              <w:t>接管水质可行。</w:t>
            </w:r>
          </w:p>
          <w:p w14:paraId="76B48F43">
            <w:pPr>
              <w:spacing w:line="360" w:lineRule="auto"/>
              <w:ind w:firstLine="480" w:firstLineChars="200"/>
              <w:rPr>
                <w:rFonts w:ascii="Times New Roman" w:hAnsi="Times New Roman" w:eastAsia="宋体" w:cs="Times New Roman"/>
                <w:color w:val="auto"/>
                <w:sz w:val="24"/>
                <w:szCs w:val="24"/>
                <w:highlight w:val="none"/>
                <w:shd w:val="clear" w:color="auto" w:fill="FFFFFF"/>
              </w:rPr>
            </w:pPr>
            <w:r>
              <w:rPr>
                <w:rFonts w:hint="eastAsia" w:ascii="Times New Roman" w:hAnsi="Times New Roman" w:eastAsia="宋体" w:cs="Times New Roman"/>
                <w:color w:val="auto"/>
                <w:sz w:val="24"/>
                <w:szCs w:val="24"/>
                <w:highlight w:val="none"/>
                <w:shd w:val="clear" w:color="auto" w:fill="FFFFFF"/>
              </w:rPr>
              <w:t>③接管水量可行性分析</w:t>
            </w:r>
          </w:p>
          <w:p w14:paraId="21FB9C96">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shd w:val="clear" w:color="auto" w:fill="FFFFFF"/>
              </w:rPr>
              <w:t>本项目废水主要为生活污水</w:t>
            </w:r>
            <w:r>
              <w:rPr>
                <w:rFonts w:hint="eastAsia" w:ascii="Times New Roman" w:hAnsi="Times New Roman" w:eastAsia="宋体" w:cs="Times New Roman"/>
                <w:color w:val="auto"/>
                <w:sz w:val="24"/>
                <w:szCs w:val="24"/>
                <w:highlight w:val="none"/>
                <w:shd w:val="clear" w:color="auto" w:fill="FFFFFF"/>
                <w:lang w:eastAsia="zh-CN"/>
              </w:rPr>
              <w:t>、</w:t>
            </w:r>
            <w:r>
              <w:rPr>
                <w:rFonts w:hint="eastAsia" w:ascii="Times New Roman" w:hAnsi="Times New Roman" w:eastAsia="宋体" w:cs="Times New Roman"/>
                <w:color w:val="auto"/>
                <w:sz w:val="24"/>
                <w:szCs w:val="24"/>
                <w:highlight w:val="none"/>
                <w:shd w:val="clear" w:color="auto" w:fill="FFFFFF"/>
                <w:lang w:val="en-US" w:eastAsia="zh-CN"/>
              </w:rPr>
              <w:t>纯水制备浓水和超浓水</w:t>
            </w:r>
            <w:r>
              <w:rPr>
                <w:rFonts w:hint="eastAsia" w:ascii="Times New Roman" w:hAnsi="Times New Roman" w:eastAsia="宋体" w:cs="Times New Roman"/>
                <w:color w:val="auto"/>
                <w:sz w:val="24"/>
                <w:szCs w:val="24"/>
                <w:highlight w:val="none"/>
                <w:shd w:val="clear" w:color="auto" w:fill="FFFFFF"/>
              </w:rPr>
              <w:t>，产生量为</w:t>
            </w:r>
            <w:r>
              <w:rPr>
                <w:rFonts w:hint="eastAsia" w:ascii="Times New Roman" w:hAnsi="Times New Roman" w:eastAsia="宋体" w:cs="Times New Roman"/>
                <w:color w:val="auto"/>
                <w:sz w:val="24"/>
                <w:szCs w:val="24"/>
                <w:highlight w:val="none"/>
                <w:lang w:val="en-US" w:eastAsia="zh-CN"/>
              </w:rPr>
              <w:t>14.96</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/d，产生量较小，占</w:t>
            </w:r>
            <w:r>
              <w:rPr>
                <w:rFonts w:hint="eastAsia" w:ascii="Times New Roman" w:hAnsi="Times New Roman" w:eastAsia="宋体" w:cs="Times New Roman"/>
                <w:color w:val="auto"/>
                <w:spacing w:val="2"/>
                <w:sz w:val="24"/>
                <w:szCs w:val="24"/>
                <w:highlight w:val="none"/>
              </w:rPr>
              <w:t>安徽凤台经济开发区污水处理厂</w:t>
            </w:r>
            <w:r>
              <w:rPr>
                <w:rFonts w:hint="eastAsia" w:ascii="Times New Roman" w:hAnsi="Times New Roman" w:eastAsia="宋体" w:cs="Times New Roman"/>
                <w:color w:val="auto"/>
                <w:sz w:val="24"/>
                <w:szCs w:val="24"/>
                <w:highlight w:val="none"/>
              </w:rPr>
              <w:t>每日处理能力的0.0</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rPr>
              <w:t>%，占比较小，基本不会对污水处理厂处理能力产生冲击</w:t>
            </w:r>
            <w:r>
              <w:rPr>
                <w:rFonts w:ascii="Times New Roman" w:hAnsi="Times New Roman" w:eastAsia="宋体" w:cs="Times New Roman"/>
                <w:color w:val="auto"/>
                <w:sz w:val="24"/>
                <w:szCs w:val="24"/>
                <w:highlight w:val="none"/>
                <w:shd w:val="clear" w:color="auto" w:fill="FFFFFF"/>
              </w:rPr>
              <w:t>。</w:t>
            </w:r>
          </w:p>
          <w:p w14:paraId="02A28FEC">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w:t>
            </w:r>
            <w:r>
              <w:rPr>
                <w:rFonts w:ascii="Times New Roman" w:hAnsi="Times New Roman" w:eastAsia="宋体" w:cs="Times New Roman"/>
                <w:color w:val="auto"/>
                <w:sz w:val="24"/>
                <w:szCs w:val="24"/>
                <w:highlight w:val="none"/>
              </w:rPr>
              <w:t>所述</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项目废水依托</w:t>
            </w:r>
            <w:r>
              <w:rPr>
                <w:rFonts w:hint="eastAsia" w:ascii="Times New Roman" w:hAnsi="Times New Roman" w:eastAsia="宋体" w:cs="Times New Roman"/>
                <w:color w:val="auto"/>
                <w:spacing w:val="2"/>
                <w:sz w:val="24"/>
                <w:szCs w:val="24"/>
                <w:highlight w:val="none"/>
                <w:lang w:eastAsia="zh-CN"/>
              </w:rPr>
              <w:t>凤台经济开发区污水处理厂</w:t>
            </w:r>
            <w:r>
              <w:rPr>
                <w:rFonts w:ascii="Times New Roman" w:hAnsi="Times New Roman" w:eastAsia="宋体" w:cs="Times New Roman"/>
                <w:color w:val="auto"/>
                <w:sz w:val="24"/>
                <w:szCs w:val="24"/>
                <w:highlight w:val="none"/>
              </w:rPr>
              <w:t>处理是可行的</w:t>
            </w:r>
            <w:r>
              <w:rPr>
                <w:rFonts w:hint="eastAsia" w:ascii="Times New Roman" w:hAnsi="Times New Roman" w:eastAsia="宋体" w:cs="Times New Roman"/>
                <w:color w:val="auto"/>
                <w:sz w:val="24"/>
                <w:szCs w:val="24"/>
                <w:highlight w:val="none"/>
              </w:rPr>
              <w:t>。</w:t>
            </w:r>
          </w:p>
          <w:p w14:paraId="3C8D4FE6">
            <w:pPr>
              <w:spacing w:line="360" w:lineRule="auto"/>
              <w:ind w:firstLine="480" w:firstLineChars="200"/>
              <w:rPr>
                <w:rFonts w:hint="eastAsia" w:ascii="Times New Roman" w:hAnsi="Times New Roman"/>
                <w:color w:val="auto"/>
                <w:kern w:val="0"/>
                <w:sz w:val="24"/>
                <w:highlight w:val="none"/>
              </w:rPr>
            </w:pPr>
            <w:r>
              <w:rPr>
                <w:rFonts w:hint="eastAsia" w:ascii="Times New Roman" w:hAnsi="Times New Roman"/>
                <w:color w:val="auto"/>
                <w:kern w:val="0"/>
                <w:sz w:val="24"/>
                <w:highlight w:val="none"/>
              </w:rPr>
              <w:t>2）地表水环境影响评价</w:t>
            </w:r>
          </w:p>
          <w:p w14:paraId="54D4C32D">
            <w:pPr>
              <w:spacing w:line="360" w:lineRule="auto"/>
              <w:ind w:firstLine="480" w:firstLineChars="200"/>
              <w:rPr>
                <w:rFonts w:hint="eastAsia" w:ascii="Times New Roman" w:hAnsi="Times New Roman"/>
                <w:color w:val="auto"/>
                <w:kern w:val="0"/>
                <w:sz w:val="24"/>
                <w:highlight w:val="none"/>
              </w:rPr>
            </w:pPr>
            <w:r>
              <w:rPr>
                <w:rFonts w:hint="eastAsia" w:ascii="Times New Roman" w:hAnsi="Times New Roman"/>
                <w:color w:val="auto"/>
                <w:kern w:val="0"/>
                <w:sz w:val="24"/>
                <w:highlight w:val="none"/>
              </w:rPr>
              <w:t>本项目最大废水排放量为</w:t>
            </w:r>
            <w:r>
              <w:rPr>
                <w:rFonts w:hint="eastAsia" w:ascii="Times New Roman" w:hAnsi="Times New Roman"/>
                <w:color w:val="auto"/>
                <w:kern w:val="0"/>
                <w:sz w:val="24"/>
                <w:highlight w:val="none"/>
                <w:lang w:val="en-US" w:eastAsia="zh-CN"/>
              </w:rPr>
              <w:t>14.96</w:t>
            </w:r>
            <w:r>
              <w:rPr>
                <w:rFonts w:hint="eastAsia" w:ascii="Times New Roman" w:hAnsi="Times New Roman"/>
                <w:color w:val="auto"/>
                <w:kern w:val="0"/>
                <w:sz w:val="24"/>
                <w:highlight w:val="none"/>
              </w:rPr>
              <w:t>m</w:t>
            </w:r>
            <w:r>
              <w:rPr>
                <w:rFonts w:hint="eastAsia" w:ascii="Times New Roman" w:hAnsi="Times New Roman"/>
                <w:color w:val="auto"/>
                <w:kern w:val="0"/>
                <w:sz w:val="24"/>
                <w:highlight w:val="none"/>
                <w:vertAlign w:val="superscript"/>
              </w:rPr>
              <w:t>3</w:t>
            </w:r>
            <w:r>
              <w:rPr>
                <w:rFonts w:hint="eastAsia" w:ascii="Times New Roman" w:hAnsi="Times New Roman"/>
                <w:color w:val="auto"/>
                <w:kern w:val="0"/>
                <w:sz w:val="24"/>
                <w:highlight w:val="none"/>
              </w:rPr>
              <w:t>/d，占污水处理厂日处理量的</w:t>
            </w:r>
            <w:r>
              <w:rPr>
                <w:rFonts w:hint="eastAsia" w:ascii="Times New Roman" w:hAnsi="Times New Roman"/>
                <w:color w:val="auto"/>
                <w:kern w:val="0"/>
                <w:sz w:val="24"/>
                <w:highlight w:val="none"/>
                <w:lang w:val="en-US" w:eastAsia="zh-CN"/>
              </w:rPr>
              <w:t>0.07</w:t>
            </w:r>
            <w:r>
              <w:rPr>
                <w:rFonts w:hint="eastAsia" w:ascii="Times New Roman" w:hAnsi="Times New Roman"/>
                <w:color w:val="auto"/>
                <w:kern w:val="0"/>
                <w:sz w:val="24"/>
                <w:highlight w:val="none"/>
              </w:rPr>
              <w:t>%，废水量在污水处理厂容量之内，正常运行情况下，对区域地表水体的影响是可接受的。项目废水纳入</w:t>
            </w:r>
            <w:r>
              <w:rPr>
                <w:rFonts w:hint="eastAsia" w:ascii="Times New Roman" w:hAnsi="Times New Roman"/>
                <w:color w:val="auto"/>
                <w:kern w:val="0"/>
                <w:sz w:val="24"/>
                <w:highlight w:val="none"/>
                <w:lang w:eastAsia="zh-CN"/>
              </w:rPr>
              <w:t>凤台经济开发区污水处理厂</w:t>
            </w:r>
            <w:r>
              <w:rPr>
                <w:rFonts w:hint="eastAsia" w:ascii="Times New Roman" w:hAnsi="Times New Roman"/>
                <w:color w:val="auto"/>
                <w:kern w:val="0"/>
                <w:sz w:val="24"/>
                <w:highlight w:val="none"/>
              </w:rPr>
              <w:t>不会对其正常运行造成不利影响，项目对纳污水体的环境影响较小。</w:t>
            </w:r>
          </w:p>
          <w:p w14:paraId="4BFCB1A1">
            <w:pPr>
              <w:spacing w:line="360" w:lineRule="auto"/>
              <w:ind w:firstLine="482" w:firstLineChars="200"/>
              <w:rPr>
                <w:rFonts w:ascii="Times New Roman" w:hAnsi="Times New Roman"/>
                <w:b/>
                <w:color w:val="auto"/>
                <w:kern w:val="0"/>
                <w:sz w:val="24"/>
                <w:highlight w:val="none"/>
              </w:rPr>
            </w:pPr>
            <w:r>
              <w:rPr>
                <w:rFonts w:ascii="Times New Roman" w:hAnsi="Times New Roman"/>
                <w:b/>
                <w:color w:val="auto"/>
                <w:kern w:val="0"/>
                <w:sz w:val="24"/>
                <w:highlight w:val="none"/>
              </w:rPr>
              <w:t>3、废水污染物自行监测计划</w:t>
            </w:r>
          </w:p>
          <w:p w14:paraId="68597B8C">
            <w:pPr>
              <w:spacing w:line="360" w:lineRule="auto"/>
              <w:ind w:firstLine="480" w:firstLineChars="200"/>
              <w:rPr>
                <w:rFonts w:ascii="Times New Roman" w:hAnsi="Times New Roman"/>
                <w:bCs/>
                <w:color w:val="auto"/>
                <w:sz w:val="24"/>
                <w:szCs w:val="24"/>
                <w:highlight w:val="none"/>
                <w:lang w:val="en-GB"/>
              </w:rPr>
            </w:pPr>
            <w:r>
              <w:rPr>
                <w:rFonts w:ascii="Times New Roman" w:hAnsi="Times New Roman"/>
                <w:bCs/>
                <w:color w:val="auto"/>
                <w:sz w:val="24"/>
                <w:szCs w:val="24"/>
                <w:highlight w:val="none"/>
                <w:lang w:val="en-GB"/>
              </w:rPr>
              <w:t>本项目外排水</w:t>
            </w:r>
            <w:r>
              <w:rPr>
                <w:rFonts w:hint="eastAsia" w:ascii="Times New Roman" w:hAnsi="Times New Roman"/>
                <w:bCs/>
                <w:color w:val="auto"/>
                <w:sz w:val="24"/>
                <w:szCs w:val="24"/>
                <w:highlight w:val="none"/>
                <w:lang w:val="en-US" w:eastAsia="zh-CN"/>
              </w:rPr>
              <w:t>为生活污水、纯水制备浓水和超浓水</w:t>
            </w:r>
            <w:r>
              <w:rPr>
                <w:rFonts w:ascii="Times New Roman" w:hAnsi="Times New Roman"/>
                <w:bCs/>
                <w:color w:val="auto"/>
                <w:sz w:val="24"/>
                <w:szCs w:val="24"/>
                <w:highlight w:val="none"/>
                <w:lang w:val="en-GB"/>
              </w:rPr>
              <w:t>，根据《排污单位自行监测技术指南 总则》 （HJ819-2017），</w:t>
            </w:r>
            <w:r>
              <w:rPr>
                <w:rFonts w:hint="eastAsia" w:ascii="Times New Roman" w:hAnsi="Times New Roman"/>
                <w:bCs/>
                <w:color w:val="auto"/>
                <w:sz w:val="24"/>
                <w:szCs w:val="24"/>
                <w:highlight w:val="none"/>
              </w:rPr>
              <w:t>并参照《排污单位自行监测技术指南 平板玻璃工业》</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rPr>
              <w:t>HJ 988-2018</w:t>
            </w:r>
            <w:r>
              <w:rPr>
                <w:rFonts w:hint="eastAsia" w:ascii="Times New Roman" w:hAnsi="Times New Roman"/>
                <w:bCs/>
                <w:color w:val="auto"/>
                <w:sz w:val="24"/>
                <w:szCs w:val="24"/>
                <w:highlight w:val="none"/>
                <w:lang w:eastAsia="zh-CN"/>
              </w:rPr>
              <w:t>）</w:t>
            </w:r>
            <w:r>
              <w:rPr>
                <w:rFonts w:ascii="Times New Roman"/>
                <w:color w:val="auto"/>
                <w:sz w:val="24"/>
                <w:highlight w:val="none"/>
              </w:rPr>
              <w:t>要求</w:t>
            </w:r>
            <w:r>
              <w:rPr>
                <w:rFonts w:hint="eastAsia" w:ascii="Times New Roman"/>
                <w:color w:val="auto"/>
                <w:sz w:val="24"/>
                <w:highlight w:val="none"/>
                <w:lang w:eastAsia="zh-CN"/>
              </w:rPr>
              <w:t>，</w:t>
            </w:r>
            <w:r>
              <w:rPr>
                <w:rFonts w:ascii="Times New Roman" w:hAnsi="Times New Roman"/>
                <w:bCs/>
                <w:color w:val="auto"/>
                <w:sz w:val="24"/>
                <w:szCs w:val="24"/>
                <w:highlight w:val="none"/>
                <w:lang w:val="en-GB"/>
              </w:rPr>
              <w:t>项目运行期废水监测</w:t>
            </w:r>
            <w:r>
              <w:rPr>
                <w:rFonts w:hint="eastAsia" w:ascii="Times New Roman" w:hAnsi="Times New Roman"/>
                <w:bCs/>
                <w:color w:val="auto"/>
                <w:sz w:val="24"/>
                <w:szCs w:val="24"/>
                <w:highlight w:val="none"/>
                <w:lang w:val="en-US" w:eastAsia="zh-CN"/>
              </w:rPr>
              <w:t>计划如下</w:t>
            </w:r>
            <w:r>
              <w:rPr>
                <w:rFonts w:ascii="Times New Roman" w:hAnsi="Times New Roman"/>
                <w:bCs/>
                <w:color w:val="auto"/>
                <w:sz w:val="24"/>
                <w:szCs w:val="24"/>
                <w:highlight w:val="none"/>
                <w:lang w:val="en-GB"/>
              </w:rPr>
              <w:t>。</w:t>
            </w:r>
          </w:p>
          <w:p w14:paraId="503A7F8C">
            <w:pPr>
              <w:keepNext w:val="0"/>
              <w:keepLines w:val="0"/>
              <w:widowControl/>
              <w:suppressLineNumbers w:val="0"/>
              <w:autoSpaceDE w:val="0"/>
              <w:autoSpaceDN w:val="0"/>
              <w:adjustRightInd w:val="0"/>
              <w:spacing w:before="0" w:beforeAutospacing="0" w:after="0" w:afterAutospacing="0" w:line="360" w:lineRule="auto"/>
              <w:ind w:left="0" w:right="0"/>
              <w:jc w:val="center"/>
              <w:rPr>
                <w:rFonts w:ascii="Times New Roman" w:hAnsi="Times New Roman" w:eastAsia="黑体" w:cs="宋体"/>
                <w:color w:val="auto"/>
                <w:kern w:val="0"/>
                <w:sz w:val="24"/>
                <w:szCs w:val="24"/>
                <w:highlight w:val="none"/>
              </w:rPr>
            </w:pPr>
            <w:r>
              <w:rPr>
                <w:rFonts w:ascii="Times New Roman" w:hAnsi="黑体" w:eastAsia="黑体" w:cs="宋体"/>
                <w:color w:val="auto"/>
                <w:kern w:val="0"/>
                <w:sz w:val="24"/>
                <w:szCs w:val="24"/>
                <w:highlight w:val="none"/>
              </w:rPr>
              <w:t>表</w:t>
            </w:r>
            <w:r>
              <w:rPr>
                <w:rFonts w:hint="eastAsia" w:ascii="Times New Roman" w:hAnsi="Times New Roman" w:eastAsia="黑体" w:cs="宋体"/>
                <w:color w:val="auto"/>
                <w:kern w:val="0"/>
                <w:sz w:val="24"/>
                <w:szCs w:val="24"/>
                <w:highlight w:val="none"/>
              </w:rPr>
              <w:t>4-</w:t>
            </w:r>
            <w:r>
              <w:rPr>
                <w:rFonts w:hint="eastAsia" w:ascii="Times New Roman" w:hAnsi="Times New Roman" w:eastAsia="黑体" w:cs="宋体"/>
                <w:color w:val="auto"/>
                <w:kern w:val="0"/>
                <w:sz w:val="24"/>
                <w:szCs w:val="24"/>
                <w:highlight w:val="none"/>
                <w:lang w:val="en-US" w:eastAsia="zh-CN"/>
              </w:rPr>
              <w:t>9</w:t>
            </w:r>
            <w:r>
              <w:rPr>
                <w:rFonts w:hint="eastAsia" w:ascii="Times New Roman" w:hAnsi="Times New Roman" w:eastAsia="黑体" w:cs="宋体"/>
                <w:color w:val="auto"/>
                <w:kern w:val="0"/>
                <w:sz w:val="24"/>
                <w:szCs w:val="24"/>
                <w:highlight w:val="none"/>
              </w:rPr>
              <w:t xml:space="preserve">  </w:t>
            </w:r>
            <w:r>
              <w:rPr>
                <w:rFonts w:ascii="Times New Roman" w:hAnsi="黑体" w:eastAsia="黑体" w:cs="Times New Roman"/>
                <w:color w:val="auto"/>
                <w:kern w:val="0"/>
                <w:sz w:val="24"/>
                <w:szCs w:val="24"/>
                <w:highlight w:val="none"/>
              </w:rPr>
              <w:t>项目</w:t>
            </w:r>
            <w:r>
              <w:rPr>
                <w:rFonts w:hint="eastAsia" w:ascii="Times New Roman" w:hAnsi="黑体" w:eastAsia="黑体" w:cs="Times New Roman"/>
                <w:color w:val="auto"/>
                <w:kern w:val="0"/>
                <w:sz w:val="24"/>
                <w:szCs w:val="24"/>
                <w:highlight w:val="none"/>
              </w:rPr>
              <w:t>废水</w:t>
            </w:r>
            <w:r>
              <w:rPr>
                <w:rFonts w:ascii="Times New Roman" w:hAnsi="黑体" w:eastAsia="黑体" w:cs="Times New Roman"/>
                <w:color w:val="auto"/>
                <w:kern w:val="0"/>
                <w:sz w:val="24"/>
                <w:szCs w:val="24"/>
                <w:highlight w:val="none"/>
              </w:rPr>
              <w:t>监测计划一览表</w:t>
            </w:r>
          </w:p>
          <w:tbl>
            <w:tblPr>
              <w:tblStyle w:val="2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49"/>
              <w:gridCol w:w="4581"/>
              <w:gridCol w:w="1358"/>
            </w:tblGrid>
            <w:tr w14:paraId="0D40D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235" w:type="pct"/>
                  <w:tcBorders>
                    <w:top w:val="single" w:color="000000" w:sz="8" w:space="0"/>
                  </w:tcBorders>
                  <w:vAlign w:val="center"/>
                </w:tcPr>
                <w:p w14:paraId="726A2A45">
                  <w:pPr>
                    <w:keepNext w:val="0"/>
                    <w:keepLines w:val="0"/>
                    <w:widowControl/>
                    <w:suppressLineNumbers w:val="0"/>
                    <w:spacing w:before="0" w:beforeAutospacing="0" w:after="0" w:afterAutospacing="0" w:line="276" w:lineRule="auto"/>
                    <w:ind w:left="0" w:right="0"/>
                    <w:jc w:val="center"/>
                    <w:rPr>
                      <w:rFonts w:ascii="Times New Roman" w:hAnsi="Times New Roman" w:eastAsia="宋体" w:cs="Times New Roman"/>
                      <w:b/>
                      <w:color w:val="auto"/>
                      <w:kern w:val="0"/>
                      <w:sz w:val="21"/>
                      <w:szCs w:val="21"/>
                      <w:highlight w:val="none"/>
                    </w:rPr>
                  </w:pPr>
                  <w:r>
                    <w:rPr>
                      <w:rFonts w:ascii="Times New Roman" w:hAnsi="宋体" w:eastAsia="宋体" w:cs="Times New Roman"/>
                      <w:b/>
                      <w:color w:val="auto"/>
                      <w:kern w:val="0"/>
                      <w:sz w:val="21"/>
                      <w:szCs w:val="21"/>
                      <w:highlight w:val="none"/>
                    </w:rPr>
                    <w:t>监测点位</w:t>
                  </w:r>
                </w:p>
              </w:tc>
              <w:tc>
                <w:tcPr>
                  <w:tcW w:w="2903" w:type="pct"/>
                  <w:tcBorders>
                    <w:top w:val="single" w:color="000000" w:sz="8" w:space="0"/>
                  </w:tcBorders>
                  <w:vAlign w:val="center"/>
                </w:tcPr>
                <w:p w14:paraId="2393D710">
                  <w:pPr>
                    <w:keepNext w:val="0"/>
                    <w:keepLines w:val="0"/>
                    <w:widowControl/>
                    <w:suppressLineNumbers w:val="0"/>
                    <w:spacing w:before="0" w:beforeAutospacing="0" w:after="0" w:afterAutospacing="0" w:line="276" w:lineRule="auto"/>
                    <w:ind w:left="0" w:right="0"/>
                    <w:jc w:val="center"/>
                    <w:rPr>
                      <w:rFonts w:ascii="Times New Roman" w:hAnsi="Times New Roman" w:eastAsia="宋体" w:cs="Times New Roman"/>
                      <w:b/>
                      <w:color w:val="auto"/>
                      <w:kern w:val="0"/>
                      <w:sz w:val="21"/>
                      <w:szCs w:val="21"/>
                      <w:highlight w:val="none"/>
                    </w:rPr>
                  </w:pPr>
                  <w:r>
                    <w:rPr>
                      <w:rFonts w:ascii="Times New Roman" w:hAnsi="宋体" w:eastAsia="宋体" w:cs="Times New Roman"/>
                      <w:b/>
                      <w:color w:val="auto"/>
                      <w:kern w:val="0"/>
                      <w:sz w:val="21"/>
                      <w:szCs w:val="21"/>
                      <w:highlight w:val="none"/>
                    </w:rPr>
                    <w:t>监测指标</w:t>
                  </w:r>
                </w:p>
              </w:tc>
              <w:tc>
                <w:tcPr>
                  <w:tcW w:w="860" w:type="pct"/>
                  <w:tcBorders>
                    <w:top w:val="single" w:color="000000" w:sz="8" w:space="0"/>
                  </w:tcBorders>
                  <w:vAlign w:val="center"/>
                </w:tcPr>
                <w:p w14:paraId="223DD310">
                  <w:pPr>
                    <w:keepNext w:val="0"/>
                    <w:keepLines w:val="0"/>
                    <w:widowControl/>
                    <w:suppressLineNumbers w:val="0"/>
                    <w:spacing w:before="0" w:beforeAutospacing="0" w:after="0" w:afterAutospacing="0" w:line="276" w:lineRule="auto"/>
                    <w:ind w:left="0" w:right="0"/>
                    <w:jc w:val="center"/>
                    <w:rPr>
                      <w:rFonts w:ascii="Times New Roman" w:hAnsi="Times New Roman" w:eastAsia="宋体" w:cs="Times New Roman"/>
                      <w:b/>
                      <w:color w:val="auto"/>
                      <w:kern w:val="0"/>
                      <w:sz w:val="21"/>
                      <w:szCs w:val="21"/>
                      <w:highlight w:val="none"/>
                    </w:rPr>
                  </w:pPr>
                  <w:r>
                    <w:rPr>
                      <w:rFonts w:ascii="Times New Roman" w:hAnsi="宋体" w:eastAsia="宋体" w:cs="Times New Roman"/>
                      <w:b/>
                      <w:color w:val="auto"/>
                      <w:kern w:val="0"/>
                      <w:sz w:val="21"/>
                      <w:szCs w:val="21"/>
                      <w:highlight w:val="none"/>
                    </w:rPr>
                    <w:t>监测频次</w:t>
                  </w:r>
                </w:p>
              </w:tc>
            </w:tr>
            <w:tr w14:paraId="0BC23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35" w:type="pct"/>
                  <w:tcBorders>
                    <w:bottom w:val="single" w:color="000000" w:sz="8" w:space="0"/>
                  </w:tcBorders>
                  <w:vAlign w:val="center"/>
                </w:tcPr>
                <w:p w14:paraId="2C9D342E">
                  <w:pPr>
                    <w:keepNext w:val="0"/>
                    <w:keepLines w:val="0"/>
                    <w:widowControl/>
                    <w:suppressLineNumbers w:val="0"/>
                    <w:spacing w:before="0" w:beforeAutospacing="0" w:after="0" w:afterAutospacing="0" w:line="276" w:lineRule="auto"/>
                    <w:ind w:left="0" w:right="0"/>
                    <w:jc w:val="center"/>
                    <w:rPr>
                      <w:rFonts w:ascii="Times New Roman" w:hAnsi="Times New Roman" w:eastAsia="宋体" w:cs="Times New Roman"/>
                      <w:color w:val="auto"/>
                      <w:kern w:val="0"/>
                      <w:sz w:val="21"/>
                      <w:szCs w:val="21"/>
                      <w:highlight w:val="none"/>
                    </w:rPr>
                  </w:pPr>
                  <w:r>
                    <w:rPr>
                      <w:rFonts w:ascii="Times New Roman" w:hAnsi="宋体" w:eastAsia="宋体" w:cs="Times New Roman"/>
                      <w:color w:val="auto"/>
                      <w:kern w:val="0"/>
                      <w:sz w:val="21"/>
                      <w:szCs w:val="21"/>
                      <w:highlight w:val="none"/>
                    </w:rPr>
                    <w:t>废水</w:t>
                  </w:r>
                  <w:r>
                    <w:rPr>
                      <w:rFonts w:hint="eastAsia" w:ascii="Times New Roman" w:hAnsi="宋体" w:eastAsia="宋体" w:cs="Times New Roman"/>
                      <w:color w:val="auto"/>
                      <w:kern w:val="0"/>
                      <w:sz w:val="21"/>
                      <w:szCs w:val="21"/>
                      <w:highlight w:val="none"/>
                      <w:lang w:val="en-US" w:eastAsia="zh-CN"/>
                    </w:rPr>
                    <w:t>总</w:t>
                  </w:r>
                  <w:r>
                    <w:rPr>
                      <w:rFonts w:ascii="Times New Roman" w:hAnsi="宋体" w:eastAsia="宋体" w:cs="Times New Roman"/>
                      <w:color w:val="auto"/>
                      <w:kern w:val="0"/>
                      <w:sz w:val="21"/>
                      <w:szCs w:val="21"/>
                      <w:highlight w:val="none"/>
                    </w:rPr>
                    <w:t>排放口</w:t>
                  </w:r>
                </w:p>
              </w:tc>
              <w:tc>
                <w:tcPr>
                  <w:tcW w:w="2903" w:type="pct"/>
                  <w:tcBorders>
                    <w:bottom w:val="single" w:color="000000" w:sz="8" w:space="0"/>
                  </w:tcBorders>
                  <w:vAlign w:val="center"/>
                </w:tcPr>
                <w:p w14:paraId="3CDFE777">
                  <w:pPr>
                    <w:keepNext w:val="0"/>
                    <w:keepLines w:val="0"/>
                    <w:widowControl w:val="0"/>
                    <w:suppressLineNumbers w:val="0"/>
                    <w:autoSpaceDE w:val="0"/>
                    <w:autoSpaceDN w:val="0"/>
                    <w:adjustRightInd w:val="0"/>
                    <w:spacing w:before="0" w:beforeAutospacing="0" w:after="0" w:afterAutospacing="0"/>
                    <w:ind w:right="0"/>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流量、pH、化学需氧量、</w:t>
                  </w:r>
                  <w:r>
                    <w:rPr>
                      <w:rFonts w:hint="eastAsia" w:ascii="Times New Roman" w:hAnsi="Times New Roman" w:eastAsia="宋体" w:cs="Times New Roman"/>
                      <w:color w:val="auto"/>
                      <w:kern w:val="0"/>
                      <w:sz w:val="21"/>
                      <w:szCs w:val="21"/>
                      <w:highlight w:val="none"/>
                      <w:lang w:val="en-US" w:eastAsia="zh-CN" w:bidi="ar-SA"/>
                    </w:rPr>
                    <w:t>氨氮、SS、BOD</w:t>
                  </w:r>
                  <w:r>
                    <w:rPr>
                      <w:rFonts w:hint="eastAsia" w:ascii="Times New Roman" w:hAnsi="Times New Roman" w:eastAsia="宋体" w:cs="Times New Roman"/>
                      <w:color w:val="auto"/>
                      <w:kern w:val="0"/>
                      <w:sz w:val="21"/>
                      <w:szCs w:val="21"/>
                      <w:highlight w:val="none"/>
                      <w:vertAlign w:val="subscript"/>
                      <w:lang w:val="en-US" w:eastAsia="zh-CN" w:bidi="ar-SA"/>
                    </w:rPr>
                    <w:t>5</w:t>
                  </w:r>
                </w:p>
              </w:tc>
              <w:tc>
                <w:tcPr>
                  <w:tcW w:w="860" w:type="pct"/>
                  <w:tcBorders>
                    <w:bottom w:val="single" w:color="000000" w:sz="8" w:space="0"/>
                  </w:tcBorders>
                  <w:vAlign w:val="center"/>
                </w:tcPr>
                <w:p w14:paraId="1D269E51">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宋体" w:eastAsia="宋体" w:cs="Times New Roman"/>
                      <w:color w:val="auto"/>
                      <w:kern w:val="0"/>
                      <w:sz w:val="21"/>
                      <w:szCs w:val="21"/>
                      <w:highlight w:val="none"/>
                      <w:lang w:val="en-US" w:eastAsia="zh-CN"/>
                    </w:rPr>
                    <w:t>1次/季度</w:t>
                  </w:r>
                </w:p>
              </w:tc>
            </w:tr>
          </w:tbl>
          <w:p w14:paraId="21CA6C2D">
            <w:pPr>
              <w:pageBreakBefore w:val="0"/>
              <w:widowControl w:val="0"/>
              <w:kinsoku/>
              <w:wordWrap/>
              <w:overflowPunct/>
              <w:topLinePunct w:val="0"/>
              <w:bidi w:val="0"/>
              <w:adjustRightInd w:val="0"/>
              <w:snapToGrid w:val="0"/>
              <w:spacing w:line="360" w:lineRule="auto"/>
              <w:ind w:left="0" w:leftChars="0" w:firstLine="482" w:firstLineChars="200"/>
              <w:textAlignment w:val="auto"/>
              <w:rPr>
                <w:rFonts w:ascii="Times New Roman" w:hAnsi="宋体"/>
                <w:b/>
                <w:bCs/>
                <w:color w:val="auto"/>
                <w:sz w:val="24"/>
                <w:szCs w:val="24"/>
                <w:highlight w:val="none"/>
              </w:rPr>
            </w:pPr>
            <w:r>
              <w:rPr>
                <w:rFonts w:hint="eastAsia" w:ascii="Times New Roman" w:hAnsi="宋体"/>
                <w:b/>
                <w:bCs/>
                <w:color w:val="auto"/>
                <w:sz w:val="24"/>
                <w:szCs w:val="24"/>
                <w:highlight w:val="none"/>
              </w:rPr>
              <w:t>三、运营期</w:t>
            </w:r>
            <w:r>
              <w:rPr>
                <w:rFonts w:ascii="Times New Roman" w:hAnsi="宋体"/>
                <w:b/>
                <w:bCs/>
                <w:color w:val="auto"/>
                <w:sz w:val="24"/>
                <w:szCs w:val="24"/>
                <w:highlight w:val="none"/>
              </w:rPr>
              <w:t>声环境影响</w:t>
            </w:r>
            <w:r>
              <w:rPr>
                <w:rFonts w:hint="eastAsia" w:ascii="Times New Roman" w:hAnsi="宋体"/>
                <w:b/>
                <w:bCs/>
                <w:color w:val="auto"/>
                <w:sz w:val="24"/>
                <w:szCs w:val="24"/>
                <w:highlight w:val="none"/>
              </w:rPr>
              <w:t>和保护措施</w:t>
            </w:r>
          </w:p>
          <w:p w14:paraId="3299BC79">
            <w:pPr>
              <w:pStyle w:val="39"/>
              <w:pageBreakBefore w:val="0"/>
              <w:widowControl w:val="0"/>
              <w:numPr>
                <w:ilvl w:val="1"/>
                <w:numId w:val="0"/>
              </w:numPr>
              <w:kinsoku/>
              <w:wordWrap/>
              <w:overflowPunct/>
              <w:topLinePunct w:val="0"/>
              <w:bidi w:val="0"/>
              <w:adjustRightInd w:val="0"/>
              <w:snapToGrid w:val="0"/>
              <w:spacing w:line="360" w:lineRule="auto"/>
              <w:ind w:left="0" w:leftChars="0" w:firstLine="482" w:firstLineChars="200"/>
              <w:textAlignment w:val="auto"/>
              <w:rPr>
                <w:rFonts w:ascii="Times New Roman" w:hAnsi="宋体" w:cs="宋体"/>
                <w:b/>
                <w:bCs/>
                <w:color w:val="auto"/>
                <w:highlight w:val="none"/>
                <w:lang w:val="en-US" w:eastAsia="zh-CN"/>
              </w:rPr>
            </w:pPr>
            <w:r>
              <w:rPr>
                <w:rFonts w:hint="eastAsia" w:ascii="Times New Roman" w:hAnsi="宋体" w:cs="宋体"/>
                <w:b/>
                <w:bCs/>
                <w:color w:val="auto"/>
                <w:highlight w:val="none"/>
                <w:lang w:val="en-US" w:eastAsia="zh-CN"/>
              </w:rPr>
              <w:t>1、</w:t>
            </w:r>
            <w:r>
              <w:rPr>
                <w:rFonts w:ascii="Times New Roman" w:hAnsi="宋体" w:cs="宋体"/>
                <w:b/>
                <w:bCs/>
                <w:color w:val="auto"/>
                <w:highlight w:val="none"/>
                <w:lang w:val="en-US" w:eastAsia="zh-CN"/>
              </w:rPr>
              <w:t>运营期声环境影响分析</w:t>
            </w:r>
          </w:p>
          <w:p w14:paraId="50296027">
            <w:pPr>
              <w:pageBreakBefore w:val="0"/>
              <w:widowControl w:val="0"/>
              <w:kinsoku/>
              <w:wordWrap/>
              <w:overflowPunct/>
              <w:topLinePunct w:val="0"/>
              <w:bidi w:val="0"/>
              <w:adjustRightInd w:val="0"/>
              <w:snapToGrid w:val="0"/>
              <w:spacing w:line="360" w:lineRule="auto"/>
              <w:ind w:left="0" w:leftChars="0" w:firstLine="480" w:firstLineChars="200"/>
              <w:textAlignment w:val="auto"/>
              <w:rPr>
                <w:rFonts w:ascii="Times New Roman" w:hAnsi="Times New Roman"/>
                <w:bCs/>
                <w:color w:val="auto"/>
                <w:sz w:val="24"/>
                <w:highlight w:val="none"/>
              </w:rPr>
            </w:pPr>
            <w:r>
              <w:rPr>
                <w:rFonts w:ascii="Times New Roman" w:hAnsi="宋体"/>
                <w:color w:val="auto"/>
                <w:sz w:val="24"/>
                <w:szCs w:val="24"/>
                <w:highlight w:val="none"/>
              </w:rPr>
              <w:t>本项目噪声污染源主要为各类设备运行噪声，项目采用减振、隔声</w:t>
            </w:r>
            <w:r>
              <w:rPr>
                <w:rFonts w:hint="eastAsia" w:ascii="Times New Roman" w:hAnsi="宋体"/>
                <w:color w:val="auto"/>
                <w:sz w:val="24"/>
                <w:szCs w:val="24"/>
                <w:highlight w:val="none"/>
              </w:rPr>
              <w:t>、消声</w:t>
            </w:r>
            <w:r>
              <w:rPr>
                <w:rFonts w:ascii="Times New Roman" w:hAnsi="宋体"/>
                <w:color w:val="auto"/>
                <w:sz w:val="24"/>
                <w:szCs w:val="24"/>
                <w:highlight w:val="none"/>
              </w:rPr>
              <w:t>措施后，能有效</w:t>
            </w:r>
            <w:r>
              <w:rPr>
                <w:rFonts w:hint="eastAsia" w:ascii="Times New Roman" w:hAnsi="宋体"/>
                <w:color w:val="auto"/>
                <w:sz w:val="24"/>
                <w:szCs w:val="24"/>
                <w:highlight w:val="none"/>
              </w:rPr>
              <w:t>减少</w:t>
            </w:r>
            <w:r>
              <w:rPr>
                <w:rFonts w:ascii="Times New Roman" w:hAnsi="宋体"/>
                <w:color w:val="auto"/>
                <w:sz w:val="24"/>
                <w:szCs w:val="24"/>
                <w:highlight w:val="none"/>
              </w:rPr>
              <w:t>噪声环境影响。具体设备噪声源强见下表：</w:t>
            </w:r>
          </w:p>
          <w:p w14:paraId="3D075DB2">
            <w:pPr>
              <w:spacing w:line="360" w:lineRule="auto"/>
              <w:jc w:val="center"/>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表</w:t>
            </w:r>
            <w:r>
              <w:rPr>
                <w:rFonts w:hint="eastAsia" w:ascii="Times New Roman" w:hAnsi="Times New Roman" w:eastAsia="黑体"/>
                <w:color w:val="auto"/>
                <w:sz w:val="24"/>
                <w:szCs w:val="24"/>
                <w:highlight w:val="none"/>
              </w:rPr>
              <w:t>4-</w:t>
            </w:r>
            <w:r>
              <w:rPr>
                <w:rFonts w:hint="eastAsia" w:ascii="Times New Roman" w:hAnsi="Times New Roman" w:eastAsia="黑体"/>
                <w:color w:val="auto"/>
                <w:sz w:val="24"/>
                <w:szCs w:val="24"/>
                <w:highlight w:val="none"/>
                <w:lang w:val="en-US" w:eastAsia="zh-CN"/>
              </w:rPr>
              <w:t>10</w:t>
            </w:r>
            <w:r>
              <w:rPr>
                <w:rFonts w:hint="eastAsia" w:ascii="Times New Roman" w:hAnsi="Times New Roman" w:eastAsia="黑体"/>
                <w:color w:val="auto"/>
                <w:sz w:val="24"/>
                <w:szCs w:val="24"/>
                <w:highlight w:val="none"/>
              </w:rPr>
              <w:t>工业企业噪声源强调查清单（室内声源）</w:t>
            </w:r>
          </w:p>
          <w:tbl>
            <w:tblPr>
              <w:tblStyle w:val="20"/>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531"/>
              <w:gridCol w:w="494"/>
              <w:gridCol w:w="426"/>
              <w:gridCol w:w="636"/>
              <w:gridCol w:w="426"/>
              <w:gridCol w:w="426"/>
              <w:gridCol w:w="479"/>
              <w:gridCol w:w="450"/>
              <w:gridCol w:w="823"/>
              <w:gridCol w:w="695"/>
              <w:gridCol w:w="765"/>
              <w:gridCol w:w="824"/>
              <w:gridCol w:w="487"/>
            </w:tblGrid>
            <w:tr w14:paraId="675D609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0" w:type="pct"/>
                  <w:vMerge w:val="restart"/>
                  <w:noWrap w:val="0"/>
                  <w:vAlign w:val="center"/>
                </w:tcPr>
                <w:p w14:paraId="5D969913">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序号</w:t>
                  </w:r>
                </w:p>
              </w:tc>
              <w:tc>
                <w:tcPr>
                  <w:tcW w:w="336" w:type="pct"/>
                  <w:vMerge w:val="restart"/>
                  <w:noWrap w:val="0"/>
                  <w:vAlign w:val="center"/>
                </w:tcPr>
                <w:p w14:paraId="7A09EE6B">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建筑物名称</w:t>
                  </w:r>
                </w:p>
              </w:tc>
              <w:tc>
                <w:tcPr>
                  <w:tcW w:w="313" w:type="pct"/>
                  <w:vMerge w:val="restart"/>
                  <w:noWrap w:val="0"/>
                  <w:vAlign w:val="center"/>
                </w:tcPr>
                <w:p w14:paraId="30487388">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声源名称</w:t>
                  </w:r>
                </w:p>
              </w:tc>
              <w:tc>
                <w:tcPr>
                  <w:tcW w:w="270" w:type="pct"/>
                  <w:vMerge w:val="restart"/>
                  <w:noWrap w:val="0"/>
                  <w:vAlign w:val="center"/>
                </w:tcPr>
                <w:p w14:paraId="39DAD7AA">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设备数量</w:t>
                  </w:r>
                </w:p>
              </w:tc>
              <w:tc>
                <w:tcPr>
                  <w:tcW w:w="403" w:type="pct"/>
                  <w:vMerge w:val="restart"/>
                  <w:noWrap w:val="0"/>
                  <w:vAlign w:val="center"/>
                </w:tcPr>
                <w:p w14:paraId="3E6BDD6D">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声源控制措施</w:t>
                  </w:r>
                </w:p>
              </w:tc>
              <w:tc>
                <w:tcPr>
                  <w:tcW w:w="843" w:type="pct"/>
                  <w:gridSpan w:val="3"/>
                  <w:noWrap w:val="0"/>
                  <w:vAlign w:val="center"/>
                </w:tcPr>
                <w:p w14:paraId="4B026F2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空间相对位置</w:t>
                  </w:r>
                  <w:r>
                    <w:rPr>
                      <w:rFonts w:ascii="Times New Roman" w:hAnsi="Times New Roman"/>
                      <w:b/>
                      <w:bCs/>
                      <w:color w:val="auto"/>
                      <w:kern w:val="0"/>
                      <w:szCs w:val="21"/>
                      <w:highlight w:val="none"/>
                    </w:rPr>
                    <w:t>/m</w:t>
                  </w:r>
                </w:p>
              </w:tc>
              <w:tc>
                <w:tcPr>
                  <w:tcW w:w="285" w:type="pct"/>
                  <w:vMerge w:val="restart"/>
                  <w:noWrap w:val="0"/>
                  <w:vAlign w:val="center"/>
                </w:tcPr>
                <w:p w14:paraId="565E35D7">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距室内边界距离</w:t>
                  </w:r>
                  <w:r>
                    <w:rPr>
                      <w:rFonts w:ascii="Times New Roman" w:hAnsi="Times New Roman"/>
                      <w:b/>
                      <w:bCs/>
                      <w:color w:val="auto"/>
                      <w:kern w:val="0"/>
                      <w:szCs w:val="21"/>
                      <w:highlight w:val="none"/>
                    </w:rPr>
                    <w:t>/m</w:t>
                  </w:r>
                </w:p>
              </w:tc>
              <w:tc>
                <w:tcPr>
                  <w:tcW w:w="521" w:type="pct"/>
                  <w:vMerge w:val="restart"/>
                  <w:noWrap w:val="0"/>
                  <w:vAlign w:val="center"/>
                </w:tcPr>
                <w:p w14:paraId="5E0D60D7">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室内边界声级</w:t>
                  </w:r>
                  <w:r>
                    <w:rPr>
                      <w:rFonts w:ascii="Times New Roman" w:hAnsi="Times New Roman"/>
                      <w:b/>
                      <w:bCs/>
                      <w:color w:val="auto"/>
                      <w:kern w:val="0"/>
                      <w:szCs w:val="21"/>
                      <w:highlight w:val="none"/>
                    </w:rPr>
                    <w:t>/dB(A)</w:t>
                  </w:r>
                </w:p>
              </w:tc>
              <w:tc>
                <w:tcPr>
                  <w:tcW w:w="440" w:type="pct"/>
                  <w:vMerge w:val="restart"/>
                  <w:noWrap w:val="0"/>
                  <w:vAlign w:val="center"/>
                </w:tcPr>
                <w:p w14:paraId="63AD0716">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运行时段</w:t>
                  </w:r>
                </w:p>
              </w:tc>
              <w:tc>
                <w:tcPr>
                  <w:tcW w:w="484" w:type="pct"/>
                  <w:vMerge w:val="restart"/>
                  <w:noWrap w:val="0"/>
                  <w:vAlign w:val="center"/>
                </w:tcPr>
                <w:p w14:paraId="63B51C2F">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建筑物插入损失</w:t>
                  </w:r>
                  <w:r>
                    <w:rPr>
                      <w:rFonts w:ascii="Times New Roman" w:hAnsi="Times New Roman"/>
                      <w:b/>
                      <w:bCs/>
                      <w:color w:val="auto"/>
                      <w:kern w:val="0"/>
                      <w:szCs w:val="21"/>
                      <w:highlight w:val="none"/>
                    </w:rPr>
                    <w:t>/dB(A)</w:t>
                  </w:r>
                </w:p>
              </w:tc>
              <w:tc>
                <w:tcPr>
                  <w:tcW w:w="829" w:type="pct"/>
                  <w:gridSpan w:val="2"/>
                  <w:noWrap w:val="0"/>
                  <w:vAlign w:val="center"/>
                </w:tcPr>
                <w:p w14:paraId="735C50E1">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建筑物外噪声</w:t>
                  </w:r>
                </w:p>
              </w:tc>
            </w:tr>
            <w:tr w14:paraId="52F316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0" w:type="pct"/>
                  <w:vMerge w:val="continue"/>
                  <w:noWrap w:val="0"/>
                  <w:vAlign w:val="center"/>
                </w:tcPr>
                <w:p w14:paraId="6A415CA7">
                  <w:pPr>
                    <w:widowControl/>
                    <w:adjustRightInd w:val="0"/>
                    <w:snapToGrid w:val="0"/>
                    <w:spacing w:line="276" w:lineRule="auto"/>
                    <w:ind w:firstLine="361"/>
                    <w:jc w:val="center"/>
                    <w:rPr>
                      <w:rFonts w:ascii="宋体" w:hAnsi="宋体" w:cs="宋体"/>
                      <w:b/>
                      <w:bCs/>
                      <w:color w:val="auto"/>
                      <w:szCs w:val="21"/>
                      <w:highlight w:val="none"/>
                    </w:rPr>
                  </w:pPr>
                </w:p>
              </w:tc>
              <w:tc>
                <w:tcPr>
                  <w:tcW w:w="336" w:type="pct"/>
                  <w:vMerge w:val="continue"/>
                  <w:noWrap w:val="0"/>
                  <w:vAlign w:val="center"/>
                </w:tcPr>
                <w:p w14:paraId="2F41F4BB">
                  <w:pPr>
                    <w:widowControl/>
                    <w:adjustRightInd w:val="0"/>
                    <w:snapToGrid w:val="0"/>
                    <w:spacing w:line="276" w:lineRule="auto"/>
                    <w:ind w:firstLine="361"/>
                    <w:jc w:val="center"/>
                    <w:rPr>
                      <w:rFonts w:ascii="宋体" w:hAnsi="宋体" w:cs="宋体"/>
                      <w:b/>
                      <w:bCs/>
                      <w:color w:val="auto"/>
                      <w:szCs w:val="21"/>
                      <w:highlight w:val="none"/>
                    </w:rPr>
                  </w:pPr>
                </w:p>
              </w:tc>
              <w:tc>
                <w:tcPr>
                  <w:tcW w:w="313" w:type="pct"/>
                  <w:vMerge w:val="continue"/>
                  <w:noWrap w:val="0"/>
                  <w:vAlign w:val="center"/>
                </w:tcPr>
                <w:p w14:paraId="456E6762">
                  <w:pPr>
                    <w:widowControl/>
                    <w:adjustRightInd w:val="0"/>
                    <w:snapToGrid w:val="0"/>
                    <w:spacing w:line="276" w:lineRule="auto"/>
                    <w:ind w:firstLine="361"/>
                    <w:jc w:val="center"/>
                    <w:rPr>
                      <w:rFonts w:ascii="宋体" w:hAnsi="宋体" w:cs="宋体"/>
                      <w:b/>
                      <w:bCs/>
                      <w:color w:val="auto"/>
                      <w:szCs w:val="21"/>
                      <w:highlight w:val="none"/>
                    </w:rPr>
                  </w:pPr>
                </w:p>
              </w:tc>
              <w:tc>
                <w:tcPr>
                  <w:tcW w:w="270" w:type="pct"/>
                  <w:vMerge w:val="continue"/>
                  <w:noWrap w:val="0"/>
                  <w:vAlign w:val="center"/>
                </w:tcPr>
                <w:p w14:paraId="67021CB0">
                  <w:pPr>
                    <w:widowControl/>
                    <w:adjustRightInd w:val="0"/>
                    <w:snapToGrid w:val="0"/>
                    <w:spacing w:line="276" w:lineRule="auto"/>
                    <w:ind w:firstLine="361"/>
                    <w:jc w:val="center"/>
                    <w:rPr>
                      <w:rFonts w:ascii="宋体" w:hAnsi="宋体" w:cs="宋体"/>
                      <w:b/>
                      <w:bCs/>
                      <w:color w:val="auto"/>
                      <w:szCs w:val="21"/>
                      <w:highlight w:val="none"/>
                    </w:rPr>
                  </w:pPr>
                </w:p>
              </w:tc>
              <w:tc>
                <w:tcPr>
                  <w:tcW w:w="403" w:type="pct"/>
                  <w:vMerge w:val="continue"/>
                  <w:noWrap w:val="0"/>
                  <w:vAlign w:val="center"/>
                </w:tcPr>
                <w:p w14:paraId="3912CAD8">
                  <w:pPr>
                    <w:widowControl/>
                    <w:adjustRightInd w:val="0"/>
                    <w:snapToGrid w:val="0"/>
                    <w:spacing w:line="276" w:lineRule="auto"/>
                    <w:ind w:firstLine="361"/>
                    <w:jc w:val="center"/>
                    <w:rPr>
                      <w:rFonts w:ascii="宋体" w:hAnsi="宋体" w:cs="宋体"/>
                      <w:b/>
                      <w:bCs/>
                      <w:color w:val="auto"/>
                      <w:szCs w:val="21"/>
                      <w:highlight w:val="none"/>
                    </w:rPr>
                  </w:pPr>
                </w:p>
              </w:tc>
              <w:tc>
                <w:tcPr>
                  <w:tcW w:w="270" w:type="pct"/>
                  <w:noWrap w:val="0"/>
                  <w:vAlign w:val="center"/>
                </w:tcPr>
                <w:p w14:paraId="152752C9">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X</w:t>
                  </w:r>
                </w:p>
              </w:tc>
              <w:tc>
                <w:tcPr>
                  <w:tcW w:w="270" w:type="pct"/>
                  <w:noWrap w:val="0"/>
                  <w:vAlign w:val="center"/>
                </w:tcPr>
                <w:p w14:paraId="7B390727">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Y</w:t>
                  </w:r>
                </w:p>
              </w:tc>
              <w:tc>
                <w:tcPr>
                  <w:tcW w:w="303" w:type="pct"/>
                  <w:noWrap w:val="0"/>
                  <w:vAlign w:val="center"/>
                </w:tcPr>
                <w:p w14:paraId="0B9BAA3E">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rPr>
                    <w:t>Z</w:t>
                  </w:r>
                </w:p>
              </w:tc>
              <w:tc>
                <w:tcPr>
                  <w:tcW w:w="285" w:type="pct"/>
                  <w:vMerge w:val="continue"/>
                  <w:noWrap w:val="0"/>
                  <w:vAlign w:val="center"/>
                </w:tcPr>
                <w:p w14:paraId="1CAF256B">
                  <w:pPr>
                    <w:widowControl/>
                    <w:adjustRightInd w:val="0"/>
                    <w:snapToGrid w:val="0"/>
                    <w:spacing w:line="276" w:lineRule="auto"/>
                    <w:ind w:firstLine="361"/>
                    <w:jc w:val="center"/>
                    <w:rPr>
                      <w:rFonts w:ascii="宋体" w:hAnsi="宋体" w:cs="宋体"/>
                      <w:b/>
                      <w:bCs/>
                      <w:color w:val="auto"/>
                      <w:szCs w:val="21"/>
                      <w:highlight w:val="none"/>
                    </w:rPr>
                  </w:pPr>
                </w:p>
              </w:tc>
              <w:tc>
                <w:tcPr>
                  <w:tcW w:w="521" w:type="pct"/>
                  <w:vMerge w:val="continue"/>
                  <w:noWrap w:val="0"/>
                  <w:vAlign w:val="center"/>
                </w:tcPr>
                <w:p w14:paraId="4043657C">
                  <w:pPr>
                    <w:widowControl/>
                    <w:adjustRightInd w:val="0"/>
                    <w:snapToGrid w:val="0"/>
                    <w:spacing w:line="276" w:lineRule="auto"/>
                    <w:ind w:firstLine="361"/>
                    <w:jc w:val="center"/>
                    <w:rPr>
                      <w:rFonts w:ascii="宋体" w:hAnsi="宋体" w:cs="宋体"/>
                      <w:b/>
                      <w:bCs/>
                      <w:color w:val="auto"/>
                      <w:szCs w:val="21"/>
                      <w:highlight w:val="none"/>
                    </w:rPr>
                  </w:pPr>
                </w:p>
              </w:tc>
              <w:tc>
                <w:tcPr>
                  <w:tcW w:w="440" w:type="pct"/>
                  <w:vMerge w:val="continue"/>
                  <w:noWrap w:val="0"/>
                  <w:vAlign w:val="center"/>
                </w:tcPr>
                <w:p w14:paraId="4A9F2F0C">
                  <w:pPr>
                    <w:widowControl/>
                    <w:adjustRightInd w:val="0"/>
                    <w:snapToGrid w:val="0"/>
                    <w:spacing w:line="276" w:lineRule="auto"/>
                    <w:ind w:firstLine="361"/>
                    <w:jc w:val="center"/>
                    <w:rPr>
                      <w:rFonts w:ascii="宋体" w:hAnsi="宋体" w:cs="宋体"/>
                      <w:b/>
                      <w:bCs/>
                      <w:color w:val="auto"/>
                      <w:szCs w:val="21"/>
                      <w:highlight w:val="none"/>
                    </w:rPr>
                  </w:pPr>
                </w:p>
              </w:tc>
              <w:tc>
                <w:tcPr>
                  <w:tcW w:w="484" w:type="pct"/>
                  <w:vMerge w:val="continue"/>
                  <w:noWrap w:val="0"/>
                  <w:vAlign w:val="center"/>
                </w:tcPr>
                <w:p w14:paraId="7231A3AF">
                  <w:pPr>
                    <w:widowControl/>
                    <w:adjustRightInd w:val="0"/>
                    <w:snapToGrid w:val="0"/>
                    <w:spacing w:line="276" w:lineRule="auto"/>
                    <w:ind w:firstLine="361"/>
                    <w:jc w:val="center"/>
                    <w:rPr>
                      <w:rFonts w:ascii="宋体" w:hAnsi="宋体" w:cs="宋体"/>
                      <w:b/>
                      <w:bCs/>
                      <w:color w:val="auto"/>
                      <w:szCs w:val="21"/>
                      <w:highlight w:val="none"/>
                    </w:rPr>
                  </w:pPr>
                </w:p>
              </w:tc>
              <w:tc>
                <w:tcPr>
                  <w:tcW w:w="521" w:type="pct"/>
                  <w:noWrap w:val="0"/>
                  <w:vAlign w:val="center"/>
                </w:tcPr>
                <w:p w14:paraId="203EC1E4">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声压级</w:t>
                  </w:r>
                  <w:r>
                    <w:rPr>
                      <w:rFonts w:ascii="Times New Roman" w:hAnsi="Times New Roman"/>
                      <w:b/>
                      <w:bCs/>
                      <w:color w:val="auto"/>
                      <w:kern w:val="0"/>
                      <w:szCs w:val="21"/>
                      <w:highlight w:val="none"/>
                    </w:rPr>
                    <w:t>/dB(A)</w:t>
                  </w:r>
                </w:p>
              </w:tc>
              <w:tc>
                <w:tcPr>
                  <w:tcW w:w="307" w:type="pct"/>
                  <w:noWrap w:val="0"/>
                  <w:vAlign w:val="center"/>
                </w:tcPr>
                <w:p w14:paraId="51132472">
                  <w:pPr>
                    <w:widowControl/>
                    <w:adjustRightInd w:val="0"/>
                    <w:snapToGrid w:val="0"/>
                    <w:spacing w:line="276" w:lineRule="auto"/>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建筑物外距离</w:t>
                  </w:r>
                </w:p>
              </w:tc>
            </w:tr>
            <w:tr w14:paraId="59DAAB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0" w:type="pct"/>
                  <w:noWrap w:val="0"/>
                  <w:vAlign w:val="center"/>
                </w:tcPr>
                <w:p w14:paraId="446AE374">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1</w:t>
                  </w:r>
                </w:p>
              </w:tc>
              <w:tc>
                <w:tcPr>
                  <w:tcW w:w="336" w:type="pct"/>
                  <w:vMerge w:val="restart"/>
                  <w:noWrap w:val="0"/>
                  <w:vAlign w:val="center"/>
                </w:tcPr>
                <w:p w14:paraId="4DD25053">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lang w:val="en-US" w:eastAsia="zh-CN"/>
                    </w:rPr>
                    <w:t>11</w:t>
                  </w:r>
                  <w:r>
                    <w:rPr>
                      <w:rFonts w:ascii="Times New Roman" w:hAnsi="Times New Roman"/>
                      <w:color w:val="auto"/>
                      <w:kern w:val="0"/>
                      <w:szCs w:val="21"/>
                      <w:highlight w:val="none"/>
                    </w:rPr>
                    <w:t>#</w:t>
                  </w:r>
                  <w:r>
                    <w:rPr>
                      <w:rFonts w:hint="eastAsia" w:ascii="宋体" w:hAnsi="宋体" w:cs="宋体"/>
                      <w:color w:val="auto"/>
                      <w:kern w:val="0"/>
                      <w:szCs w:val="21"/>
                      <w:highlight w:val="none"/>
                    </w:rPr>
                    <w:t>厂房</w:t>
                  </w:r>
                </w:p>
              </w:tc>
              <w:tc>
                <w:tcPr>
                  <w:tcW w:w="313" w:type="pct"/>
                  <w:noWrap w:val="0"/>
                  <w:vAlign w:val="center"/>
                </w:tcPr>
                <w:p w14:paraId="43F3BCED">
                  <w:pPr>
                    <w:widowControl/>
                    <w:adjustRightInd w:val="0"/>
                    <w:snapToGrid w:val="0"/>
                    <w:spacing w:line="276"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kern w:val="0"/>
                      <w:szCs w:val="21"/>
                      <w:highlight w:val="none"/>
                      <w:lang w:val="en-US" w:eastAsia="zh-CN"/>
                    </w:rPr>
                    <w:t>磨边机</w:t>
                  </w:r>
                </w:p>
              </w:tc>
              <w:tc>
                <w:tcPr>
                  <w:tcW w:w="270" w:type="pct"/>
                  <w:noWrap w:val="0"/>
                  <w:vAlign w:val="center"/>
                </w:tcPr>
                <w:p w14:paraId="53486994">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2</w:t>
                  </w:r>
                </w:p>
              </w:tc>
              <w:tc>
                <w:tcPr>
                  <w:tcW w:w="403" w:type="pct"/>
                  <w:vMerge w:val="restart"/>
                  <w:noWrap w:val="0"/>
                  <w:vAlign w:val="center"/>
                </w:tcPr>
                <w:p w14:paraId="6CDAA617">
                  <w:pPr>
                    <w:widowControl/>
                    <w:adjustRightInd w:val="0"/>
                    <w:snapToGrid w:val="0"/>
                    <w:spacing w:line="276" w:lineRule="auto"/>
                    <w:jc w:val="center"/>
                    <w:rPr>
                      <w:rFonts w:ascii="Times New Roman" w:hAnsi="Times New Roman"/>
                      <w:color w:val="auto"/>
                      <w:szCs w:val="21"/>
                      <w:highlight w:val="none"/>
                    </w:rPr>
                  </w:pPr>
                  <w:r>
                    <w:rPr>
                      <w:rFonts w:hint="eastAsia" w:ascii="Times New Roman" w:hAnsi="Times New Roman"/>
                      <w:color w:val="auto"/>
                      <w:szCs w:val="21"/>
                      <w:highlight w:val="none"/>
                    </w:rPr>
                    <w:t>厂房隔声，设备减震</w:t>
                  </w:r>
                </w:p>
              </w:tc>
              <w:tc>
                <w:tcPr>
                  <w:tcW w:w="270" w:type="pct"/>
                  <w:noWrap w:val="0"/>
                  <w:vAlign w:val="center"/>
                </w:tcPr>
                <w:p w14:paraId="2EB97AB4">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rPr>
                    <w:t>40</w:t>
                  </w:r>
                </w:p>
              </w:tc>
              <w:tc>
                <w:tcPr>
                  <w:tcW w:w="270" w:type="pct"/>
                  <w:noWrap w:val="0"/>
                  <w:vAlign w:val="center"/>
                </w:tcPr>
                <w:p w14:paraId="515EB1DE">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17</w:t>
                  </w:r>
                </w:p>
              </w:tc>
              <w:tc>
                <w:tcPr>
                  <w:tcW w:w="303" w:type="pct"/>
                  <w:noWrap w:val="0"/>
                  <w:vAlign w:val="center"/>
                </w:tcPr>
                <w:p w14:paraId="0624C9A5">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1</w:t>
                  </w:r>
                </w:p>
              </w:tc>
              <w:tc>
                <w:tcPr>
                  <w:tcW w:w="285" w:type="pct"/>
                  <w:noWrap w:val="0"/>
                  <w:vAlign w:val="center"/>
                </w:tcPr>
                <w:p w14:paraId="01ACCA58">
                  <w:pPr>
                    <w:widowControl/>
                    <w:adjustRightInd w:val="0"/>
                    <w:snapToGrid w:val="0"/>
                    <w:spacing w:line="276" w:lineRule="auto"/>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kern w:val="0"/>
                      <w:szCs w:val="21"/>
                      <w:highlight w:val="none"/>
                      <w:lang w:val="en-US" w:eastAsia="zh-CN"/>
                    </w:rPr>
                    <w:t>3</w:t>
                  </w:r>
                </w:p>
              </w:tc>
              <w:tc>
                <w:tcPr>
                  <w:tcW w:w="521" w:type="pct"/>
                  <w:noWrap/>
                  <w:vAlign w:val="center"/>
                </w:tcPr>
                <w:p w14:paraId="3FBC6352">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85.5</w:t>
                  </w:r>
                </w:p>
              </w:tc>
              <w:tc>
                <w:tcPr>
                  <w:tcW w:w="440" w:type="pct"/>
                  <w:vMerge w:val="restart"/>
                  <w:noWrap/>
                  <w:vAlign w:val="center"/>
                </w:tcPr>
                <w:p w14:paraId="1A873A7C">
                  <w:pPr>
                    <w:widowControl/>
                    <w:adjustRightInd w:val="0"/>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昼/夜</w:t>
                  </w:r>
                </w:p>
              </w:tc>
              <w:tc>
                <w:tcPr>
                  <w:tcW w:w="484" w:type="pct"/>
                  <w:vMerge w:val="restart"/>
                  <w:noWrap/>
                  <w:vAlign w:val="center"/>
                </w:tcPr>
                <w:p w14:paraId="0FBC7863">
                  <w:pPr>
                    <w:widowControl/>
                    <w:adjustRightInd w:val="0"/>
                    <w:snapToGrid w:val="0"/>
                    <w:spacing w:line="276" w:lineRule="auto"/>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2</w:t>
                  </w:r>
                  <w:r>
                    <w:rPr>
                      <w:rFonts w:hint="eastAsia" w:ascii="Times New Roman" w:hAnsi="Times New Roman"/>
                      <w:color w:val="auto"/>
                      <w:szCs w:val="21"/>
                      <w:highlight w:val="none"/>
                      <w:lang w:val="en-US" w:eastAsia="zh-CN"/>
                    </w:rPr>
                    <w:t>5</w:t>
                  </w:r>
                </w:p>
              </w:tc>
              <w:tc>
                <w:tcPr>
                  <w:tcW w:w="521" w:type="pct"/>
                  <w:noWrap/>
                  <w:vAlign w:val="center"/>
                </w:tcPr>
                <w:p w14:paraId="79F1A5BB">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60</w:t>
                  </w:r>
                  <w:r>
                    <w:rPr>
                      <w:rFonts w:ascii="Times New Roman" w:hAnsi="Times New Roman"/>
                      <w:color w:val="auto"/>
                      <w:kern w:val="0"/>
                      <w:szCs w:val="21"/>
                      <w:highlight w:val="none"/>
                    </w:rPr>
                    <w:t>.5</w:t>
                  </w:r>
                </w:p>
              </w:tc>
              <w:tc>
                <w:tcPr>
                  <w:tcW w:w="307" w:type="pct"/>
                  <w:vMerge w:val="restart"/>
                  <w:noWrap/>
                  <w:vAlign w:val="center"/>
                </w:tcPr>
                <w:p w14:paraId="1F8AE82E">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1m</w:t>
                  </w:r>
                </w:p>
              </w:tc>
            </w:tr>
            <w:tr w14:paraId="63352A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0" w:type="pct"/>
                  <w:noWrap w:val="0"/>
                  <w:vAlign w:val="center"/>
                </w:tcPr>
                <w:p w14:paraId="4856F74B">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2</w:t>
                  </w:r>
                </w:p>
              </w:tc>
              <w:tc>
                <w:tcPr>
                  <w:tcW w:w="336" w:type="pct"/>
                  <w:vMerge w:val="continue"/>
                  <w:noWrap w:val="0"/>
                  <w:vAlign w:val="center"/>
                </w:tcPr>
                <w:p w14:paraId="322DA1D5">
                  <w:pPr>
                    <w:widowControl/>
                    <w:adjustRightInd w:val="0"/>
                    <w:snapToGrid w:val="0"/>
                    <w:spacing w:line="276" w:lineRule="auto"/>
                    <w:ind w:firstLine="360"/>
                    <w:jc w:val="center"/>
                    <w:rPr>
                      <w:rFonts w:ascii="Times New Roman" w:hAnsi="Times New Roman"/>
                      <w:color w:val="auto"/>
                      <w:szCs w:val="21"/>
                      <w:highlight w:val="none"/>
                    </w:rPr>
                  </w:pPr>
                </w:p>
              </w:tc>
              <w:tc>
                <w:tcPr>
                  <w:tcW w:w="313" w:type="pct"/>
                  <w:noWrap w:val="0"/>
                  <w:vAlign w:val="center"/>
                </w:tcPr>
                <w:p w14:paraId="71D9B97E">
                  <w:pPr>
                    <w:widowControl/>
                    <w:adjustRightInd w:val="0"/>
                    <w:snapToGrid w:val="0"/>
                    <w:spacing w:line="276"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打孔机</w:t>
                  </w:r>
                </w:p>
              </w:tc>
              <w:tc>
                <w:tcPr>
                  <w:tcW w:w="270" w:type="pct"/>
                  <w:noWrap w:val="0"/>
                  <w:vAlign w:val="center"/>
                </w:tcPr>
                <w:p w14:paraId="05BA7F65">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2</w:t>
                  </w:r>
                </w:p>
              </w:tc>
              <w:tc>
                <w:tcPr>
                  <w:tcW w:w="403" w:type="pct"/>
                  <w:vMerge w:val="continue"/>
                  <w:noWrap w:val="0"/>
                  <w:vAlign w:val="center"/>
                </w:tcPr>
                <w:p w14:paraId="51E0474D">
                  <w:pPr>
                    <w:widowControl/>
                    <w:adjustRightInd w:val="0"/>
                    <w:snapToGrid w:val="0"/>
                    <w:spacing w:line="276" w:lineRule="auto"/>
                    <w:ind w:firstLine="360"/>
                    <w:jc w:val="center"/>
                    <w:rPr>
                      <w:rFonts w:ascii="Times New Roman" w:hAnsi="Times New Roman"/>
                      <w:color w:val="auto"/>
                      <w:szCs w:val="21"/>
                      <w:highlight w:val="none"/>
                    </w:rPr>
                  </w:pPr>
                </w:p>
              </w:tc>
              <w:tc>
                <w:tcPr>
                  <w:tcW w:w="270" w:type="pct"/>
                  <w:noWrap w:val="0"/>
                  <w:vAlign w:val="center"/>
                </w:tcPr>
                <w:p w14:paraId="49BD670D">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rPr>
                    <w:t>42</w:t>
                  </w:r>
                </w:p>
              </w:tc>
              <w:tc>
                <w:tcPr>
                  <w:tcW w:w="270" w:type="pct"/>
                  <w:noWrap w:val="0"/>
                  <w:vAlign w:val="center"/>
                </w:tcPr>
                <w:p w14:paraId="62FD90A9">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27</w:t>
                  </w:r>
                </w:p>
              </w:tc>
              <w:tc>
                <w:tcPr>
                  <w:tcW w:w="303" w:type="pct"/>
                  <w:noWrap w:val="0"/>
                  <w:vAlign w:val="center"/>
                </w:tcPr>
                <w:p w14:paraId="1207587F">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1</w:t>
                  </w:r>
                </w:p>
              </w:tc>
              <w:tc>
                <w:tcPr>
                  <w:tcW w:w="285" w:type="pct"/>
                  <w:noWrap w:val="0"/>
                  <w:vAlign w:val="center"/>
                </w:tcPr>
                <w:p w14:paraId="29E2E7DE">
                  <w:pPr>
                    <w:widowControl/>
                    <w:adjustRightInd w:val="0"/>
                    <w:snapToGrid w:val="0"/>
                    <w:spacing w:line="276" w:lineRule="auto"/>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kern w:val="0"/>
                      <w:szCs w:val="21"/>
                      <w:highlight w:val="none"/>
                      <w:lang w:val="en-US" w:eastAsia="zh-CN"/>
                    </w:rPr>
                    <w:t>3</w:t>
                  </w:r>
                </w:p>
              </w:tc>
              <w:tc>
                <w:tcPr>
                  <w:tcW w:w="521" w:type="pct"/>
                  <w:noWrap/>
                  <w:vAlign w:val="center"/>
                </w:tcPr>
                <w:p w14:paraId="1EC799F8">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85.5</w:t>
                  </w:r>
                </w:p>
              </w:tc>
              <w:tc>
                <w:tcPr>
                  <w:tcW w:w="440" w:type="pct"/>
                  <w:vMerge w:val="continue"/>
                  <w:noWrap/>
                  <w:vAlign w:val="center"/>
                </w:tcPr>
                <w:p w14:paraId="51B4F1CC">
                  <w:pPr>
                    <w:widowControl/>
                    <w:adjustRightInd w:val="0"/>
                    <w:snapToGrid w:val="0"/>
                    <w:spacing w:line="276" w:lineRule="auto"/>
                    <w:ind w:firstLine="360"/>
                    <w:jc w:val="center"/>
                    <w:rPr>
                      <w:rFonts w:ascii="Times New Roman" w:hAnsi="Times New Roman"/>
                      <w:color w:val="auto"/>
                      <w:szCs w:val="21"/>
                      <w:highlight w:val="none"/>
                    </w:rPr>
                  </w:pPr>
                </w:p>
              </w:tc>
              <w:tc>
                <w:tcPr>
                  <w:tcW w:w="484" w:type="pct"/>
                  <w:vMerge w:val="continue"/>
                  <w:noWrap/>
                  <w:vAlign w:val="center"/>
                </w:tcPr>
                <w:p w14:paraId="48F7B551">
                  <w:pPr>
                    <w:widowControl/>
                    <w:adjustRightInd w:val="0"/>
                    <w:snapToGrid w:val="0"/>
                    <w:spacing w:line="276" w:lineRule="auto"/>
                    <w:ind w:firstLine="360"/>
                    <w:jc w:val="center"/>
                    <w:rPr>
                      <w:rFonts w:ascii="Times New Roman" w:hAnsi="Times New Roman"/>
                      <w:color w:val="auto"/>
                      <w:szCs w:val="21"/>
                      <w:highlight w:val="none"/>
                    </w:rPr>
                  </w:pPr>
                </w:p>
              </w:tc>
              <w:tc>
                <w:tcPr>
                  <w:tcW w:w="521" w:type="pct"/>
                  <w:noWrap/>
                  <w:vAlign w:val="center"/>
                </w:tcPr>
                <w:p w14:paraId="6BFABEDD">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60</w:t>
                  </w:r>
                  <w:r>
                    <w:rPr>
                      <w:rFonts w:ascii="Times New Roman" w:hAnsi="Times New Roman"/>
                      <w:color w:val="auto"/>
                      <w:kern w:val="0"/>
                      <w:szCs w:val="21"/>
                      <w:highlight w:val="none"/>
                    </w:rPr>
                    <w:t>.5</w:t>
                  </w:r>
                </w:p>
              </w:tc>
              <w:tc>
                <w:tcPr>
                  <w:tcW w:w="307" w:type="pct"/>
                  <w:vMerge w:val="continue"/>
                  <w:noWrap/>
                  <w:vAlign w:val="center"/>
                </w:tcPr>
                <w:p w14:paraId="3CA98B96">
                  <w:pPr>
                    <w:widowControl/>
                    <w:adjustRightInd w:val="0"/>
                    <w:snapToGrid w:val="0"/>
                    <w:spacing w:line="276" w:lineRule="auto"/>
                    <w:ind w:firstLine="360"/>
                    <w:jc w:val="center"/>
                    <w:rPr>
                      <w:rFonts w:ascii="Times New Roman" w:hAnsi="Times New Roman"/>
                      <w:color w:val="auto"/>
                      <w:szCs w:val="21"/>
                      <w:highlight w:val="none"/>
                    </w:rPr>
                  </w:pPr>
                </w:p>
              </w:tc>
            </w:tr>
            <w:tr w14:paraId="708533F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0" w:type="pct"/>
                  <w:noWrap w:val="0"/>
                  <w:vAlign w:val="center"/>
                </w:tcPr>
                <w:p w14:paraId="105A7FB2">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3</w:t>
                  </w:r>
                </w:p>
              </w:tc>
              <w:tc>
                <w:tcPr>
                  <w:tcW w:w="336" w:type="pct"/>
                  <w:vMerge w:val="continue"/>
                  <w:noWrap w:val="0"/>
                  <w:vAlign w:val="center"/>
                </w:tcPr>
                <w:p w14:paraId="084187DE">
                  <w:pPr>
                    <w:widowControl/>
                    <w:adjustRightInd w:val="0"/>
                    <w:snapToGrid w:val="0"/>
                    <w:spacing w:line="276" w:lineRule="auto"/>
                    <w:ind w:firstLine="360"/>
                    <w:jc w:val="center"/>
                    <w:rPr>
                      <w:rFonts w:ascii="Times New Roman" w:hAnsi="Times New Roman"/>
                      <w:color w:val="auto"/>
                      <w:szCs w:val="21"/>
                      <w:highlight w:val="none"/>
                    </w:rPr>
                  </w:pPr>
                </w:p>
              </w:tc>
              <w:tc>
                <w:tcPr>
                  <w:tcW w:w="313" w:type="pct"/>
                  <w:noWrap w:val="0"/>
                  <w:vAlign w:val="center"/>
                </w:tcPr>
                <w:p w14:paraId="00FDCCE7">
                  <w:pPr>
                    <w:widowControl/>
                    <w:adjustRightInd w:val="0"/>
                    <w:snapToGrid w:val="0"/>
                    <w:spacing w:line="276" w:lineRule="auto"/>
                    <w:jc w:val="center"/>
                    <w:textAlignment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倒角机</w:t>
                  </w:r>
                </w:p>
              </w:tc>
              <w:tc>
                <w:tcPr>
                  <w:tcW w:w="270" w:type="pct"/>
                  <w:noWrap w:val="0"/>
                  <w:vAlign w:val="center"/>
                </w:tcPr>
                <w:p w14:paraId="794A00C3">
                  <w:pPr>
                    <w:widowControl/>
                    <w:adjustRightInd w:val="0"/>
                    <w:snapToGrid w:val="0"/>
                    <w:spacing w:line="276" w:lineRule="auto"/>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kern w:val="0"/>
                      <w:szCs w:val="21"/>
                      <w:highlight w:val="none"/>
                      <w:lang w:val="en-US" w:eastAsia="zh-CN"/>
                    </w:rPr>
                    <w:t>2</w:t>
                  </w:r>
                </w:p>
              </w:tc>
              <w:tc>
                <w:tcPr>
                  <w:tcW w:w="403" w:type="pct"/>
                  <w:vMerge w:val="continue"/>
                  <w:noWrap w:val="0"/>
                  <w:vAlign w:val="center"/>
                </w:tcPr>
                <w:p w14:paraId="105C5A28">
                  <w:pPr>
                    <w:widowControl/>
                    <w:adjustRightInd w:val="0"/>
                    <w:snapToGrid w:val="0"/>
                    <w:spacing w:line="276" w:lineRule="auto"/>
                    <w:ind w:firstLine="360"/>
                    <w:jc w:val="center"/>
                    <w:rPr>
                      <w:rFonts w:ascii="Times New Roman" w:hAnsi="Times New Roman"/>
                      <w:color w:val="auto"/>
                      <w:szCs w:val="21"/>
                      <w:highlight w:val="none"/>
                    </w:rPr>
                  </w:pPr>
                </w:p>
              </w:tc>
              <w:tc>
                <w:tcPr>
                  <w:tcW w:w="270" w:type="pct"/>
                  <w:noWrap w:val="0"/>
                  <w:vAlign w:val="center"/>
                </w:tcPr>
                <w:p w14:paraId="732429F6">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rPr>
                    <w:t>45</w:t>
                  </w:r>
                </w:p>
              </w:tc>
              <w:tc>
                <w:tcPr>
                  <w:tcW w:w="270" w:type="pct"/>
                  <w:noWrap w:val="0"/>
                  <w:vAlign w:val="center"/>
                </w:tcPr>
                <w:p w14:paraId="5E5A7A21">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32</w:t>
                  </w:r>
                </w:p>
              </w:tc>
              <w:tc>
                <w:tcPr>
                  <w:tcW w:w="303" w:type="pct"/>
                  <w:noWrap w:val="0"/>
                  <w:vAlign w:val="center"/>
                </w:tcPr>
                <w:p w14:paraId="683D7FBA">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kern w:val="0"/>
                      <w:szCs w:val="21"/>
                      <w:highlight w:val="none"/>
                    </w:rPr>
                    <w:t>0.5</w:t>
                  </w:r>
                </w:p>
              </w:tc>
              <w:tc>
                <w:tcPr>
                  <w:tcW w:w="285" w:type="pct"/>
                  <w:noWrap w:val="0"/>
                  <w:vAlign w:val="center"/>
                </w:tcPr>
                <w:p w14:paraId="79C92E8B">
                  <w:pPr>
                    <w:widowControl/>
                    <w:adjustRightInd w:val="0"/>
                    <w:snapToGrid w:val="0"/>
                    <w:spacing w:line="276"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7</w:t>
                  </w:r>
                </w:p>
              </w:tc>
              <w:tc>
                <w:tcPr>
                  <w:tcW w:w="521" w:type="pct"/>
                  <w:noWrap/>
                  <w:vAlign w:val="center"/>
                </w:tcPr>
                <w:p w14:paraId="4D7C5D73">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76.0</w:t>
                  </w:r>
                </w:p>
              </w:tc>
              <w:tc>
                <w:tcPr>
                  <w:tcW w:w="440" w:type="pct"/>
                  <w:vMerge w:val="continue"/>
                  <w:noWrap/>
                  <w:vAlign w:val="center"/>
                </w:tcPr>
                <w:p w14:paraId="58BBDA68">
                  <w:pPr>
                    <w:widowControl/>
                    <w:adjustRightInd w:val="0"/>
                    <w:snapToGrid w:val="0"/>
                    <w:spacing w:line="276" w:lineRule="auto"/>
                    <w:ind w:firstLine="360"/>
                    <w:jc w:val="center"/>
                    <w:rPr>
                      <w:rFonts w:ascii="Times New Roman" w:hAnsi="Times New Roman"/>
                      <w:color w:val="auto"/>
                      <w:szCs w:val="21"/>
                      <w:highlight w:val="none"/>
                    </w:rPr>
                  </w:pPr>
                </w:p>
              </w:tc>
              <w:tc>
                <w:tcPr>
                  <w:tcW w:w="484" w:type="pct"/>
                  <w:vMerge w:val="continue"/>
                  <w:noWrap/>
                  <w:vAlign w:val="center"/>
                </w:tcPr>
                <w:p w14:paraId="2BD08F9C">
                  <w:pPr>
                    <w:widowControl/>
                    <w:adjustRightInd w:val="0"/>
                    <w:snapToGrid w:val="0"/>
                    <w:spacing w:line="276" w:lineRule="auto"/>
                    <w:ind w:firstLine="360"/>
                    <w:jc w:val="center"/>
                    <w:rPr>
                      <w:rFonts w:ascii="Times New Roman" w:hAnsi="Times New Roman"/>
                      <w:color w:val="auto"/>
                      <w:szCs w:val="21"/>
                      <w:highlight w:val="none"/>
                    </w:rPr>
                  </w:pPr>
                </w:p>
              </w:tc>
              <w:tc>
                <w:tcPr>
                  <w:tcW w:w="521" w:type="pct"/>
                  <w:noWrap/>
                  <w:vAlign w:val="center"/>
                </w:tcPr>
                <w:p w14:paraId="5E1427EA">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5</w:t>
                  </w:r>
                  <w:r>
                    <w:rPr>
                      <w:rFonts w:hint="eastAsia" w:ascii="Times New Roman" w:hAnsi="Times New Roman"/>
                      <w:color w:val="auto"/>
                      <w:kern w:val="0"/>
                      <w:szCs w:val="21"/>
                      <w:highlight w:val="none"/>
                      <w:lang w:val="en-US" w:eastAsia="zh-CN"/>
                    </w:rPr>
                    <w:t>1</w:t>
                  </w:r>
                  <w:r>
                    <w:rPr>
                      <w:rFonts w:ascii="Times New Roman" w:hAnsi="Times New Roman"/>
                      <w:color w:val="auto"/>
                      <w:kern w:val="0"/>
                      <w:szCs w:val="21"/>
                      <w:highlight w:val="none"/>
                    </w:rPr>
                    <w:t>.0</w:t>
                  </w:r>
                </w:p>
              </w:tc>
              <w:tc>
                <w:tcPr>
                  <w:tcW w:w="307" w:type="pct"/>
                  <w:vMerge w:val="continue"/>
                  <w:noWrap/>
                  <w:vAlign w:val="center"/>
                </w:tcPr>
                <w:p w14:paraId="5EC209F1">
                  <w:pPr>
                    <w:widowControl/>
                    <w:adjustRightInd w:val="0"/>
                    <w:snapToGrid w:val="0"/>
                    <w:spacing w:line="276" w:lineRule="auto"/>
                    <w:ind w:firstLine="360"/>
                    <w:jc w:val="center"/>
                    <w:rPr>
                      <w:rFonts w:ascii="Times New Roman" w:hAnsi="Times New Roman"/>
                      <w:color w:val="auto"/>
                      <w:szCs w:val="21"/>
                      <w:highlight w:val="none"/>
                    </w:rPr>
                  </w:pPr>
                </w:p>
              </w:tc>
            </w:tr>
            <w:tr w14:paraId="72FD3CD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0" w:type="pct"/>
                  <w:noWrap w:val="0"/>
                  <w:vAlign w:val="center"/>
                </w:tcPr>
                <w:p w14:paraId="30159DAE">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4</w:t>
                  </w:r>
                </w:p>
              </w:tc>
              <w:tc>
                <w:tcPr>
                  <w:tcW w:w="336" w:type="pct"/>
                  <w:vMerge w:val="continue"/>
                  <w:noWrap w:val="0"/>
                  <w:vAlign w:val="center"/>
                </w:tcPr>
                <w:p w14:paraId="0E653193">
                  <w:pPr>
                    <w:widowControl/>
                    <w:adjustRightInd w:val="0"/>
                    <w:snapToGrid w:val="0"/>
                    <w:spacing w:line="276" w:lineRule="auto"/>
                    <w:ind w:firstLine="360"/>
                    <w:jc w:val="center"/>
                    <w:rPr>
                      <w:rFonts w:ascii="Times New Roman" w:hAnsi="Times New Roman"/>
                      <w:color w:val="auto"/>
                      <w:szCs w:val="21"/>
                      <w:highlight w:val="none"/>
                    </w:rPr>
                  </w:pPr>
                </w:p>
              </w:tc>
              <w:tc>
                <w:tcPr>
                  <w:tcW w:w="313" w:type="pct"/>
                  <w:noWrap w:val="0"/>
                  <w:vAlign w:val="center"/>
                </w:tcPr>
                <w:p w14:paraId="13D3D8AF">
                  <w:pPr>
                    <w:widowControl/>
                    <w:adjustRightInd w:val="0"/>
                    <w:snapToGrid w:val="0"/>
                    <w:spacing w:line="276" w:lineRule="auto"/>
                    <w:jc w:val="center"/>
                    <w:textAlignment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钢化炉</w:t>
                  </w:r>
                </w:p>
              </w:tc>
              <w:tc>
                <w:tcPr>
                  <w:tcW w:w="270" w:type="pct"/>
                  <w:noWrap w:val="0"/>
                  <w:vAlign w:val="center"/>
                </w:tcPr>
                <w:p w14:paraId="0AC63533">
                  <w:pPr>
                    <w:widowControl/>
                    <w:adjustRightInd w:val="0"/>
                    <w:snapToGrid w:val="0"/>
                    <w:spacing w:line="276" w:lineRule="auto"/>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kern w:val="0"/>
                      <w:szCs w:val="21"/>
                      <w:highlight w:val="none"/>
                      <w:lang w:val="en-US" w:eastAsia="zh-CN"/>
                    </w:rPr>
                    <w:t>1</w:t>
                  </w:r>
                </w:p>
              </w:tc>
              <w:tc>
                <w:tcPr>
                  <w:tcW w:w="403" w:type="pct"/>
                  <w:vMerge w:val="continue"/>
                  <w:noWrap w:val="0"/>
                  <w:vAlign w:val="center"/>
                </w:tcPr>
                <w:p w14:paraId="2325E606">
                  <w:pPr>
                    <w:widowControl/>
                    <w:adjustRightInd w:val="0"/>
                    <w:snapToGrid w:val="0"/>
                    <w:spacing w:line="276" w:lineRule="auto"/>
                    <w:ind w:firstLine="360"/>
                    <w:jc w:val="center"/>
                    <w:rPr>
                      <w:rFonts w:ascii="Times New Roman" w:hAnsi="Times New Roman"/>
                      <w:color w:val="auto"/>
                      <w:szCs w:val="21"/>
                      <w:highlight w:val="none"/>
                    </w:rPr>
                  </w:pPr>
                </w:p>
              </w:tc>
              <w:tc>
                <w:tcPr>
                  <w:tcW w:w="270" w:type="pct"/>
                  <w:noWrap w:val="0"/>
                  <w:vAlign w:val="center"/>
                </w:tcPr>
                <w:p w14:paraId="7FC91CD5">
                  <w:pPr>
                    <w:widowControl/>
                    <w:adjustRightInd w:val="0"/>
                    <w:snapToGrid w:val="0"/>
                    <w:spacing w:line="276" w:lineRule="auto"/>
                    <w:jc w:val="center"/>
                    <w:textAlignment w:val="center"/>
                    <w:rPr>
                      <w:rFonts w:ascii="Times New Roman" w:hAnsi="Times New Roman"/>
                      <w:color w:val="auto"/>
                      <w:szCs w:val="21"/>
                      <w:highlight w:val="none"/>
                    </w:rPr>
                  </w:pPr>
                  <w:r>
                    <w:rPr>
                      <w:rFonts w:hint="eastAsia" w:ascii="Times New Roman" w:hAnsi="Times New Roman"/>
                      <w:color w:val="auto"/>
                      <w:szCs w:val="21"/>
                      <w:highlight w:val="none"/>
                    </w:rPr>
                    <w:t>37</w:t>
                  </w:r>
                </w:p>
              </w:tc>
              <w:tc>
                <w:tcPr>
                  <w:tcW w:w="270" w:type="pct"/>
                  <w:noWrap w:val="0"/>
                  <w:vAlign w:val="center"/>
                </w:tcPr>
                <w:p w14:paraId="5035047D">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29</w:t>
                  </w:r>
                </w:p>
              </w:tc>
              <w:tc>
                <w:tcPr>
                  <w:tcW w:w="303" w:type="pct"/>
                  <w:noWrap w:val="0"/>
                  <w:vAlign w:val="center"/>
                </w:tcPr>
                <w:p w14:paraId="40C41778">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1.5</w:t>
                  </w:r>
                </w:p>
              </w:tc>
              <w:tc>
                <w:tcPr>
                  <w:tcW w:w="285" w:type="pct"/>
                  <w:noWrap w:val="0"/>
                  <w:vAlign w:val="center"/>
                </w:tcPr>
                <w:p w14:paraId="6D8DB5F7">
                  <w:pPr>
                    <w:widowControl/>
                    <w:adjustRightInd w:val="0"/>
                    <w:snapToGrid w:val="0"/>
                    <w:spacing w:line="276" w:lineRule="auto"/>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kern w:val="0"/>
                      <w:szCs w:val="21"/>
                      <w:highlight w:val="none"/>
                      <w:lang w:val="en-US" w:eastAsia="zh-CN"/>
                    </w:rPr>
                    <w:t>3</w:t>
                  </w:r>
                </w:p>
              </w:tc>
              <w:tc>
                <w:tcPr>
                  <w:tcW w:w="521" w:type="pct"/>
                  <w:noWrap/>
                  <w:vAlign w:val="center"/>
                </w:tcPr>
                <w:p w14:paraId="0822659C">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kern w:val="0"/>
                      <w:szCs w:val="21"/>
                      <w:highlight w:val="none"/>
                    </w:rPr>
                    <w:t>85.5</w:t>
                  </w:r>
                </w:p>
              </w:tc>
              <w:tc>
                <w:tcPr>
                  <w:tcW w:w="440" w:type="pct"/>
                  <w:vMerge w:val="continue"/>
                  <w:noWrap/>
                  <w:vAlign w:val="center"/>
                </w:tcPr>
                <w:p w14:paraId="3DED56A9">
                  <w:pPr>
                    <w:widowControl/>
                    <w:adjustRightInd w:val="0"/>
                    <w:snapToGrid w:val="0"/>
                    <w:spacing w:line="276" w:lineRule="auto"/>
                    <w:ind w:firstLine="360"/>
                    <w:jc w:val="center"/>
                    <w:rPr>
                      <w:rFonts w:ascii="Times New Roman" w:hAnsi="Times New Roman"/>
                      <w:color w:val="auto"/>
                      <w:szCs w:val="21"/>
                      <w:highlight w:val="none"/>
                    </w:rPr>
                  </w:pPr>
                </w:p>
              </w:tc>
              <w:tc>
                <w:tcPr>
                  <w:tcW w:w="484" w:type="pct"/>
                  <w:vMerge w:val="continue"/>
                  <w:noWrap/>
                  <w:vAlign w:val="center"/>
                </w:tcPr>
                <w:p w14:paraId="54F54FAC">
                  <w:pPr>
                    <w:widowControl/>
                    <w:adjustRightInd w:val="0"/>
                    <w:snapToGrid w:val="0"/>
                    <w:spacing w:line="276" w:lineRule="auto"/>
                    <w:ind w:firstLine="360"/>
                    <w:jc w:val="center"/>
                    <w:rPr>
                      <w:rFonts w:ascii="Times New Roman" w:hAnsi="Times New Roman"/>
                      <w:color w:val="auto"/>
                      <w:szCs w:val="21"/>
                      <w:highlight w:val="none"/>
                    </w:rPr>
                  </w:pPr>
                </w:p>
              </w:tc>
              <w:tc>
                <w:tcPr>
                  <w:tcW w:w="521" w:type="pct"/>
                  <w:noWrap/>
                  <w:vAlign w:val="center"/>
                </w:tcPr>
                <w:p w14:paraId="324B72CD">
                  <w:pPr>
                    <w:widowControl/>
                    <w:adjustRightInd w:val="0"/>
                    <w:snapToGrid w:val="0"/>
                    <w:spacing w:line="276" w:lineRule="auto"/>
                    <w:jc w:val="center"/>
                    <w:textAlignment w:val="center"/>
                    <w:rPr>
                      <w:rFonts w:hint="default" w:ascii="Times New Roman" w:hAnsi="Times New Roman"/>
                      <w:color w:val="auto"/>
                      <w:szCs w:val="21"/>
                      <w:highlight w:val="none"/>
                      <w:lang w:val="en-US"/>
                    </w:rPr>
                  </w:pPr>
                  <w:r>
                    <w:rPr>
                      <w:rFonts w:hint="eastAsia" w:ascii="Times New Roman" w:hAnsi="Times New Roman"/>
                      <w:color w:val="auto"/>
                      <w:kern w:val="0"/>
                      <w:szCs w:val="21"/>
                      <w:highlight w:val="none"/>
                      <w:lang w:val="en-US" w:eastAsia="zh-CN"/>
                    </w:rPr>
                    <w:t>60.5</w:t>
                  </w:r>
                </w:p>
              </w:tc>
              <w:tc>
                <w:tcPr>
                  <w:tcW w:w="307" w:type="pct"/>
                  <w:vMerge w:val="continue"/>
                  <w:noWrap/>
                  <w:vAlign w:val="center"/>
                </w:tcPr>
                <w:p w14:paraId="35EAB243">
                  <w:pPr>
                    <w:widowControl/>
                    <w:adjustRightInd w:val="0"/>
                    <w:snapToGrid w:val="0"/>
                    <w:spacing w:line="276" w:lineRule="auto"/>
                    <w:ind w:firstLine="360"/>
                    <w:jc w:val="center"/>
                    <w:rPr>
                      <w:rFonts w:ascii="Times New Roman" w:hAnsi="Times New Roman"/>
                      <w:color w:val="auto"/>
                      <w:szCs w:val="21"/>
                      <w:highlight w:val="none"/>
                    </w:rPr>
                  </w:pPr>
                </w:p>
              </w:tc>
            </w:tr>
          </w:tbl>
          <w:p w14:paraId="55E2225C">
            <w:pPr>
              <w:pStyle w:val="48"/>
              <w:adjustRightInd/>
              <w:snapToGrid w:val="0"/>
              <w:spacing w:line="240" w:lineRule="auto"/>
              <w:ind w:firstLine="360" w:firstLineChars="200"/>
              <w:jc w:val="both"/>
              <w:rPr>
                <w:rFonts w:ascii="Times New Roman" w:eastAsia="黑体" w:cs="Times New Roman"/>
                <w:color w:val="auto"/>
                <w:sz w:val="18"/>
                <w:szCs w:val="18"/>
                <w:highlight w:val="none"/>
              </w:rPr>
            </w:pPr>
            <w:r>
              <w:rPr>
                <w:rFonts w:hint="eastAsia" w:ascii="Times New Roman" w:eastAsia="黑体" w:cs="Times New Roman"/>
                <w:color w:val="auto"/>
                <w:sz w:val="18"/>
                <w:szCs w:val="18"/>
                <w:highlight w:val="none"/>
              </w:rPr>
              <w:t>注：以厂区西南角为原点。</w:t>
            </w:r>
          </w:p>
          <w:p w14:paraId="0D34F857">
            <w:pPr>
              <w:spacing w:line="360" w:lineRule="auto"/>
              <w:ind w:firstLine="480" w:firstLineChars="200"/>
              <w:jc w:val="center"/>
              <w:outlineLvl w:val="4"/>
              <w:rPr>
                <w:rFonts w:ascii="Times New Roman" w:hAnsi="Times New Roman"/>
                <w:color w:val="auto"/>
                <w:sz w:val="18"/>
                <w:szCs w:val="18"/>
                <w:highlight w:val="none"/>
              </w:rPr>
            </w:pPr>
            <w:r>
              <w:rPr>
                <w:rFonts w:ascii="Times New Roman" w:hAnsi="Times New Roman" w:eastAsia="黑体"/>
                <w:color w:val="auto"/>
                <w:sz w:val="24"/>
                <w:szCs w:val="24"/>
                <w:highlight w:val="none"/>
              </w:rPr>
              <w:t>表4-</w:t>
            </w:r>
            <w:r>
              <w:rPr>
                <w:rFonts w:hint="eastAsia" w:ascii="Times New Roman" w:hAnsi="Times New Roman" w:eastAsia="黑体"/>
                <w:color w:val="auto"/>
                <w:sz w:val="24"/>
                <w:szCs w:val="24"/>
                <w:highlight w:val="none"/>
                <w:lang w:val="en-US" w:eastAsia="zh-CN"/>
              </w:rPr>
              <w:t>11</w:t>
            </w:r>
            <w:r>
              <w:rPr>
                <w:rFonts w:hint="eastAsia" w:ascii="Times New Roman" w:hAnsi="Times New Roman" w:eastAsia="黑体"/>
                <w:color w:val="auto"/>
                <w:sz w:val="24"/>
                <w:szCs w:val="24"/>
                <w:highlight w:val="none"/>
              </w:rPr>
              <w:t xml:space="preserve"> </w:t>
            </w:r>
            <w:r>
              <w:rPr>
                <w:rFonts w:ascii="Times New Roman" w:hAnsi="Times New Roman" w:eastAsia="黑体"/>
                <w:color w:val="auto"/>
                <w:sz w:val="24"/>
                <w:szCs w:val="24"/>
                <w:highlight w:val="none"/>
              </w:rPr>
              <w:t xml:space="preserve"> 本项目噪声源强调查清单（室外声源）</w:t>
            </w:r>
          </w:p>
          <w:tbl>
            <w:tblPr>
              <w:tblStyle w:val="20"/>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121"/>
              <w:gridCol w:w="1126"/>
              <w:gridCol w:w="1137"/>
              <w:gridCol w:w="1126"/>
              <w:gridCol w:w="1126"/>
              <w:gridCol w:w="1126"/>
            </w:tblGrid>
            <w:tr w14:paraId="735C64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restart"/>
                  <w:noWrap w:val="0"/>
                  <w:vAlign w:val="center"/>
                </w:tcPr>
                <w:p w14:paraId="059A2D61">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声源名称</w:t>
                  </w:r>
                </w:p>
              </w:tc>
              <w:tc>
                <w:tcPr>
                  <w:tcW w:w="2146" w:type="pct"/>
                  <w:gridSpan w:val="3"/>
                  <w:noWrap w:val="0"/>
                  <w:vAlign w:val="center"/>
                </w:tcPr>
                <w:p w14:paraId="69B08741">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空间相对位置/m</w:t>
                  </w:r>
                </w:p>
              </w:tc>
              <w:tc>
                <w:tcPr>
                  <w:tcW w:w="714" w:type="pct"/>
                  <w:noWrap w:val="0"/>
                  <w:vAlign w:val="center"/>
                </w:tcPr>
                <w:p w14:paraId="6B021DA7">
                  <w:pPr>
                    <w:widowControl/>
                    <w:adjustRightInd w:val="0"/>
                    <w:snapToGrid w:val="0"/>
                    <w:spacing w:line="276" w:lineRule="auto"/>
                    <w:jc w:val="center"/>
                    <w:textAlignment w:val="center"/>
                    <w:rPr>
                      <w:rFonts w:ascii="Times New Roman" w:hAnsi="Times New Roman"/>
                      <w:b/>
                      <w:bCs/>
                      <w:color w:val="auto"/>
                      <w:szCs w:val="21"/>
                      <w:highlight w:val="none"/>
                    </w:rPr>
                  </w:pPr>
                  <w:r>
                    <w:rPr>
                      <w:rFonts w:hint="eastAsia" w:ascii="Times New Roman" w:hAnsi="Times New Roman"/>
                      <w:b/>
                      <w:bCs/>
                      <w:color w:val="auto"/>
                      <w:szCs w:val="21"/>
                      <w:highlight w:val="none"/>
                    </w:rPr>
                    <w:t>声</w:t>
                  </w:r>
                  <w:r>
                    <w:rPr>
                      <w:rFonts w:ascii="Times New Roman" w:hAnsi="Times New Roman"/>
                      <w:b/>
                      <w:bCs/>
                      <w:color w:val="auto"/>
                      <w:szCs w:val="21"/>
                      <w:highlight w:val="none"/>
                    </w:rPr>
                    <w:t>源源强</w:t>
                  </w:r>
                </w:p>
              </w:tc>
              <w:tc>
                <w:tcPr>
                  <w:tcW w:w="714" w:type="pct"/>
                  <w:vMerge w:val="restart"/>
                  <w:noWrap w:val="0"/>
                  <w:vAlign w:val="center"/>
                </w:tcPr>
                <w:p w14:paraId="629D3D1E">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声源控制措施</w:t>
                  </w:r>
                </w:p>
              </w:tc>
              <w:tc>
                <w:tcPr>
                  <w:tcW w:w="714" w:type="pct"/>
                  <w:vMerge w:val="restart"/>
                  <w:noWrap w:val="0"/>
                  <w:vAlign w:val="center"/>
                </w:tcPr>
                <w:p w14:paraId="7F67755D">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运行时段</w:t>
                  </w:r>
                </w:p>
              </w:tc>
            </w:tr>
            <w:tr w14:paraId="5E880D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vMerge w:val="continue"/>
                  <w:noWrap w:val="0"/>
                  <w:vAlign w:val="center"/>
                </w:tcPr>
                <w:p w14:paraId="20ABF9DD">
                  <w:pPr>
                    <w:widowControl/>
                    <w:adjustRightInd w:val="0"/>
                    <w:snapToGrid w:val="0"/>
                    <w:spacing w:line="276" w:lineRule="auto"/>
                    <w:ind w:firstLine="361"/>
                    <w:jc w:val="center"/>
                    <w:textAlignment w:val="center"/>
                    <w:rPr>
                      <w:rFonts w:ascii="Times New Roman" w:hAnsi="Times New Roman"/>
                      <w:b/>
                      <w:bCs/>
                      <w:color w:val="auto"/>
                      <w:szCs w:val="21"/>
                      <w:highlight w:val="none"/>
                    </w:rPr>
                  </w:pPr>
                </w:p>
              </w:tc>
              <w:tc>
                <w:tcPr>
                  <w:tcW w:w="711" w:type="pct"/>
                  <w:noWrap w:val="0"/>
                  <w:vAlign w:val="center"/>
                </w:tcPr>
                <w:p w14:paraId="2D45465F">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X</w:t>
                  </w:r>
                </w:p>
              </w:tc>
              <w:tc>
                <w:tcPr>
                  <w:tcW w:w="714" w:type="pct"/>
                  <w:noWrap w:val="0"/>
                  <w:vAlign w:val="center"/>
                </w:tcPr>
                <w:p w14:paraId="0E8227F4">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Y</w:t>
                  </w:r>
                </w:p>
              </w:tc>
              <w:tc>
                <w:tcPr>
                  <w:tcW w:w="720" w:type="pct"/>
                  <w:noWrap w:val="0"/>
                  <w:vAlign w:val="center"/>
                </w:tcPr>
                <w:p w14:paraId="68B69F8E">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Z</w:t>
                  </w:r>
                </w:p>
              </w:tc>
              <w:tc>
                <w:tcPr>
                  <w:tcW w:w="714" w:type="pct"/>
                  <w:noWrap w:val="0"/>
                  <w:vAlign w:val="center"/>
                </w:tcPr>
                <w:p w14:paraId="30D57C6A">
                  <w:pPr>
                    <w:widowControl/>
                    <w:adjustRightInd w:val="0"/>
                    <w:snapToGrid w:val="0"/>
                    <w:spacing w:line="276" w:lineRule="auto"/>
                    <w:jc w:val="center"/>
                    <w:textAlignment w:val="center"/>
                    <w:rPr>
                      <w:rFonts w:ascii="Times New Roman" w:hAnsi="Times New Roman"/>
                      <w:b/>
                      <w:bCs/>
                      <w:color w:val="auto"/>
                      <w:szCs w:val="21"/>
                      <w:highlight w:val="none"/>
                    </w:rPr>
                  </w:pPr>
                  <w:r>
                    <w:rPr>
                      <w:rFonts w:ascii="Times New Roman" w:hAnsi="Times New Roman"/>
                      <w:b/>
                      <w:bCs/>
                      <w:color w:val="auto"/>
                      <w:szCs w:val="21"/>
                      <w:highlight w:val="none"/>
                    </w:rPr>
                    <w:t>声功率级/dB（A）</w:t>
                  </w:r>
                </w:p>
              </w:tc>
              <w:tc>
                <w:tcPr>
                  <w:tcW w:w="714" w:type="pct"/>
                  <w:vMerge w:val="continue"/>
                  <w:noWrap w:val="0"/>
                  <w:vAlign w:val="center"/>
                </w:tcPr>
                <w:p w14:paraId="425D92CA">
                  <w:pPr>
                    <w:widowControl/>
                    <w:adjustRightInd w:val="0"/>
                    <w:snapToGrid w:val="0"/>
                    <w:spacing w:line="276" w:lineRule="auto"/>
                    <w:ind w:firstLine="361"/>
                    <w:jc w:val="center"/>
                    <w:textAlignment w:val="center"/>
                    <w:rPr>
                      <w:rFonts w:ascii="Times New Roman" w:hAnsi="Times New Roman"/>
                      <w:b/>
                      <w:bCs/>
                      <w:color w:val="auto"/>
                      <w:szCs w:val="21"/>
                      <w:highlight w:val="none"/>
                    </w:rPr>
                  </w:pPr>
                </w:p>
              </w:tc>
              <w:tc>
                <w:tcPr>
                  <w:tcW w:w="714" w:type="pct"/>
                  <w:vMerge w:val="continue"/>
                  <w:noWrap w:val="0"/>
                  <w:vAlign w:val="center"/>
                </w:tcPr>
                <w:p w14:paraId="6BB84C0F">
                  <w:pPr>
                    <w:widowControl/>
                    <w:adjustRightInd w:val="0"/>
                    <w:snapToGrid w:val="0"/>
                    <w:spacing w:line="276" w:lineRule="auto"/>
                    <w:ind w:firstLine="361"/>
                    <w:jc w:val="center"/>
                    <w:textAlignment w:val="center"/>
                    <w:rPr>
                      <w:rFonts w:ascii="Times New Roman" w:hAnsi="Times New Roman"/>
                      <w:b/>
                      <w:bCs/>
                      <w:color w:val="auto"/>
                      <w:szCs w:val="21"/>
                      <w:highlight w:val="none"/>
                    </w:rPr>
                  </w:pPr>
                </w:p>
              </w:tc>
            </w:tr>
            <w:tr w14:paraId="683530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noWrap w:val="0"/>
                  <w:vAlign w:val="center"/>
                </w:tcPr>
                <w:p w14:paraId="4AFDF89B">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szCs w:val="21"/>
                      <w:highlight w:val="none"/>
                    </w:rPr>
                    <w:t>风机</w:t>
                  </w:r>
                </w:p>
              </w:tc>
              <w:tc>
                <w:tcPr>
                  <w:tcW w:w="711" w:type="pct"/>
                  <w:noWrap w:val="0"/>
                  <w:vAlign w:val="center"/>
                </w:tcPr>
                <w:p w14:paraId="597FBCC2">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50</w:t>
                  </w:r>
                </w:p>
              </w:tc>
              <w:tc>
                <w:tcPr>
                  <w:tcW w:w="714" w:type="pct"/>
                  <w:noWrap w:val="0"/>
                  <w:vAlign w:val="center"/>
                </w:tcPr>
                <w:p w14:paraId="367B66BC">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35</w:t>
                  </w:r>
                </w:p>
              </w:tc>
              <w:tc>
                <w:tcPr>
                  <w:tcW w:w="720" w:type="pct"/>
                  <w:noWrap w:val="0"/>
                  <w:vAlign w:val="center"/>
                </w:tcPr>
                <w:p w14:paraId="5BAD940A">
                  <w:pPr>
                    <w:widowControl/>
                    <w:adjustRightInd w:val="0"/>
                    <w:snapToGrid w:val="0"/>
                    <w:spacing w:line="276" w:lineRule="auto"/>
                    <w:jc w:val="center"/>
                    <w:textAlignment w:val="center"/>
                    <w:rPr>
                      <w:rFonts w:ascii="Times New Roman" w:hAnsi="Times New Roman"/>
                      <w:color w:val="auto"/>
                      <w:kern w:val="0"/>
                      <w:szCs w:val="21"/>
                      <w:highlight w:val="none"/>
                    </w:rPr>
                  </w:pPr>
                  <w:r>
                    <w:rPr>
                      <w:rFonts w:ascii="Times New Roman" w:hAnsi="Times New Roman"/>
                      <w:color w:val="auto"/>
                      <w:kern w:val="0"/>
                      <w:szCs w:val="21"/>
                      <w:highlight w:val="none"/>
                    </w:rPr>
                    <w:t>1.5</w:t>
                  </w:r>
                </w:p>
              </w:tc>
              <w:tc>
                <w:tcPr>
                  <w:tcW w:w="714" w:type="pct"/>
                  <w:noWrap w:val="0"/>
                  <w:vAlign w:val="center"/>
                </w:tcPr>
                <w:p w14:paraId="46F547A3">
                  <w:pPr>
                    <w:widowControl/>
                    <w:adjustRightInd w:val="0"/>
                    <w:snapToGrid w:val="0"/>
                    <w:spacing w:line="276" w:lineRule="auto"/>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85</w:t>
                  </w:r>
                </w:p>
              </w:tc>
              <w:tc>
                <w:tcPr>
                  <w:tcW w:w="714" w:type="pct"/>
                  <w:vMerge w:val="restart"/>
                  <w:noWrap w:val="0"/>
                  <w:vAlign w:val="center"/>
                </w:tcPr>
                <w:p w14:paraId="5AF392B2">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szCs w:val="21"/>
                      <w:highlight w:val="none"/>
                    </w:rPr>
                    <w:t>减振基础及消声器</w:t>
                  </w:r>
                </w:p>
              </w:tc>
              <w:tc>
                <w:tcPr>
                  <w:tcW w:w="714" w:type="pct"/>
                  <w:noWrap w:val="0"/>
                  <w:vAlign w:val="center"/>
                </w:tcPr>
                <w:p w14:paraId="2080F665">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szCs w:val="21"/>
                      <w:highlight w:val="none"/>
                    </w:rPr>
                    <w:t>昼/夜</w:t>
                  </w:r>
                </w:p>
              </w:tc>
            </w:tr>
            <w:tr w14:paraId="0AF641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noWrap w:val="0"/>
                  <w:vAlign w:val="center"/>
                </w:tcPr>
                <w:p w14:paraId="24FF9954">
                  <w:pPr>
                    <w:widowControl/>
                    <w:adjustRightInd w:val="0"/>
                    <w:snapToGrid w:val="0"/>
                    <w:spacing w:line="276" w:lineRule="auto"/>
                    <w:jc w:val="center"/>
                    <w:textAlignment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泵</w:t>
                  </w:r>
                </w:p>
              </w:tc>
              <w:tc>
                <w:tcPr>
                  <w:tcW w:w="711" w:type="pct"/>
                  <w:noWrap w:val="0"/>
                  <w:vAlign w:val="center"/>
                </w:tcPr>
                <w:p w14:paraId="191CCEA9">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55</w:t>
                  </w:r>
                </w:p>
              </w:tc>
              <w:tc>
                <w:tcPr>
                  <w:tcW w:w="714" w:type="pct"/>
                  <w:noWrap w:val="0"/>
                  <w:vAlign w:val="center"/>
                </w:tcPr>
                <w:p w14:paraId="7C186396">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35</w:t>
                  </w:r>
                </w:p>
              </w:tc>
              <w:tc>
                <w:tcPr>
                  <w:tcW w:w="720" w:type="pct"/>
                  <w:noWrap w:val="0"/>
                  <w:vAlign w:val="center"/>
                </w:tcPr>
                <w:p w14:paraId="026DC1BF">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0</w:t>
                  </w:r>
                  <w:r>
                    <w:rPr>
                      <w:rFonts w:ascii="Times New Roman" w:hAnsi="Times New Roman"/>
                      <w:color w:val="auto"/>
                      <w:kern w:val="0"/>
                      <w:szCs w:val="21"/>
                      <w:highlight w:val="none"/>
                    </w:rPr>
                    <w:t>.5</w:t>
                  </w:r>
                </w:p>
              </w:tc>
              <w:tc>
                <w:tcPr>
                  <w:tcW w:w="714" w:type="pct"/>
                  <w:noWrap w:val="0"/>
                  <w:vAlign w:val="center"/>
                </w:tcPr>
                <w:p w14:paraId="3E9FF1F2">
                  <w:pPr>
                    <w:widowControl/>
                    <w:adjustRightInd w:val="0"/>
                    <w:snapToGrid w:val="0"/>
                    <w:spacing w:line="276" w:lineRule="auto"/>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80</w:t>
                  </w:r>
                </w:p>
              </w:tc>
              <w:tc>
                <w:tcPr>
                  <w:tcW w:w="714" w:type="pct"/>
                  <w:vMerge w:val="continue"/>
                  <w:noWrap w:val="0"/>
                  <w:vAlign w:val="center"/>
                </w:tcPr>
                <w:p w14:paraId="064011EA">
                  <w:pPr>
                    <w:widowControl/>
                    <w:adjustRightInd w:val="0"/>
                    <w:snapToGrid w:val="0"/>
                    <w:spacing w:line="276" w:lineRule="auto"/>
                    <w:ind w:firstLine="360"/>
                    <w:jc w:val="center"/>
                    <w:textAlignment w:val="center"/>
                    <w:rPr>
                      <w:rFonts w:ascii="Times New Roman" w:hAnsi="Times New Roman"/>
                      <w:color w:val="auto"/>
                      <w:szCs w:val="21"/>
                      <w:highlight w:val="none"/>
                    </w:rPr>
                  </w:pPr>
                </w:p>
              </w:tc>
              <w:tc>
                <w:tcPr>
                  <w:tcW w:w="714" w:type="pct"/>
                  <w:noWrap w:val="0"/>
                  <w:vAlign w:val="center"/>
                </w:tcPr>
                <w:p w14:paraId="5C6A6051">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szCs w:val="21"/>
                      <w:highlight w:val="none"/>
                    </w:rPr>
                    <w:t>昼/夜</w:t>
                  </w:r>
                </w:p>
              </w:tc>
            </w:tr>
            <w:tr w14:paraId="6A2D04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pct"/>
                  <w:noWrap w:val="0"/>
                  <w:vAlign w:val="center"/>
                </w:tcPr>
                <w:p w14:paraId="553F3A16">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szCs w:val="21"/>
                      <w:highlight w:val="none"/>
                    </w:rPr>
                    <w:t>泵</w:t>
                  </w:r>
                </w:p>
              </w:tc>
              <w:tc>
                <w:tcPr>
                  <w:tcW w:w="711" w:type="pct"/>
                  <w:noWrap w:val="0"/>
                  <w:vAlign w:val="center"/>
                </w:tcPr>
                <w:p w14:paraId="6057B4A8">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80</w:t>
                  </w:r>
                </w:p>
              </w:tc>
              <w:tc>
                <w:tcPr>
                  <w:tcW w:w="714" w:type="pct"/>
                  <w:noWrap w:val="0"/>
                  <w:vAlign w:val="center"/>
                </w:tcPr>
                <w:p w14:paraId="32080E82">
                  <w:pPr>
                    <w:widowControl/>
                    <w:adjustRightInd w:val="0"/>
                    <w:snapToGrid w:val="0"/>
                    <w:spacing w:line="276" w:lineRule="auto"/>
                    <w:jc w:val="center"/>
                    <w:textAlignment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27</w:t>
                  </w:r>
                </w:p>
              </w:tc>
              <w:tc>
                <w:tcPr>
                  <w:tcW w:w="720" w:type="pct"/>
                  <w:noWrap w:val="0"/>
                  <w:vAlign w:val="center"/>
                </w:tcPr>
                <w:p w14:paraId="52B2A1FA">
                  <w:pPr>
                    <w:widowControl/>
                    <w:adjustRightInd w:val="0"/>
                    <w:snapToGrid w:val="0"/>
                    <w:spacing w:line="276" w:lineRule="auto"/>
                    <w:jc w:val="center"/>
                    <w:textAlignment w:val="center"/>
                    <w:rPr>
                      <w:rFonts w:ascii="Times New Roman" w:hAnsi="Times New Roman"/>
                      <w:color w:val="auto"/>
                      <w:kern w:val="0"/>
                      <w:szCs w:val="21"/>
                      <w:highlight w:val="none"/>
                    </w:rPr>
                  </w:pPr>
                  <w:r>
                    <w:rPr>
                      <w:rFonts w:ascii="Times New Roman" w:hAnsi="Times New Roman"/>
                      <w:color w:val="auto"/>
                      <w:kern w:val="0"/>
                      <w:szCs w:val="21"/>
                      <w:highlight w:val="none"/>
                    </w:rPr>
                    <w:t>0.5</w:t>
                  </w:r>
                </w:p>
              </w:tc>
              <w:tc>
                <w:tcPr>
                  <w:tcW w:w="714" w:type="pct"/>
                  <w:noWrap w:val="0"/>
                  <w:vAlign w:val="center"/>
                </w:tcPr>
                <w:p w14:paraId="1A6B98DA">
                  <w:pPr>
                    <w:widowControl/>
                    <w:adjustRightInd w:val="0"/>
                    <w:snapToGrid w:val="0"/>
                    <w:spacing w:line="276" w:lineRule="auto"/>
                    <w:jc w:val="center"/>
                    <w:textAlignment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80</w:t>
                  </w:r>
                </w:p>
              </w:tc>
              <w:tc>
                <w:tcPr>
                  <w:tcW w:w="714" w:type="pct"/>
                  <w:vMerge w:val="continue"/>
                  <w:noWrap w:val="0"/>
                  <w:vAlign w:val="center"/>
                </w:tcPr>
                <w:p w14:paraId="073BBB08">
                  <w:pPr>
                    <w:widowControl/>
                    <w:adjustRightInd w:val="0"/>
                    <w:snapToGrid w:val="0"/>
                    <w:spacing w:line="276" w:lineRule="auto"/>
                    <w:ind w:firstLine="360"/>
                    <w:jc w:val="center"/>
                    <w:textAlignment w:val="center"/>
                    <w:rPr>
                      <w:rFonts w:ascii="Times New Roman" w:hAnsi="Times New Roman"/>
                      <w:color w:val="auto"/>
                      <w:szCs w:val="21"/>
                      <w:highlight w:val="none"/>
                    </w:rPr>
                  </w:pPr>
                </w:p>
              </w:tc>
              <w:tc>
                <w:tcPr>
                  <w:tcW w:w="714" w:type="pct"/>
                  <w:noWrap w:val="0"/>
                  <w:vAlign w:val="center"/>
                </w:tcPr>
                <w:p w14:paraId="5408C5F9">
                  <w:pPr>
                    <w:widowControl/>
                    <w:adjustRightInd w:val="0"/>
                    <w:snapToGrid w:val="0"/>
                    <w:spacing w:line="276" w:lineRule="auto"/>
                    <w:jc w:val="center"/>
                    <w:textAlignment w:val="center"/>
                    <w:rPr>
                      <w:rFonts w:ascii="Times New Roman" w:hAnsi="Times New Roman"/>
                      <w:color w:val="auto"/>
                      <w:szCs w:val="21"/>
                      <w:highlight w:val="none"/>
                    </w:rPr>
                  </w:pPr>
                  <w:r>
                    <w:rPr>
                      <w:rFonts w:ascii="Times New Roman" w:hAnsi="Times New Roman"/>
                      <w:color w:val="auto"/>
                      <w:szCs w:val="21"/>
                      <w:highlight w:val="none"/>
                    </w:rPr>
                    <w:t>昼/夜</w:t>
                  </w:r>
                </w:p>
              </w:tc>
            </w:tr>
          </w:tbl>
          <w:p w14:paraId="624DF6E0">
            <w:pPr>
              <w:spacing w:line="360" w:lineRule="auto"/>
              <w:ind w:firstLine="540" w:firstLineChars="225"/>
              <w:rPr>
                <w:rFonts w:ascii="Times New Roman" w:hAnsi="宋体"/>
                <w:color w:val="auto"/>
                <w:sz w:val="24"/>
                <w:szCs w:val="24"/>
                <w:highlight w:val="none"/>
              </w:rPr>
            </w:pPr>
            <w:r>
              <w:rPr>
                <w:rFonts w:ascii="Times New Roman" w:hAnsi="宋体"/>
                <w:color w:val="auto"/>
                <w:sz w:val="24"/>
                <w:szCs w:val="24"/>
                <w:highlight w:val="none"/>
              </w:rPr>
              <w:t>通过加强对产噪设备的管理，采用设备基础安装减振垫，厂房隔声等措施以减轻噪声对周围环境噪声的影响。采取以上噪声治理措施后，可降低对外环境的影响。</w:t>
            </w:r>
          </w:p>
          <w:p w14:paraId="25BBF901">
            <w:pPr>
              <w:spacing w:line="360" w:lineRule="auto"/>
              <w:ind w:firstLine="540" w:firstLineChars="225"/>
              <w:rPr>
                <w:rFonts w:ascii="Times New Roman" w:hAnsi="宋体"/>
                <w:color w:val="auto"/>
                <w:sz w:val="24"/>
                <w:szCs w:val="24"/>
                <w:highlight w:val="none"/>
              </w:rPr>
            </w:pPr>
            <w:r>
              <w:rPr>
                <w:rFonts w:hint="eastAsia" w:ascii="Times New Roman" w:hAnsi="宋体"/>
                <w:color w:val="auto"/>
                <w:sz w:val="24"/>
                <w:szCs w:val="24"/>
                <w:highlight w:val="none"/>
              </w:rPr>
              <w:t>（1）预测点位设置</w:t>
            </w:r>
          </w:p>
          <w:p w14:paraId="40B3D5F6">
            <w:pPr>
              <w:spacing w:line="360" w:lineRule="auto"/>
              <w:ind w:firstLine="540" w:firstLineChars="225"/>
              <w:rPr>
                <w:rFonts w:ascii="Times New Roman" w:hAnsi="宋体"/>
                <w:color w:val="auto"/>
                <w:sz w:val="24"/>
                <w:szCs w:val="24"/>
                <w:highlight w:val="none"/>
              </w:rPr>
            </w:pPr>
            <w:r>
              <w:rPr>
                <w:rFonts w:ascii="Times New Roman" w:hAnsi="宋体"/>
                <w:color w:val="auto"/>
                <w:sz w:val="24"/>
                <w:szCs w:val="24"/>
                <w:highlight w:val="none"/>
              </w:rPr>
              <w:t>本项目分别在</w:t>
            </w:r>
            <w:r>
              <w:rPr>
                <w:rFonts w:hint="eastAsia" w:ascii="Times New Roman" w:hAnsi="宋体"/>
                <w:color w:val="auto"/>
                <w:sz w:val="24"/>
                <w:szCs w:val="24"/>
                <w:highlight w:val="none"/>
                <w:lang w:val="en-US" w:eastAsia="zh-CN"/>
              </w:rPr>
              <w:t>生产车间（11#厂房）</w:t>
            </w:r>
            <w:r>
              <w:rPr>
                <w:rFonts w:ascii="Times New Roman" w:hAnsi="宋体"/>
                <w:color w:val="auto"/>
                <w:sz w:val="24"/>
                <w:szCs w:val="24"/>
                <w:highlight w:val="none"/>
              </w:rPr>
              <w:t>东、南、西、北边界设置</w:t>
            </w:r>
            <w:r>
              <w:rPr>
                <w:rFonts w:hint="eastAsia" w:ascii="Times New Roman" w:hAnsi="宋体"/>
                <w:color w:val="auto"/>
                <w:sz w:val="24"/>
                <w:szCs w:val="24"/>
                <w:highlight w:val="none"/>
                <w:lang w:val="en-US" w:eastAsia="zh-CN"/>
              </w:rPr>
              <w:t>4</w:t>
            </w:r>
            <w:r>
              <w:rPr>
                <w:rFonts w:ascii="Times New Roman" w:hAnsi="宋体"/>
                <w:color w:val="auto"/>
                <w:sz w:val="24"/>
                <w:szCs w:val="24"/>
                <w:highlight w:val="none"/>
              </w:rPr>
              <w:t>个声环境预测点。</w:t>
            </w:r>
          </w:p>
          <w:p w14:paraId="5D07A5AC">
            <w:pPr>
              <w:spacing w:line="360" w:lineRule="auto"/>
              <w:ind w:firstLine="540" w:firstLineChars="225"/>
              <w:rPr>
                <w:rFonts w:ascii="Times New Roman" w:hAnsi="宋体"/>
                <w:color w:val="auto"/>
                <w:sz w:val="24"/>
                <w:szCs w:val="24"/>
                <w:highlight w:val="none"/>
              </w:rPr>
            </w:pPr>
            <w:r>
              <w:rPr>
                <w:rFonts w:hint="eastAsia" w:ascii="Times New Roman" w:hAnsi="宋体"/>
                <w:color w:val="auto"/>
                <w:sz w:val="24"/>
                <w:szCs w:val="24"/>
                <w:highlight w:val="none"/>
              </w:rPr>
              <w:t>（2）</w:t>
            </w:r>
            <w:r>
              <w:rPr>
                <w:rFonts w:ascii="Times New Roman" w:hAnsi="宋体"/>
                <w:color w:val="auto"/>
                <w:sz w:val="24"/>
                <w:szCs w:val="24"/>
                <w:highlight w:val="none"/>
              </w:rPr>
              <w:t>预测模式</w:t>
            </w:r>
          </w:p>
          <w:p w14:paraId="3BE0467C">
            <w:pPr>
              <w:spacing w:line="360" w:lineRule="auto"/>
              <w:ind w:firstLine="540" w:firstLineChars="225"/>
              <w:rPr>
                <w:rFonts w:ascii="Times New Roman" w:hAnsi="宋体"/>
                <w:color w:val="auto"/>
                <w:sz w:val="24"/>
                <w:szCs w:val="24"/>
                <w:highlight w:val="none"/>
              </w:rPr>
            </w:pPr>
            <w:r>
              <w:rPr>
                <w:rFonts w:ascii="Times New Roman" w:hAnsi="宋体"/>
                <w:color w:val="auto"/>
                <w:sz w:val="24"/>
                <w:szCs w:val="24"/>
                <w:highlight w:val="none"/>
              </w:rPr>
              <w:t>本评价采用《环境影响评价技术导则——声环境》（HJ2.4-2021）中推荐的工业噪声预测计算模式，对项目运行后的厂界噪声变化情况进行分析。本项目主要声源均布置在厂房内，采取室内声源等效室外声源声功率级计算方法。</w:t>
            </w:r>
          </w:p>
          <w:p w14:paraId="7D9D8958">
            <w:pPr>
              <w:adjustRightInd w:val="0"/>
              <w:snapToGrid w:val="0"/>
              <w:spacing w:line="360" w:lineRule="auto"/>
              <w:ind w:firstLine="420" w:firstLineChars="200"/>
              <w:jc w:val="center"/>
              <w:rPr>
                <w:rFonts w:ascii="Times New Roman" w:hAnsi="Times New Roman"/>
                <w:color w:val="auto"/>
                <w:szCs w:val="21"/>
                <w:highlight w:val="none"/>
              </w:rPr>
            </w:pPr>
            <w:r>
              <w:rPr>
                <w:rFonts w:ascii="Times New Roman" w:hAnsi="Times New Roman"/>
                <w:color w:val="auto"/>
                <w:kern w:val="0"/>
                <w:szCs w:val="21"/>
                <w:highlight w:val="none"/>
              </w:rPr>
              <w:drawing>
                <wp:inline distT="0" distB="0" distL="114300" distR="114300">
                  <wp:extent cx="2811145" cy="1552575"/>
                  <wp:effectExtent l="0" t="0" r="825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2"/>
                          <a:stretch>
                            <a:fillRect/>
                          </a:stretch>
                        </pic:blipFill>
                        <pic:spPr>
                          <a:xfrm>
                            <a:off x="0" y="0"/>
                            <a:ext cx="2811145" cy="1552575"/>
                          </a:xfrm>
                          <a:prstGeom prst="rect">
                            <a:avLst/>
                          </a:prstGeom>
                          <a:noFill/>
                          <a:ln>
                            <a:noFill/>
                          </a:ln>
                        </pic:spPr>
                      </pic:pic>
                    </a:graphicData>
                  </a:graphic>
                </wp:inline>
              </w:drawing>
            </w:r>
          </w:p>
          <w:p w14:paraId="01D1A88E">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①首先计算出某个室内靠近围护结构处的倍频带声压级：</w:t>
            </w:r>
          </w:p>
          <w:p w14:paraId="5A500F60">
            <w:pPr>
              <w:widowControl/>
              <w:spacing w:line="360" w:lineRule="auto"/>
              <w:ind w:firstLine="480" w:firstLineChars="200"/>
              <w:jc w:val="center"/>
              <w:rPr>
                <w:rFonts w:ascii="Times New Roman" w:hAnsi="Times New Roman"/>
                <w:bCs/>
                <w:color w:val="auto"/>
                <w:kern w:val="0"/>
                <w:position w:val="-14"/>
                <w:sz w:val="24"/>
                <w:szCs w:val="24"/>
                <w:highlight w:val="none"/>
              </w:rPr>
            </w:pPr>
            <w:r>
              <w:rPr>
                <w:rFonts w:ascii="Times New Roman" w:hAnsi="Times New Roman"/>
                <w:color w:val="auto"/>
                <w:kern w:val="0"/>
                <w:position w:val="-36"/>
                <w:sz w:val="24"/>
                <w:szCs w:val="24"/>
                <w:highlight w:val="none"/>
              </w:rPr>
              <w:drawing>
                <wp:inline distT="0" distB="0" distL="114300" distR="114300">
                  <wp:extent cx="1990090" cy="533400"/>
                  <wp:effectExtent l="0" t="0" r="1016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3"/>
                          <a:stretch>
                            <a:fillRect/>
                          </a:stretch>
                        </pic:blipFill>
                        <pic:spPr>
                          <a:xfrm>
                            <a:off x="0" y="0"/>
                            <a:ext cx="1990090" cy="533400"/>
                          </a:xfrm>
                          <a:prstGeom prst="rect">
                            <a:avLst/>
                          </a:prstGeom>
                          <a:noFill/>
                          <a:ln>
                            <a:noFill/>
                          </a:ln>
                        </pic:spPr>
                      </pic:pic>
                    </a:graphicData>
                  </a:graphic>
                </wp:inline>
              </w:drawing>
            </w:r>
          </w:p>
          <w:p w14:paraId="37E2CB87">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式中：</w:t>
            </w:r>
            <w:r>
              <w:rPr>
                <w:rFonts w:ascii="Times New Roman" w:hAnsi="Times New Roman"/>
                <w:color w:val="auto"/>
                <w:kern w:val="0"/>
                <w:position w:val="-10"/>
                <w:sz w:val="24"/>
                <w:szCs w:val="24"/>
                <w:highlight w:val="none"/>
              </w:rPr>
              <w:drawing>
                <wp:inline distT="0" distB="0" distL="114300" distR="114300">
                  <wp:extent cx="228600" cy="228600"/>
                  <wp:effectExtent l="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4"/>
                          <a:stretch>
                            <a:fillRect/>
                          </a:stretch>
                        </pic:blipFill>
                        <pic:spPr>
                          <a:xfrm>
                            <a:off x="0" y="0"/>
                            <a:ext cx="228600" cy="228600"/>
                          </a:xfrm>
                          <a:prstGeom prst="rect">
                            <a:avLst/>
                          </a:prstGeom>
                          <a:noFill/>
                          <a:ln>
                            <a:noFill/>
                          </a:ln>
                        </pic:spPr>
                      </pic:pic>
                    </a:graphicData>
                  </a:graphic>
                </wp:inline>
              </w:drawing>
            </w:r>
            <w:r>
              <w:rPr>
                <w:rFonts w:ascii="Times New Roman" w:hAnsi="Times New Roman"/>
                <w:bCs/>
                <w:color w:val="auto"/>
                <w:kern w:val="0"/>
                <w:position w:val="-14"/>
                <w:sz w:val="24"/>
                <w:szCs w:val="24"/>
                <w:highlight w:val="none"/>
              </w:rPr>
              <w:t>——靠近开口处（或窗户）室内某倍频带的声压级或A声级，dB；</w:t>
            </w:r>
          </w:p>
          <w:p w14:paraId="34D7BB37">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color w:val="auto"/>
                <w:kern w:val="0"/>
                <w:position w:val="-4"/>
                <w:sz w:val="24"/>
                <w:szCs w:val="24"/>
                <w:highlight w:val="none"/>
              </w:rPr>
              <w:drawing>
                <wp:inline distT="0" distB="0" distL="114300" distR="114300">
                  <wp:extent cx="209550" cy="161925"/>
                  <wp:effectExtent l="0" t="0" r="0" b="635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5"/>
                          <a:stretch>
                            <a:fillRect/>
                          </a:stretch>
                        </pic:blipFill>
                        <pic:spPr>
                          <a:xfrm>
                            <a:off x="0" y="0"/>
                            <a:ext cx="209550" cy="161925"/>
                          </a:xfrm>
                          <a:prstGeom prst="rect">
                            <a:avLst/>
                          </a:prstGeom>
                          <a:noFill/>
                          <a:ln>
                            <a:noFill/>
                          </a:ln>
                        </pic:spPr>
                      </pic:pic>
                    </a:graphicData>
                  </a:graphic>
                </wp:inline>
              </w:drawing>
            </w:r>
            <w:r>
              <w:rPr>
                <w:rFonts w:ascii="Times New Roman" w:hAnsi="Times New Roman"/>
                <w:bCs/>
                <w:color w:val="auto"/>
                <w:kern w:val="0"/>
                <w:position w:val="-14"/>
                <w:sz w:val="24"/>
                <w:szCs w:val="24"/>
                <w:highlight w:val="none"/>
              </w:rPr>
              <w:t>——点声源声功率级（A 计权或倍频带），dB；</w:t>
            </w:r>
          </w:p>
          <w:p w14:paraId="7052CCA8">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i/>
                <w:color w:val="auto"/>
                <w:kern w:val="0"/>
                <w:position w:val="-14"/>
                <w:sz w:val="24"/>
                <w:szCs w:val="24"/>
                <w:highlight w:val="none"/>
              </w:rPr>
              <w:t xml:space="preserve">       r</w:t>
            </w:r>
            <w:r>
              <w:rPr>
                <w:rFonts w:ascii="Times New Roman" w:hAnsi="Times New Roman"/>
                <w:bCs/>
                <w:color w:val="auto"/>
                <w:kern w:val="0"/>
                <w:position w:val="-14"/>
                <w:sz w:val="24"/>
                <w:szCs w:val="24"/>
                <w:highlight w:val="none"/>
              </w:rPr>
              <w:t>——室内某个声源与靠近围护结构处的距离；</w:t>
            </w:r>
          </w:p>
          <w:p w14:paraId="1DF6EF43">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i/>
                <w:color w:val="auto"/>
                <w:kern w:val="0"/>
                <w:position w:val="-14"/>
                <w:sz w:val="24"/>
                <w:szCs w:val="24"/>
                <w:highlight w:val="none"/>
              </w:rPr>
              <w:t xml:space="preserve">       R</w:t>
            </w:r>
            <w:r>
              <w:rPr>
                <w:rFonts w:ascii="Times New Roman" w:hAnsi="Times New Roman"/>
                <w:bCs/>
                <w:color w:val="auto"/>
                <w:kern w:val="0"/>
                <w:position w:val="-14"/>
                <w:sz w:val="24"/>
                <w:szCs w:val="24"/>
                <w:highlight w:val="none"/>
              </w:rPr>
              <w:t>——房间常数；R= Sα /(1 −α) ，S为房间内表面面积，m</w:t>
            </w:r>
            <w:r>
              <w:rPr>
                <w:rFonts w:ascii="Times New Roman" w:hAnsi="Times New Roman"/>
                <w:bCs/>
                <w:color w:val="auto"/>
                <w:kern w:val="0"/>
                <w:position w:val="-14"/>
                <w:sz w:val="24"/>
                <w:szCs w:val="24"/>
                <w:highlight w:val="none"/>
                <w:vertAlign w:val="superscript"/>
              </w:rPr>
              <w:t>2</w:t>
            </w:r>
            <w:r>
              <w:rPr>
                <w:rFonts w:ascii="Times New Roman" w:hAnsi="Times New Roman"/>
                <w:bCs/>
                <w:color w:val="auto"/>
                <w:kern w:val="0"/>
                <w:position w:val="-14"/>
                <w:sz w:val="24"/>
                <w:szCs w:val="24"/>
                <w:highlight w:val="none"/>
              </w:rPr>
              <w:t>；α为平均吸声系数，本次评价取0.5。</w:t>
            </w:r>
          </w:p>
          <w:p w14:paraId="5836269B">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i/>
                <w:color w:val="auto"/>
                <w:kern w:val="0"/>
                <w:position w:val="-14"/>
                <w:sz w:val="24"/>
                <w:szCs w:val="24"/>
                <w:highlight w:val="none"/>
              </w:rPr>
              <w:t xml:space="preserve">       Q</w:t>
            </w:r>
            <w:r>
              <w:rPr>
                <w:rFonts w:ascii="Times New Roman" w:hAnsi="Times New Roman"/>
                <w:bCs/>
                <w:color w:val="auto"/>
                <w:kern w:val="0"/>
                <w:position w:val="-14"/>
                <w:sz w:val="24"/>
                <w:szCs w:val="24"/>
                <w:highlight w:val="none"/>
              </w:rPr>
              <w:t>——方向性因子，通常对无指向性声源，当声源放在房间中心时，Q=1；当放在一面墙的中心时，Q=2；当放在两面墙夹角处时，Q=4；当放在三面墙夹角处时，Q=8。本次评价Q=2。</w:t>
            </w:r>
          </w:p>
          <w:p w14:paraId="61F5DC61">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②计算出所有室内声源在靠近围护结构处产生的总倍频带声压级：</w:t>
            </w:r>
          </w:p>
          <w:p w14:paraId="3D1A6534">
            <w:pPr>
              <w:widowControl/>
              <w:spacing w:line="360" w:lineRule="auto"/>
              <w:jc w:val="center"/>
              <w:rPr>
                <w:rFonts w:ascii="Times New Roman" w:hAnsi="Times New Roman"/>
                <w:bCs/>
                <w:color w:val="auto"/>
                <w:kern w:val="0"/>
                <w:position w:val="-14"/>
                <w:sz w:val="24"/>
                <w:szCs w:val="24"/>
                <w:highlight w:val="none"/>
              </w:rPr>
            </w:pPr>
            <w:r>
              <w:rPr>
                <w:rFonts w:ascii="Times New Roman" w:hAnsi="Times New Roman"/>
                <w:color w:val="auto"/>
                <w:kern w:val="0"/>
                <w:position w:val="-14"/>
                <w:sz w:val="24"/>
                <w:szCs w:val="24"/>
                <w:highlight w:val="none"/>
              </w:rPr>
              <w:drawing>
                <wp:inline distT="0" distB="0" distL="114300" distR="114300">
                  <wp:extent cx="1905000" cy="590550"/>
                  <wp:effectExtent l="0" t="0" r="0" b="0"/>
                  <wp:docPr id="22" name="图片 14"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111111111"/>
                          <pic:cNvPicPr>
                            <a:picLocks noChangeAspect="1"/>
                          </pic:cNvPicPr>
                        </pic:nvPicPr>
                        <pic:blipFill>
                          <a:blip r:embed="rId26"/>
                          <a:stretch>
                            <a:fillRect/>
                          </a:stretch>
                        </pic:blipFill>
                        <pic:spPr>
                          <a:xfrm>
                            <a:off x="0" y="0"/>
                            <a:ext cx="1905000" cy="590550"/>
                          </a:xfrm>
                          <a:prstGeom prst="rect">
                            <a:avLst/>
                          </a:prstGeom>
                          <a:noFill/>
                          <a:ln>
                            <a:noFill/>
                          </a:ln>
                        </pic:spPr>
                      </pic:pic>
                    </a:graphicData>
                  </a:graphic>
                </wp:inline>
              </w:drawing>
            </w:r>
          </w:p>
          <w:p w14:paraId="15F687B9">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③计算出室外靠近围护结构的声压级：</w:t>
            </w:r>
          </w:p>
          <w:p w14:paraId="31D96FBE">
            <w:pPr>
              <w:widowControl/>
              <w:spacing w:line="360" w:lineRule="auto"/>
              <w:jc w:val="center"/>
              <w:rPr>
                <w:rFonts w:ascii="Times New Roman" w:hAnsi="Times New Roman"/>
                <w:bCs/>
                <w:color w:val="auto"/>
                <w:kern w:val="0"/>
                <w:position w:val="-14"/>
                <w:sz w:val="24"/>
                <w:szCs w:val="24"/>
                <w:highlight w:val="none"/>
              </w:rPr>
            </w:pPr>
            <w:r>
              <w:rPr>
                <w:rFonts w:ascii="Times New Roman" w:hAnsi="Times New Roman"/>
                <w:color w:val="auto"/>
                <w:kern w:val="0"/>
                <w:sz w:val="24"/>
                <w:szCs w:val="24"/>
                <w:highlight w:val="none"/>
              </w:rPr>
              <w:drawing>
                <wp:inline distT="0" distB="0" distL="114300" distR="114300">
                  <wp:extent cx="1924050" cy="323850"/>
                  <wp:effectExtent l="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7"/>
                          <a:stretch>
                            <a:fillRect/>
                          </a:stretch>
                        </pic:blipFill>
                        <pic:spPr>
                          <a:xfrm>
                            <a:off x="0" y="0"/>
                            <a:ext cx="1924050" cy="323850"/>
                          </a:xfrm>
                          <a:prstGeom prst="rect">
                            <a:avLst/>
                          </a:prstGeom>
                          <a:noFill/>
                          <a:ln>
                            <a:noFill/>
                          </a:ln>
                        </pic:spPr>
                      </pic:pic>
                    </a:graphicData>
                  </a:graphic>
                </wp:inline>
              </w:drawing>
            </w:r>
          </w:p>
          <w:p w14:paraId="551F3BC2">
            <w:pPr>
              <w:widowControl/>
              <w:spacing w:line="360" w:lineRule="auto"/>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式中： L</w:t>
            </w:r>
            <w:r>
              <w:rPr>
                <w:rFonts w:ascii="Times New Roman" w:hAnsi="Times New Roman"/>
                <w:bCs/>
                <w:color w:val="auto"/>
                <w:spacing w:val="-20"/>
                <w:kern w:val="28"/>
                <w:position w:val="-14"/>
                <w:sz w:val="24"/>
                <w:szCs w:val="24"/>
                <w:highlight w:val="none"/>
                <w:vertAlign w:val="subscript"/>
              </w:rPr>
              <w:t>p 2 i</w:t>
            </w:r>
            <w:r>
              <w:rPr>
                <w:rFonts w:ascii="Times New Roman" w:hAnsi="Times New Roman"/>
                <w:bCs/>
                <w:color w:val="auto"/>
                <w:kern w:val="0"/>
                <w:position w:val="-14"/>
                <w:sz w:val="24"/>
                <w:szCs w:val="24"/>
                <w:highlight w:val="none"/>
              </w:rPr>
              <w:t>(T )——靠近围护结构处室外N个声源i倍频带的叠加声压级，dB；</w:t>
            </w:r>
          </w:p>
          <w:p w14:paraId="6F1D64B7">
            <w:pPr>
              <w:widowControl/>
              <w:spacing w:line="360" w:lineRule="auto"/>
              <w:ind w:firstLine="840" w:firstLineChars="350"/>
              <w:jc w:val="left"/>
              <w:rPr>
                <w:rFonts w:ascii="Times New Roman" w:hAnsi="Times New Roman"/>
                <w:b/>
                <w:bCs/>
                <w:color w:val="auto"/>
                <w:kern w:val="0"/>
                <w:position w:val="-14"/>
                <w:sz w:val="24"/>
                <w:szCs w:val="24"/>
                <w:highlight w:val="none"/>
              </w:rPr>
            </w:pPr>
            <w:r>
              <w:rPr>
                <w:rFonts w:ascii="Times New Roman" w:hAnsi="Times New Roman"/>
                <w:bCs/>
                <w:color w:val="auto"/>
                <w:kern w:val="0"/>
                <w:position w:val="-14"/>
                <w:sz w:val="24"/>
                <w:szCs w:val="24"/>
                <w:highlight w:val="none"/>
              </w:rPr>
              <w:t>TL</w:t>
            </w:r>
            <w:r>
              <w:rPr>
                <w:rFonts w:ascii="Times New Roman" w:hAnsi="Times New Roman"/>
                <w:bCs/>
                <w:color w:val="auto"/>
                <w:kern w:val="0"/>
                <w:position w:val="-14"/>
                <w:sz w:val="24"/>
                <w:szCs w:val="24"/>
                <w:highlight w:val="none"/>
                <w:vertAlign w:val="subscript"/>
              </w:rPr>
              <w:t>i</w:t>
            </w:r>
            <w:r>
              <w:rPr>
                <w:rFonts w:ascii="Times New Roman" w:hAnsi="Times New Roman"/>
                <w:bCs/>
                <w:color w:val="auto"/>
                <w:kern w:val="0"/>
                <w:position w:val="-14"/>
                <w:sz w:val="24"/>
                <w:szCs w:val="24"/>
                <w:highlight w:val="none"/>
              </w:rPr>
              <w:t>——围护结构i倍频带的隔声量，dB，本次评价TL=20dB。</w:t>
            </w:r>
          </w:p>
          <w:p w14:paraId="4AA50456">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④将室外声级和透声面积换算成等效的室外声源，计算出等效声源第</w:t>
            </w:r>
            <w:r>
              <w:rPr>
                <w:rFonts w:ascii="Times New Roman" w:hAnsi="Times New Roman"/>
                <w:bCs/>
                <w:i/>
                <w:color w:val="auto"/>
                <w:kern w:val="0"/>
                <w:position w:val="-14"/>
                <w:sz w:val="24"/>
                <w:szCs w:val="24"/>
                <w:highlight w:val="none"/>
              </w:rPr>
              <w:t>i</w:t>
            </w:r>
            <w:r>
              <w:rPr>
                <w:rFonts w:ascii="Times New Roman" w:hAnsi="Times New Roman"/>
                <w:bCs/>
                <w:color w:val="auto"/>
                <w:kern w:val="0"/>
                <w:position w:val="-14"/>
                <w:sz w:val="24"/>
                <w:szCs w:val="24"/>
                <w:highlight w:val="none"/>
              </w:rPr>
              <w:t>个倍频带的声功率级L</w:t>
            </w:r>
            <w:r>
              <w:rPr>
                <w:rFonts w:ascii="Times New Roman" w:hAnsi="Times New Roman"/>
                <w:bCs/>
                <w:color w:val="auto"/>
                <w:kern w:val="0"/>
                <w:position w:val="-14"/>
                <w:sz w:val="24"/>
                <w:szCs w:val="24"/>
                <w:highlight w:val="none"/>
                <w:vertAlign w:val="subscript"/>
              </w:rPr>
              <w:t>w</w:t>
            </w:r>
            <w:r>
              <w:rPr>
                <w:rFonts w:ascii="Times New Roman" w:hAnsi="Times New Roman"/>
                <w:bCs/>
                <w:color w:val="auto"/>
                <w:kern w:val="0"/>
                <w:position w:val="-14"/>
                <w:sz w:val="24"/>
                <w:szCs w:val="24"/>
                <w:highlight w:val="none"/>
              </w:rPr>
              <w:t>：</w:t>
            </w:r>
          </w:p>
          <w:p w14:paraId="4A6B9508">
            <w:pPr>
              <w:widowControl/>
              <w:spacing w:line="360" w:lineRule="auto"/>
              <w:jc w:val="center"/>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L</w:t>
            </w:r>
            <w:r>
              <w:rPr>
                <w:rFonts w:ascii="Times New Roman" w:hAnsi="Times New Roman"/>
                <w:bCs/>
                <w:color w:val="auto"/>
                <w:kern w:val="0"/>
                <w:position w:val="-14"/>
                <w:sz w:val="24"/>
                <w:szCs w:val="24"/>
                <w:highlight w:val="none"/>
                <w:vertAlign w:val="subscript"/>
              </w:rPr>
              <w:t>W</w:t>
            </w:r>
            <w:r>
              <w:rPr>
                <w:rFonts w:ascii="Times New Roman" w:hAnsi="Times New Roman"/>
                <w:bCs/>
                <w:color w:val="auto"/>
                <w:kern w:val="0"/>
                <w:position w:val="-14"/>
                <w:sz w:val="24"/>
                <w:szCs w:val="24"/>
                <w:highlight w:val="none"/>
              </w:rPr>
              <w:t>=L</w:t>
            </w:r>
            <w:r>
              <w:rPr>
                <w:rFonts w:ascii="Times New Roman" w:hAnsi="Times New Roman"/>
                <w:bCs/>
                <w:color w:val="auto"/>
                <w:kern w:val="0"/>
                <w:position w:val="-14"/>
                <w:sz w:val="24"/>
                <w:szCs w:val="24"/>
                <w:highlight w:val="none"/>
                <w:vertAlign w:val="subscript"/>
              </w:rPr>
              <w:t>p2</w:t>
            </w:r>
            <w:r>
              <w:rPr>
                <w:rFonts w:ascii="Times New Roman" w:hAnsi="Times New Roman"/>
                <w:bCs/>
                <w:color w:val="auto"/>
                <w:kern w:val="0"/>
                <w:position w:val="-14"/>
                <w:sz w:val="24"/>
                <w:szCs w:val="24"/>
                <w:highlight w:val="none"/>
              </w:rPr>
              <w:t>(T)+10lgS</w:t>
            </w:r>
          </w:p>
          <w:p w14:paraId="68DA17C6">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式中：</w:t>
            </w:r>
            <w:r>
              <w:rPr>
                <w:rFonts w:ascii="Times New Roman" w:hAnsi="Times New Roman"/>
                <w:bCs/>
                <w:i/>
                <w:color w:val="auto"/>
                <w:kern w:val="0"/>
                <w:position w:val="-14"/>
                <w:sz w:val="24"/>
                <w:szCs w:val="24"/>
                <w:highlight w:val="none"/>
              </w:rPr>
              <w:t>S</w:t>
            </w:r>
            <w:r>
              <w:rPr>
                <w:rFonts w:ascii="Times New Roman" w:hAnsi="Times New Roman"/>
                <w:bCs/>
                <w:color w:val="auto"/>
                <w:kern w:val="0"/>
                <w:position w:val="-14"/>
                <w:sz w:val="24"/>
                <w:szCs w:val="24"/>
                <w:highlight w:val="none"/>
              </w:rPr>
              <w:t>——透声面积，m</w:t>
            </w:r>
            <w:r>
              <w:rPr>
                <w:rFonts w:ascii="Times New Roman" w:hAnsi="Times New Roman"/>
                <w:bCs/>
                <w:color w:val="auto"/>
                <w:kern w:val="0"/>
                <w:position w:val="-14"/>
                <w:sz w:val="24"/>
                <w:szCs w:val="24"/>
                <w:highlight w:val="none"/>
                <w:vertAlign w:val="superscript"/>
              </w:rPr>
              <w:t>2</w:t>
            </w:r>
            <w:r>
              <w:rPr>
                <w:rFonts w:ascii="Times New Roman" w:hAnsi="Times New Roman"/>
                <w:bCs/>
                <w:color w:val="auto"/>
                <w:kern w:val="0"/>
                <w:position w:val="-14"/>
                <w:sz w:val="24"/>
                <w:szCs w:val="24"/>
                <w:highlight w:val="none"/>
              </w:rPr>
              <w:t>，本次评价S取100m</w:t>
            </w:r>
            <w:r>
              <w:rPr>
                <w:rFonts w:ascii="Times New Roman" w:hAnsi="Times New Roman"/>
                <w:bCs/>
                <w:color w:val="auto"/>
                <w:kern w:val="0"/>
                <w:position w:val="-14"/>
                <w:sz w:val="24"/>
                <w:szCs w:val="24"/>
                <w:highlight w:val="none"/>
                <w:vertAlign w:val="superscript"/>
              </w:rPr>
              <w:t>2</w:t>
            </w:r>
            <w:r>
              <w:rPr>
                <w:rFonts w:ascii="Times New Roman" w:hAnsi="Times New Roman"/>
                <w:bCs/>
                <w:color w:val="auto"/>
                <w:kern w:val="0"/>
                <w:position w:val="-14"/>
                <w:sz w:val="24"/>
                <w:szCs w:val="24"/>
                <w:highlight w:val="none"/>
              </w:rPr>
              <w:t>。</w:t>
            </w:r>
          </w:p>
          <w:p w14:paraId="5D262251">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fldChar w:fldCharType="begin"/>
            </w:r>
            <w:r>
              <w:rPr>
                <w:rFonts w:ascii="Times New Roman" w:hAnsi="Times New Roman"/>
                <w:bCs/>
                <w:color w:val="auto"/>
                <w:kern w:val="0"/>
                <w:position w:val="-14"/>
                <w:sz w:val="24"/>
                <w:szCs w:val="24"/>
                <w:highlight w:val="none"/>
              </w:rPr>
              <w:instrText xml:space="preserve">= 5 \* GB3</w:instrText>
            </w:r>
            <w:r>
              <w:rPr>
                <w:rFonts w:ascii="Times New Roman" w:hAnsi="Times New Roman"/>
                <w:bCs/>
                <w:color w:val="auto"/>
                <w:kern w:val="0"/>
                <w:position w:val="-14"/>
                <w:sz w:val="24"/>
                <w:szCs w:val="24"/>
                <w:highlight w:val="none"/>
              </w:rPr>
              <w:fldChar w:fldCharType="separate"/>
            </w:r>
            <w:r>
              <w:rPr>
                <w:rFonts w:ascii="Times New Roman" w:hAnsi="Times New Roman"/>
                <w:bCs/>
                <w:color w:val="auto"/>
                <w:kern w:val="0"/>
                <w:position w:val="-14"/>
                <w:sz w:val="24"/>
                <w:szCs w:val="24"/>
                <w:highlight w:val="none"/>
              </w:rPr>
              <w:t>⑤</w:t>
            </w:r>
            <w:r>
              <w:rPr>
                <w:rFonts w:ascii="Times New Roman" w:hAnsi="Times New Roman"/>
                <w:bCs/>
                <w:color w:val="auto"/>
                <w:kern w:val="0"/>
                <w:position w:val="-14"/>
                <w:sz w:val="24"/>
                <w:szCs w:val="24"/>
                <w:highlight w:val="none"/>
              </w:rPr>
              <w:fldChar w:fldCharType="end"/>
            </w:r>
            <w:r>
              <w:rPr>
                <w:rFonts w:ascii="Times New Roman" w:hAnsi="Times New Roman"/>
                <w:bCs/>
                <w:color w:val="auto"/>
                <w:kern w:val="0"/>
                <w:position w:val="-14"/>
                <w:sz w:val="24"/>
                <w:szCs w:val="24"/>
                <w:highlight w:val="none"/>
              </w:rPr>
              <w:t>按室外声源预测方法计算预测点处的A声级。室外声源处于半自由声场情况下，且声源可看作是位于地面上的，则：</w:t>
            </w:r>
          </w:p>
          <w:p w14:paraId="3804F89B">
            <w:pPr>
              <w:widowControl/>
              <w:spacing w:line="360" w:lineRule="auto"/>
              <w:ind w:firstLine="480" w:firstLineChars="200"/>
              <w:jc w:val="center"/>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L</w:t>
            </w:r>
            <w:r>
              <w:rPr>
                <w:rFonts w:ascii="Times New Roman" w:hAnsi="Times New Roman"/>
                <w:bCs/>
                <w:color w:val="auto"/>
                <w:kern w:val="0"/>
                <w:position w:val="-14"/>
                <w:sz w:val="24"/>
                <w:szCs w:val="24"/>
                <w:highlight w:val="none"/>
                <w:vertAlign w:val="subscript"/>
              </w:rPr>
              <w:t>p</w:t>
            </w:r>
            <w:r>
              <w:rPr>
                <w:rFonts w:ascii="Times New Roman" w:hAnsi="Times New Roman"/>
                <w:bCs/>
                <w:color w:val="auto"/>
                <w:kern w:val="0"/>
                <w:position w:val="-14"/>
                <w:sz w:val="24"/>
                <w:szCs w:val="24"/>
                <w:highlight w:val="none"/>
              </w:rPr>
              <w:t>(r)=L</w:t>
            </w:r>
            <w:r>
              <w:rPr>
                <w:rFonts w:ascii="Times New Roman" w:hAnsi="Times New Roman"/>
                <w:bCs/>
                <w:color w:val="auto"/>
                <w:kern w:val="0"/>
                <w:position w:val="-14"/>
                <w:sz w:val="24"/>
                <w:szCs w:val="24"/>
                <w:highlight w:val="none"/>
                <w:vertAlign w:val="subscript"/>
              </w:rPr>
              <w:t>W</w:t>
            </w:r>
            <w:r>
              <w:rPr>
                <w:rFonts w:ascii="Times New Roman" w:hAnsi="Times New Roman"/>
                <w:bCs/>
                <w:color w:val="auto"/>
                <w:kern w:val="0"/>
                <w:position w:val="-14"/>
                <w:sz w:val="24"/>
                <w:szCs w:val="24"/>
                <w:highlight w:val="none"/>
              </w:rPr>
              <w:t>-20lg(r)-8</w:t>
            </w:r>
          </w:p>
          <w:p w14:paraId="4BBA87EC">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t>式中：r——点声源到受声点的距离，m。</w:t>
            </w:r>
          </w:p>
          <w:p w14:paraId="1C778E72">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fldChar w:fldCharType="begin"/>
            </w:r>
            <w:r>
              <w:rPr>
                <w:rFonts w:ascii="Times New Roman" w:hAnsi="Times New Roman"/>
                <w:bCs/>
                <w:color w:val="auto"/>
                <w:kern w:val="0"/>
                <w:position w:val="-14"/>
                <w:sz w:val="24"/>
                <w:szCs w:val="24"/>
                <w:highlight w:val="none"/>
              </w:rPr>
              <w:instrText xml:space="preserve">= 6 \* GB3</w:instrText>
            </w:r>
            <w:r>
              <w:rPr>
                <w:rFonts w:ascii="Times New Roman" w:hAnsi="Times New Roman"/>
                <w:bCs/>
                <w:color w:val="auto"/>
                <w:kern w:val="0"/>
                <w:position w:val="-14"/>
                <w:sz w:val="24"/>
                <w:szCs w:val="24"/>
                <w:highlight w:val="none"/>
              </w:rPr>
              <w:fldChar w:fldCharType="separate"/>
            </w:r>
            <w:r>
              <w:rPr>
                <w:rFonts w:ascii="Times New Roman" w:hAnsi="Times New Roman"/>
                <w:bCs/>
                <w:color w:val="auto"/>
                <w:kern w:val="0"/>
                <w:position w:val="-14"/>
                <w:sz w:val="24"/>
                <w:szCs w:val="24"/>
                <w:highlight w:val="none"/>
              </w:rPr>
              <w:t>⑥</w:t>
            </w:r>
            <w:r>
              <w:rPr>
                <w:rFonts w:ascii="Times New Roman" w:hAnsi="Times New Roman"/>
                <w:bCs/>
                <w:color w:val="auto"/>
                <w:kern w:val="0"/>
                <w:position w:val="-14"/>
                <w:sz w:val="24"/>
                <w:szCs w:val="24"/>
                <w:highlight w:val="none"/>
              </w:rPr>
              <w:fldChar w:fldCharType="end"/>
            </w:r>
            <w:r>
              <w:rPr>
                <w:rFonts w:ascii="Times New Roman" w:hAnsi="Times New Roman"/>
                <w:bCs/>
                <w:color w:val="auto"/>
                <w:kern w:val="0"/>
                <w:position w:val="-14"/>
                <w:sz w:val="24"/>
                <w:szCs w:val="24"/>
                <w:highlight w:val="none"/>
              </w:rPr>
              <w:t>倍频带声压级和A声级转换</w:t>
            </w:r>
          </w:p>
          <w:p w14:paraId="542FD069">
            <w:pPr>
              <w:widowControl/>
              <w:spacing w:line="360" w:lineRule="auto"/>
              <w:jc w:val="center"/>
              <w:rPr>
                <w:rFonts w:ascii="Times New Roman" w:hAnsi="Times New Roman"/>
                <w:bCs/>
                <w:color w:val="auto"/>
                <w:kern w:val="0"/>
                <w:position w:val="-14"/>
                <w:sz w:val="24"/>
                <w:szCs w:val="24"/>
                <w:highlight w:val="none"/>
              </w:rPr>
            </w:pPr>
            <w:r>
              <w:rPr>
                <w:rFonts w:ascii="Times New Roman" w:hAnsi="Times New Roman"/>
                <w:color w:val="auto"/>
                <w:kern w:val="0"/>
                <w:position w:val="-14"/>
                <w:sz w:val="24"/>
                <w:szCs w:val="24"/>
                <w:highlight w:val="none"/>
              </w:rPr>
              <w:drawing>
                <wp:inline distT="0" distB="0" distL="114300" distR="114300">
                  <wp:extent cx="1791335" cy="476250"/>
                  <wp:effectExtent l="0" t="0" r="18415"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8"/>
                          <a:stretch>
                            <a:fillRect/>
                          </a:stretch>
                        </pic:blipFill>
                        <pic:spPr>
                          <a:xfrm>
                            <a:off x="0" y="0"/>
                            <a:ext cx="1791335" cy="476250"/>
                          </a:xfrm>
                          <a:prstGeom prst="rect">
                            <a:avLst/>
                          </a:prstGeom>
                          <a:noFill/>
                          <a:ln>
                            <a:noFill/>
                          </a:ln>
                        </pic:spPr>
                      </pic:pic>
                    </a:graphicData>
                  </a:graphic>
                </wp:inline>
              </w:drawing>
            </w:r>
          </w:p>
          <w:p w14:paraId="1655104E">
            <w:pPr>
              <w:widowControl/>
              <w:spacing w:line="360" w:lineRule="auto"/>
              <w:ind w:firstLine="480" w:firstLineChars="200"/>
              <w:jc w:val="left"/>
              <w:rPr>
                <w:rFonts w:ascii="Times New Roman" w:hAnsi="Times New Roman"/>
                <w:bCs/>
                <w:color w:val="auto"/>
                <w:kern w:val="0"/>
                <w:position w:val="-14"/>
                <w:sz w:val="24"/>
                <w:szCs w:val="24"/>
                <w:highlight w:val="none"/>
              </w:rPr>
            </w:pPr>
            <w:r>
              <w:rPr>
                <w:rFonts w:ascii="Times New Roman" w:hAnsi="Times New Roman"/>
                <w:bCs/>
                <w:color w:val="auto"/>
                <w:kern w:val="0"/>
                <w:position w:val="-14"/>
                <w:sz w:val="24"/>
                <w:szCs w:val="24"/>
                <w:highlight w:val="none"/>
              </w:rPr>
              <w:fldChar w:fldCharType="begin"/>
            </w:r>
            <w:r>
              <w:rPr>
                <w:rFonts w:ascii="Times New Roman" w:hAnsi="Times New Roman"/>
                <w:bCs/>
                <w:color w:val="auto"/>
                <w:kern w:val="0"/>
                <w:position w:val="-14"/>
                <w:sz w:val="24"/>
                <w:szCs w:val="24"/>
                <w:highlight w:val="none"/>
              </w:rPr>
              <w:instrText xml:space="preserve">= 7 \* GB3</w:instrText>
            </w:r>
            <w:r>
              <w:rPr>
                <w:rFonts w:ascii="Times New Roman" w:hAnsi="Times New Roman"/>
                <w:bCs/>
                <w:color w:val="auto"/>
                <w:kern w:val="0"/>
                <w:position w:val="-14"/>
                <w:sz w:val="24"/>
                <w:szCs w:val="24"/>
                <w:highlight w:val="none"/>
              </w:rPr>
              <w:fldChar w:fldCharType="separate"/>
            </w:r>
            <w:r>
              <w:rPr>
                <w:rFonts w:ascii="Times New Roman" w:hAnsi="Times New Roman"/>
                <w:bCs/>
                <w:color w:val="auto"/>
                <w:kern w:val="0"/>
                <w:position w:val="-14"/>
                <w:sz w:val="24"/>
                <w:szCs w:val="24"/>
                <w:highlight w:val="none"/>
              </w:rPr>
              <w:t>⑦</w:t>
            </w:r>
            <w:r>
              <w:rPr>
                <w:rFonts w:ascii="Times New Roman" w:hAnsi="Times New Roman"/>
                <w:bCs/>
                <w:color w:val="auto"/>
                <w:kern w:val="0"/>
                <w:position w:val="-14"/>
                <w:sz w:val="24"/>
                <w:szCs w:val="24"/>
                <w:highlight w:val="none"/>
              </w:rPr>
              <w:fldChar w:fldCharType="end"/>
            </w:r>
            <w:r>
              <w:rPr>
                <w:rFonts w:ascii="Times New Roman" w:hAnsi="Times New Roman"/>
                <w:bCs/>
                <w:color w:val="auto"/>
                <w:kern w:val="0"/>
                <w:position w:val="-14"/>
                <w:sz w:val="24"/>
                <w:szCs w:val="24"/>
                <w:highlight w:val="none"/>
              </w:rPr>
              <w:t>运行设备到厂界噪声叠加按照下式计算：</w:t>
            </w:r>
          </w:p>
          <w:p w14:paraId="175DCDC5">
            <w:pPr>
              <w:widowControl/>
              <w:spacing w:line="360" w:lineRule="auto"/>
              <w:jc w:val="center"/>
              <w:rPr>
                <w:rFonts w:ascii="Times New Roman" w:hAnsi="Times New Roman"/>
                <w:bCs/>
                <w:color w:val="auto"/>
                <w:kern w:val="0"/>
                <w:sz w:val="24"/>
                <w:szCs w:val="24"/>
                <w:highlight w:val="none"/>
              </w:rPr>
            </w:pPr>
            <w:r>
              <w:rPr>
                <w:rFonts w:ascii="Times New Roman" w:hAnsi="Times New Roman"/>
                <w:color w:val="auto"/>
                <w:kern w:val="0"/>
                <w:sz w:val="24"/>
                <w:szCs w:val="24"/>
                <w:highlight w:val="none"/>
              </w:rPr>
              <w:drawing>
                <wp:inline distT="0" distB="0" distL="114300" distR="114300">
                  <wp:extent cx="2724785" cy="597535"/>
                  <wp:effectExtent l="0" t="0" r="18415" b="1206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9"/>
                          <a:stretch>
                            <a:fillRect/>
                          </a:stretch>
                        </pic:blipFill>
                        <pic:spPr>
                          <a:xfrm>
                            <a:off x="0" y="0"/>
                            <a:ext cx="2724785" cy="597535"/>
                          </a:xfrm>
                          <a:prstGeom prst="rect">
                            <a:avLst/>
                          </a:prstGeom>
                          <a:noFill/>
                          <a:ln>
                            <a:noFill/>
                          </a:ln>
                        </pic:spPr>
                      </pic:pic>
                    </a:graphicData>
                  </a:graphic>
                </wp:inline>
              </w:drawing>
            </w:r>
          </w:p>
          <w:p w14:paraId="67D0EC40">
            <w:pPr>
              <w:widowControl/>
              <w:spacing w:line="360" w:lineRule="auto"/>
              <w:ind w:firstLine="480" w:firstLineChars="200"/>
              <w:jc w:val="left"/>
              <w:rPr>
                <w:rFonts w:ascii="Times New Roman" w:hAnsi="Times New Roman"/>
                <w:bCs/>
                <w:color w:val="auto"/>
                <w:kern w:val="0"/>
                <w:sz w:val="24"/>
                <w:szCs w:val="24"/>
                <w:highlight w:val="none"/>
              </w:rPr>
            </w:pPr>
            <w:r>
              <w:rPr>
                <w:rFonts w:ascii="Times New Roman" w:hAnsi="Times New Roman"/>
                <w:bCs/>
                <w:color w:val="auto"/>
                <w:kern w:val="0"/>
                <w:sz w:val="24"/>
                <w:szCs w:val="24"/>
                <w:highlight w:val="none"/>
              </w:rPr>
              <w:t>式中：</w:t>
            </w:r>
            <w:r>
              <w:rPr>
                <w:rFonts w:ascii="Times New Roman" w:hAnsi="Times New Roman"/>
                <w:bCs/>
                <w:i/>
                <w:color w:val="auto"/>
                <w:kern w:val="0"/>
                <w:sz w:val="24"/>
                <w:szCs w:val="24"/>
                <w:highlight w:val="none"/>
              </w:rPr>
              <w:t>L</w:t>
            </w:r>
            <w:r>
              <w:rPr>
                <w:rFonts w:ascii="Times New Roman" w:hAnsi="Times New Roman"/>
                <w:bCs/>
                <w:i/>
                <w:color w:val="auto"/>
                <w:kern w:val="0"/>
                <w:sz w:val="24"/>
                <w:szCs w:val="24"/>
                <w:highlight w:val="none"/>
                <w:vertAlign w:val="subscript"/>
              </w:rPr>
              <w:t>eqg</w:t>
            </w:r>
            <w:r>
              <w:rPr>
                <w:rFonts w:ascii="Times New Roman" w:hAnsi="Times New Roman"/>
                <w:bCs/>
                <w:color w:val="auto"/>
                <w:kern w:val="0"/>
                <w:sz w:val="24"/>
                <w:szCs w:val="24"/>
                <w:highlight w:val="none"/>
              </w:rPr>
              <w:t xml:space="preserve"> ——建设项目声源在预测点的等效声级贡献值，dB(A</w:t>
            </w:r>
            <w:r>
              <w:rPr>
                <w:rFonts w:hint="eastAsia" w:ascii="Times New Roman" w:hAnsi="Times New Roman"/>
                <w:bCs/>
                <w:color w:val="auto"/>
                <w:kern w:val="0"/>
                <w:sz w:val="24"/>
                <w:szCs w:val="24"/>
                <w:highlight w:val="none"/>
                <w:lang w:eastAsia="zh-CN"/>
              </w:rPr>
              <w:t>)</w:t>
            </w:r>
            <w:r>
              <w:rPr>
                <w:rFonts w:ascii="Times New Roman" w:hAnsi="Times New Roman"/>
                <w:bCs/>
                <w:color w:val="auto"/>
                <w:kern w:val="0"/>
                <w:sz w:val="24"/>
                <w:szCs w:val="24"/>
                <w:highlight w:val="none"/>
              </w:rPr>
              <w:t>；</w:t>
            </w:r>
          </w:p>
          <w:p w14:paraId="7743BB3E">
            <w:pPr>
              <w:widowControl/>
              <w:spacing w:line="360" w:lineRule="auto"/>
              <w:ind w:firstLine="1080" w:firstLineChars="450"/>
              <w:jc w:val="left"/>
              <w:rPr>
                <w:rFonts w:ascii="Times New Roman" w:hAnsi="Times New Roman"/>
                <w:bCs/>
                <w:color w:val="auto"/>
                <w:kern w:val="0"/>
                <w:sz w:val="24"/>
                <w:szCs w:val="24"/>
                <w:highlight w:val="none"/>
              </w:rPr>
            </w:pPr>
            <w:r>
              <w:rPr>
                <w:rFonts w:ascii="Times New Roman" w:hAnsi="Times New Roman"/>
                <w:color w:val="auto"/>
                <w:kern w:val="0"/>
                <w:position w:val="-12"/>
                <w:sz w:val="24"/>
                <w:szCs w:val="24"/>
                <w:highlight w:val="none"/>
              </w:rPr>
              <w:drawing>
                <wp:inline distT="0" distB="0" distL="114300" distR="114300">
                  <wp:extent cx="323850" cy="200025"/>
                  <wp:effectExtent l="0" t="0" r="0" b="762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0"/>
                          <a:stretch>
                            <a:fillRect/>
                          </a:stretch>
                        </pic:blipFill>
                        <pic:spPr>
                          <a:xfrm>
                            <a:off x="0" y="0"/>
                            <a:ext cx="323850" cy="200025"/>
                          </a:xfrm>
                          <a:prstGeom prst="rect">
                            <a:avLst/>
                          </a:prstGeom>
                          <a:noFill/>
                          <a:ln>
                            <a:noFill/>
                          </a:ln>
                        </pic:spPr>
                      </pic:pic>
                    </a:graphicData>
                  </a:graphic>
                </wp:inline>
              </w:drawing>
            </w:r>
            <w:r>
              <w:rPr>
                <w:rFonts w:ascii="Times New Roman" w:hAnsi="Times New Roman"/>
                <w:bCs/>
                <w:color w:val="auto"/>
                <w:kern w:val="0"/>
                <w:sz w:val="24"/>
                <w:szCs w:val="24"/>
                <w:highlight w:val="none"/>
              </w:rPr>
              <w:t>——室外i声源在预测点产生的A声级，dB(A</w:t>
            </w:r>
            <w:r>
              <w:rPr>
                <w:rFonts w:hint="eastAsia" w:ascii="Times New Roman" w:hAnsi="Times New Roman"/>
                <w:bCs/>
                <w:color w:val="auto"/>
                <w:kern w:val="0"/>
                <w:sz w:val="24"/>
                <w:szCs w:val="24"/>
                <w:highlight w:val="none"/>
                <w:lang w:eastAsia="zh-CN"/>
              </w:rPr>
              <w:t>)</w:t>
            </w:r>
            <w:r>
              <w:rPr>
                <w:rFonts w:ascii="Times New Roman" w:hAnsi="Times New Roman"/>
                <w:bCs/>
                <w:color w:val="auto"/>
                <w:kern w:val="0"/>
                <w:sz w:val="24"/>
                <w:szCs w:val="24"/>
                <w:highlight w:val="none"/>
              </w:rPr>
              <w:t>；</w:t>
            </w:r>
          </w:p>
          <w:p w14:paraId="2D3700A9">
            <w:pPr>
              <w:widowControl/>
              <w:spacing w:line="360" w:lineRule="auto"/>
              <w:ind w:firstLine="1080" w:firstLineChars="450"/>
              <w:jc w:val="left"/>
              <w:rPr>
                <w:rFonts w:ascii="Times New Roman" w:hAnsi="Times New Roman"/>
                <w:bCs/>
                <w:color w:val="auto"/>
                <w:kern w:val="0"/>
                <w:sz w:val="24"/>
                <w:szCs w:val="24"/>
                <w:highlight w:val="none"/>
              </w:rPr>
            </w:pPr>
            <w:r>
              <w:rPr>
                <w:rFonts w:ascii="Times New Roman" w:hAnsi="Times New Roman"/>
                <w:bCs/>
                <w:i/>
                <w:color w:val="auto"/>
                <w:kern w:val="0"/>
                <w:sz w:val="24"/>
                <w:szCs w:val="24"/>
                <w:highlight w:val="none"/>
              </w:rPr>
              <w:t xml:space="preserve"> t</w:t>
            </w:r>
            <w:r>
              <w:rPr>
                <w:rFonts w:ascii="Times New Roman" w:hAnsi="Times New Roman"/>
                <w:bCs/>
                <w:i/>
                <w:color w:val="auto"/>
                <w:kern w:val="0"/>
                <w:sz w:val="24"/>
                <w:szCs w:val="24"/>
                <w:highlight w:val="none"/>
                <w:vertAlign w:val="subscript"/>
              </w:rPr>
              <w:t>j</w:t>
            </w:r>
            <w:r>
              <w:rPr>
                <w:rFonts w:ascii="Times New Roman" w:hAnsi="Times New Roman"/>
                <w:bCs/>
                <w:color w:val="auto"/>
                <w:kern w:val="0"/>
                <w:sz w:val="24"/>
                <w:szCs w:val="24"/>
                <w:highlight w:val="none"/>
              </w:rPr>
              <w:t xml:space="preserve"> ——等效室外声源在 T 时间内 j 声源工作时间，s；</w:t>
            </w:r>
          </w:p>
          <w:p w14:paraId="6990766E">
            <w:pPr>
              <w:widowControl/>
              <w:spacing w:line="360" w:lineRule="auto"/>
              <w:ind w:firstLine="1080" w:firstLineChars="450"/>
              <w:jc w:val="left"/>
              <w:rPr>
                <w:rFonts w:ascii="Times New Roman" w:hAnsi="Times New Roman"/>
                <w:bCs/>
                <w:color w:val="auto"/>
                <w:kern w:val="0"/>
                <w:sz w:val="24"/>
                <w:szCs w:val="24"/>
                <w:highlight w:val="none"/>
              </w:rPr>
            </w:pPr>
            <w:r>
              <w:rPr>
                <w:rFonts w:ascii="Times New Roman" w:hAnsi="Times New Roman"/>
                <w:bCs/>
                <w:i/>
                <w:color w:val="auto"/>
                <w:kern w:val="0"/>
                <w:sz w:val="24"/>
                <w:szCs w:val="24"/>
                <w:highlight w:val="none"/>
              </w:rPr>
              <w:t xml:space="preserve"> t</w:t>
            </w:r>
            <w:r>
              <w:rPr>
                <w:rFonts w:ascii="Times New Roman" w:hAnsi="Times New Roman"/>
                <w:bCs/>
                <w:i/>
                <w:color w:val="auto"/>
                <w:kern w:val="0"/>
                <w:sz w:val="24"/>
                <w:szCs w:val="24"/>
                <w:highlight w:val="none"/>
                <w:vertAlign w:val="subscript"/>
              </w:rPr>
              <w:t>i</w:t>
            </w:r>
            <w:r>
              <w:rPr>
                <w:rFonts w:ascii="Times New Roman" w:hAnsi="Times New Roman"/>
                <w:bCs/>
                <w:color w:val="auto"/>
                <w:kern w:val="0"/>
                <w:sz w:val="24"/>
                <w:szCs w:val="24"/>
                <w:highlight w:val="none"/>
              </w:rPr>
              <w:t xml:space="preserve"> ——室外声源在 T 时间内 i 声源工作时间，s； </w:t>
            </w:r>
          </w:p>
          <w:p w14:paraId="7025C0F5">
            <w:pPr>
              <w:spacing w:line="360" w:lineRule="auto"/>
              <w:ind w:left="480"/>
              <w:rPr>
                <w:rFonts w:ascii="Times New Roman" w:hAnsi="Times New Roman"/>
                <w:color w:val="auto"/>
                <w:sz w:val="24"/>
                <w:szCs w:val="24"/>
                <w:highlight w:val="none"/>
              </w:rPr>
            </w:pPr>
            <w:r>
              <w:rPr>
                <w:rFonts w:ascii="Times New Roman" w:hAnsi="Times New Roman"/>
                <w:bCs/>
                <w:i/>
                <w:color w:val="auto"/>
                <w:kern w:val="0"/>
                <w:sz w:val="24"/>
                <w:szCs w:val="24"/>
                <w:highlight w:val="none"/>
              </w:rPr>
              <w:t xml:space="preserve">      T</w:t>
            </w:r>
            <w:r>
              <w:rPr>
                <w:rFonts w:ascii="Times New Roman" w:hAnsi="Times New Roman"/>
                <w:bCs/>
                <w:color w:val="auto"/>
                <w:kern w:val="0"/>
                <w:sz w:val="24"/>
                <w:szCs w:val="24"/>
                <w:highlight w:val="none"/>
              </w:rPr>
              <w:t xml:space="preserve"> ——用于计算等效声级的时间，s</w:t>
            </w:r>
            <w:r>
              <w:rPr>
                <w:rFonts w:ascii="Times New Roman" w:hAnsi="Times New Roman"/>
                <w:color w:val="auto"/>
                <w:sz w:val="24"/>
                <w:szCs w:val="24"/>
                <w:highlight w:val="none"/>
              </w:rPr>
              <w:t>。</w:t>
            </w:r>
          </w:p>
          <w:p w14:paraId="42E295B1">
            <w:pPr>
              <w:spacing w:line="360" w:lineRule="auto"/>
              <w:ind w:left="480"/>
              <w:rPr>
                <w:rFonts w:ascii="Times New Roman" w:hAnsi="Times New Roman"/>
                <w:color w:val="auto"/>
                <w:sz w:val="24"/>
                <w:szCs w:val="24"/>
                <w:highlight w:val="none"/>
              </w:rPr>
            </w:pPr>
            <w:r>
              <w:rPr>
                <w:rFonts w:hint="eastAsia" w:ascii="Times New Roman" w:hAnsi="Times New Roman"/>
                <w:color w:val="auto"/>
                <w:sz w:val="24"/>
                <w:szCs w:val="24"/>
                <w:highlight w:val="none"/>
              </w:rPr>
              <w:t>（3）</w:t>
            </w:r>
            <w:r>
              <w:rPr>
                <w:rFonts w:ascii="Times New Roman" w:hAnsi="Times New Roman"/>
                <w:color w:val="auto"/>
                <w:sz w:val="24"/>
                <w:szCs w:val="24"/>
                <w:highlight w:val="none"/>
              </w:rPr>
              <w:t>预测结果</w:t>
            </w:r>
          </w:p>
          <w:p w14:paraId="6D724E75">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经预测，厂界</w:t>
            </w:r>
            <w:r>
              <w:rPr>
                <w:rFonts w:hint="eastAsia" w:ascii="Times New Roman" w:hAnsi="Times New Roman"/>
                <w:color w:val="auto"/>
                <w:sz w:val="24"/>
                <w:szCs w:val="24"/>
                <w:highlight w:val="none"/>
              </w:rPr>
              <w:t>的</w:t>
            </w:r>
            <w:r>
              <w:rPr>
                <w:rFonts w:ascii="Times New Roman" w:hAnsi="Times New Roman"/>
                <w:color w:val="auto"/>
                <w:sz w:val="24"/>
                <w:szCs w:val="24"/>
                <w:highlight w:val="none"/>
              </w:rPr>
              <w:t>噪声值见下表。</w:t>
            </w:r>
          </w:p>
          <w:p w14:paraId="75FC863C">
            <w:pPr>
              <w:topLinePunct/>
              <w:spacing w:line="360" w:lineRule="auto"/>
              <w:jc w:val="center"/>
              <w:rPr>
                <w:rFonts w:ascii="Times New Roman" w:hAnsi="Times New Roman" w:eastAsia="黑体"/>
                <w:bCs/>
                <w:color w:val="auto"/>
                <w:kern w:val="0"/>
                <w:sz w:val="24"/>
                <w:szCs w:val="24"/>
                <w:highlight w:val="none"/>
              </w:rPr>
            </w:pPr>
            <w:r>
              <w:rPr>
                <w:rFonts w:ascii="Times New Roman" w:hAnsi="Times New Roman" w:eastAsia="黑体"/>
                <w:bCs/>
                <w:color w:val="auto"/>
                <w:kern w:val="0"/>
                <w:sz w:val="24"/>
                <w:szCs w:val="24"/>
                <w:highlight w:val="none"/>
              </w:rPr>
              <w:t>表4-</w:t>
            </w:r>
            <w:r>
              <w:rPr>
                <w:rFonts w:hint="eastAsia" w:ascii="Times New Roman" w:hAnsi="Times New Roman" w:eastAsia="黑体"/>
                <w:bCs/>
                <w:color w:val="auto"/>
                <w:kern w:val="0"/>
                <w:sz w:val="24"/>
                <w:szCs w:val="24"/>
                <w:highlight w:val="none"/>
                <w:lang w:val="en-US" w:eastAsia="zh-CN"/>
              </w:rPr>
              <w:t>12</w:t>
            </w:r>
            <w:r>
              <w:rPr>
                <w:rFonts w:hint="eastAsia" w:ascii="Times New Roman" w:hAnsi="Times New Roman" w:eastAsia="黑体"/>
                <w:bCs/>
                <w:color w:val="auto"/>
                <w:kern w:val="0"/>
                <w:sz w:val="24"/>
                <w:szCs w:val="24"/>
                <w:highlight w:val="none"/>
              </w:rPr>
              <w:t xml:space="preserve"> </w:t>
            </w:r>
            <w:r>
              <w:rPr>
                <w:rFonts w:ascii="Times New Roman" w:hAnsi="Times New Roman" w:eastAsia="黑体"/>
                <w:bCs/>
                <w:color w:val="auto"/>
                <w:kern w:val="0"/>
                <w:sz w:val="24"/>
                <w:szCs w:val="24"/>
                <w:highlight w:val="none"/>
              </w:rPr>
              <w:t>各厂界</w:t>
            </w:r>
            <w:r>
              <w:rPr>
                <w:rFonts w:hint="eastAsia" w:ascii="Times New Roman" w:hAnsi="Times New Roman" w:eastAsia="黑体"/>
                <w:bCs/>
                <w:color w:val="auto"/>
                <w:kern w:val="0"/>
                <w:sz w:val="24"/>
                <w:szCs w:val="24"/>
                <w:highlight w:val="none"/>
              </w:rPr>
              <w:t>及保护目标</w:t>
            </w:r>
            <w:r>
              <w:rPr>
                <w:rFonts w:ascii="Times New Roman" w:hAnsi="Times New Roman" w:eastAsia="黑体"/>
                <w:bCs/>
                <w:color w:val="auto"/>
                <w:kern w:val="0"/>
                <w:sz w:val="24"/>
                <w:szCs w:val="24"/>
                <w:highlight w:val="none"/>
              </w:rPr>
              <w:t>噪声预测结果  单位：dB(A)</w:t>
            </w:r>
          </w:p>
          <w:tbl>
            <w:tblPr>
              <w:tblStyle w:val="20"/>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026"/>
              <w:gridCol w:w="719"/>
              <w:gridCol w:w="722"/>
              <w:gridCol w:w="812"/>
              <w:gridCol w:w="979"/>
              <w:gridCol w:w="884"/>
              <w:gridCol w:w="941"/>
              <w:gridCol w:w="1230"/>
            </w:tblGrid>
            <w:tr w14:paraId="7A73D8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3" w:type="pct"/>
                  <w:gridSpan w:val="2"/>
                  <w:vMerge w:val="restart"/>
                  <w:tcBorders>
                    <w:bottom w:val="single" w:color="auto" w:sz="4" w:space="0"/>
                  </w:tcBorders>
                  <w:noWrap w:val="0"/>
                  <w:vAlign w:val="center"/>
                </w:tcPr>
                <w:p w14:paraId="54CC2D50">
                  <w:pPr>
                    <w:jc w:val="center"/>
                    <w:rPr>
                      <w:rFonts w:ascii="Times New Roman" w:hAnsi="Times New Roman"/>
                      <w:b/>
                      <w:bCs/>
                      <w:color w:val="auto"/>
                      <w:szCs w:val="21"/>
                      <w:highlight w:val="none"/>
                    </w:rPr>
                  </w:pPr>
                  <w:r>
                    <w:rPr>
                      <w:rFonts w:ascii="Times New Roman" w:hAnsi="Times New Roman"/>
                      <w:b/>
                      <w:bCs/>
                      <w:color w:val="auto"/>
                      <w:szCs w:val="21"/>
                      <w:highlight w:val="none"/>
                    </w:rPr>
                    <w:t>预测地点</w:t>
                  </w:r>
                </w:p>
              </w:tc>
              <w:tc>
                <w:tcPr>
                  <w:tcW w:w="913" w:type="pct"/>
                  <w:gridSpan w:val="2"/>
                  <w:tcBorders>
                    <w:bottom w:val="single" w:color="auto" w:sz="4" w:space="0"/>
                  </w:tcBorders>
                  <w:noWrap w:val="0"/>
                  <w:vAlign w:val="center"/>
                </w:tcPr>
                <w:p w14:paraId="4F57D7BD">
                  <w:pPr>
                    <w:jc w:val="center"/>
                    <w:rPr>
                      <w:rFonts w:ascii="Times New Roman" w:hAnsi="Times New Roman"/>
                      <w:b/>
                      <w:bCs/>
                      <w:color w:val="auto"/>
                      <w:szCs w:val="21"/>
                      <w:highlight w:val="none"/>
                    </w:rPr>
                  </w:pPr>
                  <w:r>
                    <w:rPr>
                      <w:rFonts w:hint="eastAsia" w:ascii="Times New Roman" w:hAnsi="Times New Roman"/>
                      <w:b/>
                      <w:bCs/>
                      <w:color w:val="auto"/>
                      <w:szCs w:val="21"/>
                      <w:highlight w:val="none"/>
                    </w:rPr>
                    <w:t>贡献值</w:t>
                  </w:r>
                </w:p>
              </w:tc>
              <w:tc>
                <w:tcPr>
                  <w:tcW w:w="1135" w:type="pct"/>
                  <w:gridSpan w:val="2"/>
                  <w:tcBorders>
                    <w:bottom w:val="single" w:color="auto" w:sz="4" w:space="0"/>
                  </w:tcBorders>
                  <w:noWrap w:val="0"/>
                  <w:vAlign w:val="center"/>
                </w:tcPr>
                <w:p w14:paraId="0654EEAA">
                  <w:pPr>
                    <w:jc w:val="center"/>
                    <w:rPr>
                      <w:rFonts w:hint="eastAsia" w:ascii="Times New Roman" w:hAnsi="Times New Roman" w:eastAsia="宋体"/>
                      <w:b/>
                      <w:bCs/>
                      <w:color w:val="auto"/>
                      <w:szCs w:val="21"/>
                      <w:highlight w:val="none"/>
                      <w:lang w:val="en-US" w:eastAsia="zh-CN"/>
                    </w:rPr>
                  </w:pPr>
                  <w:r>
                    <w:rPr>
                      <w:rFonts w:hint="eastAsia" w:ascii="Times New Roman" w:hAnsi="Times New Roman"/>
                      <w:b/>
                      <w:bCs/>
                      <w:color w:val="auto"/>
                      <w:szCs w:val="21"/>
                      <w:highlight w:val="none"/>
                      <w:lang w:val="en-US" w:eastAsia="zh-CN"/>
                    </w:rPr>
                    <w:t>预测值</w:t>
                  </w:r>
                </w:p>
              </w:tc>
              <w:tc>
                <w:tcPr>
                  <w:tcW w:w="1157" w:type="pct"/>
                  <w:gridSpan w:val="2"/>
                  <w:tcBorders>
                    <w:bottom w:val="single" w:color="auto" w:sz="4" w:space="0"/>
                  </w:tcBorders>
                  <w:noWrap w:val="0"/>
                  <w:vAlign w:val="center"/>
                </w:tcPr>
                <w:p w14:paraId="4AEDC579">
                  <w:pPr>
                    <w:jc w:val="center"/>
                    <w:rPr>
                      <w:rFonts w:ascii="Times New Roman" w:hAnsi="Times New Roman"/>
                      <w:b/>
                      <w:bCs/>
                      <w:color w:val="auto"/>
                      <w:szCs w:val="21"/>
                      <w:highlight w:val="none"/>
                    </w:rPr>
                  </w:pPr>
                  <w:r>
                    <w:rPr>
                      <w:rFonts w:ascii="Times New Roman" w:hAnsi="Times New Roman"/>
                      <w:b/>
                      <w:bCs/>
                      <w:color w:val="auto"/>
                      <w:szCs w:val="21"/>
                      <w:highlight w:val="none"/>
                    </w:rPr>
                    <w:t>标准值</w:t>
                  </w:r>
                </w:p>
              </w:tc>
              <w:tc>
                <w:tcPr>
                  <w:tcW w:w="779" w:type="pct"/>
                  <w:vMerge w:val="restart"/>
                  <w:tcBorders>
                    <w:bottom w:val="single" w:color="auto" w:sz="4" w:space="0"/>
                  </w:tcBorders>
                  <w:noWrap w:val="0"/>
                  <w:vAlign w:val="center"/>
                </w:tcPr>
                <w:p w14:paraId="340573D4">
                  <w:pPr>
                    <w:jc w:val="center"/>
                    <w:rPr>
                      <w:rFonts w:ascii="Times New Roman" w:hAnsi="Times New Roman"/>
                      <w:b/>
                      <w:bCs/>
                      <w:color w:val="auto"/>
                      <w:szCs w:val="21"/>
                      <w:highlight w:val="none"/>
                    </w:rPr>
                  </w:pPr>
                  <w:r>
                    <w:rPr>
                      <w:rFonts w:ascii="Times New Roman" w:hAnsi="Times New Roman"/>
                      <w:b/>
                      <w:bCs/>
                      <w:color w:val="auto"/>
                      <w:szCs w:val="21"/>
                      <w:highlight w:val="none"/>
                    </w:rPr>
                    <w:t>标准</w:t>
                  </w:r>
                </w:p>
              </w:tc>
            </w:tr>
            <w:tr w14:paraId="799A4E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3" w:type="pct"/>
                  <w:gridSpan w:val="2"/>
                  <w:vMerge w:val="continue"/>
                  <w:tcBorders>
                    <w:top w:val="single" w:color="auto" w:sz="4" w:space="0"/>
                    <w:bottom w:val="single" w:color="auto" w:sz="4" w:space="0"/>
                  </w:tcBorders>
                  <w:noWrap w:val="0"/>
                  <w:vAlign w:val="center"/>
                </w:tcPr>
                <w:p w14:paraId="35CCA8A1">
                  <w:pPr>
                    <w:ind w:firstLine="361"/>
                    <w:jc w:val="center"/>
                    <w:rPr>
                      <w:rFonts w:ascii="Times New Roman" w:hAnsi="Times New Roman"/>
                      <w:b/>
                      <w:bCs/>
                      <w:color w:val="auto"/>
                      <w:szCs w:val="21"/>
                      <w:highlight w:val="none"/>
                    </w:rPr>
                  </w:pPr>
                </w:p>
              </w:tc>
              <w:tc>
                <w:tcPr>
                  <w:tcW w:w="455" w:type="pct"/>
                  <w:tcBorders>
                    <w:top w:val="single" w:color="auto" w:sz="4" w:space="0"/>
                    <w:bottom w:val="single" w:color="auto" w:sz="4" w:space="0"/>
                  </w:tcBorders>
                  <w:noWrap w:val="0"/>
                  <w:vAlign w:val="center"/>
                </w:tcPr>
                <w:p w14:paraId="163A30B5">
                  <w:pPr>
                    <w:jc w:val="center"/>
                    <w:rPr>
                      <w:rFonts w:ascii="Times New Roman" w:hAnsi="Times New Roman"/>
                      <w:b/>
                      <w:bCs/>
                      <w:color w:val="auto"/>
                      <w:szCs w:val="21"/>
                      <w:highlight w:val="none"/>
                    </w:rPr>
                  </w:pPr>
                  <w:r>
                    <w:rPr>
                      <w:rFonts w:ascii="Times New Roman" w:hAnsi="Times New Roman"/>
                      <w:b/>
                      <w:bCs/>
                      <w:color w:val="auto"/>
                      <w:szCs w:val="21"/>
                      <w:highlight w:val="none"/>
                    </w:rPr>
                    <w:t>昼</w:t>
                  </w:r>
                </w:p>
              </w:tc>
              <w:tc>
                <w:tcPr>
                  <w:tcW w:w="457" w:type="pct"/>
                  <w:tcBorders>
                    <w:top w:val="single" w:color="auto" w:sz="4" w:space="0"/>
                    <w:bottom w:val="single" w:color="auto" w:sz="4" w:space="0"/>
                  </w:tcBorders>
                  <w:noWrap w:val="0"/>
                  <w:vAlign w:val="center"/>
                </w:tcPr>
                <w:p w14:paraId="5AAD1E51">
                  <w:pPr>
                    <w:jc w:val="center"/>
                    <w:rPr>
                      <w:rFonts w:ascii="Times New Roman" w:hAnsi="Times New Roman"/>
                      <w:b/>
                      <w:bCs/>
                      <w:color w:val="auto"/>
                      <w:szCs w:val="21"/>
                      <w:highlight w:val="none"/>
                    </w:rPr>
                  </w:pPr>
                  <w:r>
                    <w:rPr>
                      <w:rFonts w:ascii="Times New Roman" w:hAnsi="Times New Roman"/>
                      <w:b/>
                      <w:bCs/>
                      <w:color w:val="auto"/>
                      <w:szCs w:val="21"/>
                      <w:highlight w:val="none"/>
                    </w:rPr>
                    <w:t>夜</w:t>
                  </w:r>
                </w:p>
              </w:tc>
              <w:tc>
                <w:tcPr>
                  <w:tcW w:w="514" w:type="pct"/>
                  <w:tcBorders>
                    <w:top w:val="single" w:color="auto" w:sz="4" w:space="0"/>
                    <w:bottom w:val="single" w:color="auto" w:sz="4" w:space="0"/>
                  </w:tcBorders>
                  <w:noWrap w:val="0"/>
                  <w:vAlign w:val="center"/>
                </w:tcPr>
                <w:p w14:paraId="743A01C6">
                  <w:pPr>
                    <w:jc w:val="center"/>
                    <w:rPr>
                      <w:rFonts w:ascii="Times New Roman" w:hAnsi="Times New Roman"/>
                      <w:b/>
                      <w:bCs/>
                      <w:color w:val="auto"/>
                      <w:szCs w:val="21"/>
                      <w:highlight w:val="none"/>
                    </w:rPr>
                  </w:pPr>
                  <w:r>
                    <w:rPr>
                      <w:rFonts w:ascii="Times New Roman" w:hAnsi="Times New Roman"/>
                      <w:b/>
                      <w:bCs/>
                      <w:color w:val="auto"/>
                      <w:szCs w:val="21"/>
                      <w:highlight w:val="none"/>
                    </w:rPr>
                    <w:t>昼</w:t>
                  </w:r>
                </w:p>
              </w:tc>
              <w:tc>
                <w:tcPr>
                  <w:tcW w:w="620" w:type="pct"/>
                  <w:tcBorders>
                    <w:top w:val="single" w:color="auto" w:sz="4" w:space="0"/>
                    <w:bottom w:val="single" w:color="auto" w:sz="4" w:space="0"/>
                  </w:tcBorders>
                  <w:noWrap w:val="0"/>
                  <w:vAlign w:val="center"/>
                </w:tcPr>
                <w:p w14:paraId="55CB91A9">
                  <w:pPr>
                    <w:jc w:val="center"/>
                    <w:rPr>
                      <w:rFonts w:ascii="Times New Roman" w:hAnsi="Times New Roman"/>
                      <w:b/>
                      <w:bCs/>
                      <w:color w:val="auto"/>
                      <w:szCs w:val="21"/>
                      <w:highlight w:val="none"/>
                    </w:rPr>
                  </w:pPr>
                  <w:r>
                    <w:rPr>
                      <w:rFonts w:ascii="Times New Roman" w:hAnsi="Times New Roman"/>
                      <w:b/>
                      <w:bCs/>
                      <w:color w:val="auto"/>
                      <w:szCs w:val="21"/>
                      <w:highlight w:val="none"/>
                    </w:rPr>
                    <w:t>夜</w:t>
                  </w:r>
                </w:p>
              </w:tc>
              <w:tc>
                <w:tcPr>
                  <w:tcW w:w="560" w:type="pct"/>
                  <w:tcBorders>
                    <w:top w:val="single" w:color="auto" w:sz="4" w:space="0"/>
                    <w:bottom w:val="single" w:color="auto" w:sz="4" w:space="0"/>
                  </w:tcBorders>
                  <w:noWrap w:val="0"/>
                  <w:vAlign w:val="center"/>
                </w:tcPr>
                <w:p w14:paraId="180B6705">
                  <w:pPr>
                    <w:jc w:val="center"/>
                    <w:rPr>
                      <w:rFonts w:ascii="Times New Roman" w:hAnsi="Times New Roman"/>
                      <w:b/>
                      <w:bCs/>
                      <w:color w:val="auto"/>
                      <w:szCs w:val="21"/>
                      <w:highlight w:val="none"/>
                    </w:rPr>
                  </w:pPr>
                  <w:r>
                    <w:rPr>
                      <w:rFonts w:ascii="Times New Roman" w:hAnsi="Times New Roman"/>
                      <w:b/>
                      <w:bCs/>
                      <w:color w:val="auto"/>
                      <w:szCs w:val="21"/>
                      <w:highlight w:val="none"/>
                    </w:rPr>
                    <w:t>昼</w:t>
                  </w:r>
                </w:p>
              </w:tc>
              <w:tc>
                <w:tcPr>
                  <w:tcW w:w="596" w:type="pct"/>
                  <w:tcBorders>
                    <w:top w:val="single" w:color="auto" w:sz="4" w:space="0"/>
                    <w:bottom w:val="single" w:color="auto" w:sz="4" w:space="0"/>
                  </w:tcBorders>
                  <w:noWrap w:val="0"/>
                  <w:vAlign w:val="center"/>
                </w:tcPr>
                <w:p w14:paraId="41DC6148">
                  <w:pPr>
                    <w:jc w:val="center"/>
                    <w:rPr>
                      <w:rFonts w:ascii="Times New Roman" w:hAnsi="Times New Roman"/>
                      <w:b/>
                      <w:bCs/>
                      <w:color w:val="auto"/>
                      <w:szCs w:val="21"/>
                      <w:highlight w:val="none"/>
                    </w:rPr>
                  </w:pPr>
                  <w:r>
                    <w:rPr>
                      <w:rFonts w:ascii="Times New Roman" w:hAnsi="Times New Roman"/>
                      <w:b/>
                      <w:bCs/>
                      <w:color w:val="auto"/>
                      <w:szCs w:val="21"/>
                      <w:highlight w:val="none"/>
                    </w:rPr>
                    <w:t>夜</w:t>
                  </w:r>
                </w:p>
              </w:tc>
              <w:tc>
                <w:tcPr>
                  <w:tcW w:w="779" w:type="pct"/>
                  <w:vMerge w:val="continue"/>
                  <w:tcBorders>
                    <w:top w:val="single" w:color="auto" w:sz="4" w:space="0"/>
                    <w:bottom w:val="single" w:color="auto" w:sz="4" w:space="0"/>
                  </w:tcBorders>
                  <w:noWrap w:val="0"/>
                  <w:vAlign w:val="center"/>
                </w:tcPr>
                <w:p w14:paraId="7364FC1D">
                  <w:pPr>
                    <w:ind w:firstLine="361"/>
                    <w:jc w:val="center"/>
                    <w:rPr>
                      <w:rFonts w:ascii="Times New Roman" w:hAnsi="Times New Roman"/>
                      <w:b/>
                      <w:bCs/>
                      <w:color w:val="auto"/>
                      <w:szCs w:val="21"/>
                      <w:highlight w:val="none"/>
                    </w:rPr>
                  </w:pPr>
                </w:p>
              </w:tc>
            </w:tr>
            <w:tr w14:paraId="3415B4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tcBorders>
                    <w:top w:val="single" w:color="auto" w:sz="4" w:space="0"/>
                    <w:bottom w:val="single" w:color="auto" w:sz="4" w:space="0"/>
                  </w:tcBorders>
                  <w:noWrap w:val="0"/>
                  <w:vAlign w:val="center"/>
                </w:tcPr>
                <w:p w14:paraId="57FF3F8A">
                  <w:pPr>
                    <w:jc w:val="center"/>
                    <w:rPr>
                      <w:rFonts w:ascii="Times New Roman" w:hAnsi="Times New Roman"/>
                      <w:color w:val="auto"/>
                      <w:szCs w:val="21"/>
                      <w:highlight w:val="none"/>
                    </w:rPr>
                  </w:pPr>
                  <w:r>
                    <w:rPr>
                      <w:rFonts w:ascii="Times New Roman" w:hAnsi="Times New Roman"/>
                      <w:color w:val="auto"/>
                      <w:szCs w:val="21"/>
                      <w:highlight w:val="none"/>
                    </w:rPr>
                    <w:t>N1</w:t>
                  </w:r>
                </w:p>
              </w:tc>
              <w:tc>
                <w:tcPr>
                  <w:tcW w:w="650" w:type="pct"/>
                  <w:tcBorders>
                    <w:top w:val="single" w:color="auto" w:sz="4" w:space="0"/>
                    <w:bottom w:val="single" w:color="auto" w:sz="4" w:space="0"/>
                  </w:tcBorders>
                  <w:noWrap w:val="0"/>
                  <w:vAlign w:val="center"/>
                </w:tcPr>
                <w:p w14:paraId="0BF53E55">
                  <w:pPr>
                    <w:jc w:val="center"/>
                    <w:rPr>
                      <w:rFonts w:ascii="Times New Roman" w:hAnsi="Times New Roman"/>
                      <w:color w:val="auto"/>
                      <w:szCs w:val="21"/>
                      <w:highlight w:val="none"/>
                    </w:rPr>
                  </w:pPr>
                  <w:r>
                    <w:rPr>
                      <w:rFonts w:ascii="Times New Roman" w:hAnsi="Times New Roman"/>
                      <w:color w:val="auto"/>
                      <w:szCs w:val="21"/>
                      <w:highlight w:val="none"/>
                    </w:rPr>
                    <w:t>厂界东</w:t>
                  </w:r>
                </w:p>
              </w:tc>
              <w:tc>
                <w:tcPr>
                  <w:tcW w:w="455" w:type="pct"/>
                  <w:tcBorders>
                    <w:top w:val="single" w:color="auto" w:sz="4" w:space="0"/>
                    <w:bottom w:val="single" w:color="auto" w:sz="4" w:space="0"/>
                  </w:tcBorders>
                  <w:noWrap w:val="0"/>
                  <w:vAlign w:val="center"/>
                </w:tcPr>
                <w:p w14:paraId="46A430C5">
                  <w:pPr>
                    <w:jc w:val="center"/>
                    <w:rPr>
                      <w:rFonts w:ascii="Times New Roman" w:hAnsi="Times New Roman"/>
                      <w:color w:val="auto"/>
                      <w:szCs w:val="21"/>
                      <w:highlight w:val="none"/>
                    </w:rPr>
                  </w:pPr>
                  <w:r>
                    <w:rPr>
                      <w:rFonts w:ascii="Times New Roman" w:hAnsi="Times New Roman"/>
                      <w:color w:val="auto"/>
                      <w:szCs w:val="21"/>
                      <w:highlight w:val="none"/>
                    </w:rPr>
                    <w:t>49</w:t>
                  </w:r>
                </w:p>
              </w:tc>
              <w:tc>
                <w:tcPr>
                  <w:tcW w:w="457" w:type="pct"/>
                  <w:tcBorders>
                    <w:top w:val="single" w:color="auto" w:sz="4" w:space="0"/>
                    <w:bottom w:val="single" w:color="auto" w:sz="4" w:space="0"/>
                  </w:tcBorders>
                  <w:noWrap w:val="0"/>
                  <w:vAlign w:val="center"/>
                </w:tcPr>
                <w:p w14:paraId="3FF5649B">
                  <w:pPr>
                    <w:jc w:val="center"/>
                    <w:rPr>
                      <w:rFonts w:ascii="Times New Roman" w:hAnsi="Times New Roman"/>
                      <w:color w:val="auto"/>
                      <w:szCs w:val="21"/>
                      <w:highlight w:val="none"/>
                    </w:rPr>
                  </w:pPr>
                  <w:r>
                    <w:rPr>
                      <w:rFonts w:ascii="Times New Roman" w:hAnsi="Times New Roman"/>
                      <w:color w:val="auto"/>
                      <w:szCs w:val="21"/>
                      <w:highlight w:val="none"/>
                    </w:rPr>
                    <w:t>49</w:t>
                  </w:r>
                </w:p>
              </w:tc>
              <w:tc>
                <w:tcPr>
                  <w:tcW w:w="514" w:type="pct"/>
                  <w:tcBorders>
                    <w:top w:val="single" w:color="auto" w:sz="4" w:space="0"/>
                    <w:bottom w:val="single" w:color="auto" w:sz="4" w:space="0"/>
                  </w:tcBorders>
                  <w:noWrap w:val="0"/>
                  <w:vAlign w:val="center"/>
                </w:tcPr>
                <w:p w14:paraId="7A8479AD">
                  <w:pPr>
                    <w:jc w:val="center"/>
                    <w:rPr>
                      <w:rFonts w:ascii="Times New Roman" w:hAnsi="Times New Roman"/>
                      <w:color w:val="auto"/>
                      <w:szCs w:val="21"/>
                      <w:highlight w:val="none"/>
                    </w:rPr>
                  </w:pPr>
                  <w:r>
                    <w:rPr>
                      <w:rFonts w:ascii="Times New Roman" w:hAnsi="Times New Roman"/>
                      <w:color w:val="auto"/>
                      <w:szCs w:val="21"/>
                      <w:highlight w:val="none"/>
                    </w:rPr>
                    <w:t>49</w:t>
                  </w:r>
                </w:p>
              </w:tc>
              <w:tc>
                <w:tcPr>
                  <w:tcW w:w="620" w:type="pct"/>
                  <w:tcBorders>
                    <w:top w:val="single" w:color="auto" w:sz="4" w:space="0"/>
                    <w:bottom w:val="single" w:color="auto" w:sz="4" w:space="0"/>
                  </w:tcBorders>
                  <w:noWrap w:val="0"/>
                  <w:vAlign w:val="center"/>
                </w:tcPr>
                <w:p w14:paraId="7704A953">
                  <w:pPr>
                    <w:jc w:val="center"/>
                    <w:rPr>
                      <w:rFonts w:ascii="Times New Roman" w:hAnsi="Times New Roman"/>
                      <w:color w:val="auto"/>
                      <w:szCs w:val="21"/>
                      <w:highlight w:val="none"/>
                    </w:rPr>
                  </w:pPr>
                  <w:r>
                    <w:rPr>
                      <w:rFonts w:ascii="Times New Roman" w:hAnsi="Times New Roman"/>
                      <w:color w:val="auto"/>
                      <w:szCs w:val="21"/>
                      <w:highlight w:val="none"/>
                    </w:rPr>
                    <w:t>49</w:t>
                  </w:r>
                </w:p>
              </w:tc>
              <w:tc>
                <w:tcPr>
                  <w:tcW w:w="560" w:type="pct"/>
                  <w:vMerge w:val="restart"/>
                  <w:tcBorders>
                    <w:top w:val="single" w:color="auto" w:sz="4" w:space="0"/>
                    <w:bottom w:val="single" w:color="auto" w:sz="4" w:space="0"/>
                  </w:tcBorders>
                  <w:noWrap w:val="0"/>
                  <w:vAlign w:val="center"/>
                </w:tcPr>
                <w:p w14:paraId="72657E15">
                  <w:pPr>
                    <w:jc w:val="center"/>
                    <w:rPr>
                      <w:rFonts w:ascii="Times New Roman" w:hAnsi="Times New Roman"/>
                      <w:color w:val="auto"/>
                      <w:szCs w:val="21"/>
                      <w:highlight w:val="none"/>
                    </w:rPr>
                  </w:pPr>
                  <w:r>
                    <w:rPr>
                      <w:rFonts w:ascii="Times New Roman" w:hAnsi="Times New Roman"/>
                      <w:color w:val="auto"/>
                      <w:szCs w:val="21"/>
                      <w:highlight w:val="none"/>
                    </w:rPr>
                    <w:t>6</w:t>
                  </w:r>
                  <w:r>
                    <w:rPr>
                      <w:rFonts w:hint="eastAsia" w:ascii="Times New Roman" w:hAnsi="Times New Roman"/>
                      <w:color w:val="auto"/>
                      <w:szCs w:val="21"/>
                      <w:highlight w:val="none"/>
                    </w:rPr>
                    <w:t>5</w:t>
                  </w:r>
                </w:p>
              </w:tc>
              <w:tc>
                <w:tcPr>
                  <w:tcW w:w="596" w:type="pct"/>
                  <w:vMerge w:val="restart"/>
                  <w:tcBorders>
                    <w:top w:val="single" w:color="auto" w:sz="4" w:space="0"/>
                    <w:bottom w:val="single" w:color="auto" w:sz="4" w:space="0"/>
                  </w:tcBorders>
                  <w:noWrap w:val="0"/>
                  <w:vAlign w:val="center"/>
                </w:tcPr>
                <w:p w14:paraId="42025301">
                  <w:pPr>
                    <w:jc w:val="center"/>
                    <w:rPr>
                      <w:rFonts w:ascii="Times New Roman" w:hAnsi="Times New Roman"/>
                      <w:color w:val="auto"/>
                      <w:szCs w:val="21"/>
                      <w:highlight w:val="none"/>
                    </w:rPr>
                  </w:pPr>
                  <w:r>
                    <w:rPr>
                      <w:rFonts w:ascii="Times New Roman" w:hAnsi="Times New Roman"/>
                      <w:color w:val="auto"/>
                      <w:szCs w:val="21"/>
                      <w:highlight w:val="none"/>
                    </w:rPr>
                    <w:t>5</w:t>
                  </w:r>
                  <w:r>
                    <w:rPr>
                      <w:rFonts w:hint="eastAsia" w:ascii="Times New Roman" w:hAnsi="Times New Roman"/>
                      <w:color w:val="auto"/>
                      <w:szCs w:val="21"/>
                      <w:highlight w:val="none"/>
                    </w:rPr>
                    <w:t>5</w:t>
                  </w:r>
                </w:p>
              </w:tc>
              <w:tc>
                <w:tcPr>
                  <w:tcW w:w="779" w:type="pct"/>
                  <w:vMerge w:val="restart"/>
                  <w:tcBorders>
                    <w:top w:val="single" w:color="auto" w:sz="4" w:space="0"/>
                    <w:bottom w:val="single" w:color="auto" w:sz="4" w:space="0"/>
                  </w:tcBorders>
                  <w:noWrap w:val="0"/>
                  <w:vAlign w:val="center"/>
                </w:tcPr>
                <w:p w14:paraId="172B59D5">
                  <w:pPr>
                    <w:jc w:val="center"/>
                    <w:rPr>
                      <w:rFonts w:ascii="Times New Roman" w:hAnsi="Times New Roman"/>
                      <w:color w:val="auto"/>
                      <w:szCs w:val="21"/>
                      <w:highlight w:val="none"/>
                    </w:rPr>
                  </w:pPr>
                  <w:r>
                    <w:rPr>
                      <w:rFonts w:ascii="Times New Roman" w:hAnsi="Times New Roman"/>
                      <w:color w:val="auto"/>
                      <w:szCs w:val="21"/>
                      <w:highlight w:val="none"/>
                    </w:rPr>
                    <w:t>GB12348-2008中</w:t>
                  </w:r>
                  <w:r>
                    <w:rPr>
                      <w:rFonts w:hint="eastAsia" w:ascii="Times New Roman" w:hAnsi="Times New Roman"/>
                      <w:color w:val="auto"/>
                      <w:szCs w:val="21"/>
                      <w:highlight w:val="none"/>
                    </w:rPr>
                    <w:t>3</w:t>
                  </w:r>
                  <w:r>
                    <w:rPr>
                      <w:rFonts w:ascii="Times New Roman" w:hAnsi="Times New Roman"/>
                      <w:color w:val="auto"/>
                      <w:szCs w:val="21"/>
                      <w:highlight w:val="none"/>
                    </w:rPr>
                    <w:t>类标准</w:t>
                  </w:r>
                </w:p>
              </w:tc>
            </w:tr>
            <w:tr w14:paraId="155147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tcBorders>
                    <w:top w:val="single" w:color="auto" w:sz="4" w:space="0"/>
                    <w:bottom w:val="single" w:color="auto" w:sz="4" w:space="0"/>
                  </w:tcBorders>
                  <w:noWrap w:val="0"/>
                  <w:vAlign w:val="center"/>
                </w:tcPr>
                <w:p w14:paraId="41546937">
                  <w:pPr>
                    <w:jc w:val="center"/>
                    <w:rPr>
                      <w:rFonts w:ascii="Times New Roman" w:hAnsi="Times New Roman"/>
                      <w:color w:val="auto"/>
                      <w:szCs w:val="21"/>
                      <w:highlight w:val="none"/>
                    </w:rPr>
                  </w:pPr>
                  <w:r>
                    <w:rPr>
                      <w:rFonts w:ascii="Times New Roman" w:hAnsi="Times New Roman"/>
                      <w:color w:val="auto"/>
                      <w:szCs w:val="21"/>
                      <w:highlight w:val="none"/>
                    </w:rPr>
                    <w:t>N2</w:t>
                  </w:r>
                </w:p>
              </w:tc>
              <w:tc>
                <w:tcPr>
                  <w:tcW w:w="650" w:type="pct"/>
                  <w:tcBorders>
                    <w:top w:val="single" w:color="auto" w:sz="4" w:space="0"/>
                    <w:bottom w:val="single" w:color="auto" w:sz="4" w:space="0"/>
                  </w:tcBorders>
                  <w:noWrap w:val="0"/>
                  <w:vAlign w:val="center"/>
                </w:tcPr>
                <w:p w14:paraId="685E6C14">
                  <w:pPr>
                    <w:jc w:val="center"/>
                    <w:rPr>
                      <w:rFonts w:ascii="Times New Roman" w:hAnsi="Times New Roman"/>
                      <w:color w:val="auto"/>
                      <w:szCs w:val="21"/>
                      <w:highlight w:val="none"/>
                    </w:rPr>
                  </w:pPr>
                  <w:r>
                    <w:rPr>
                      <w:rFonts w:ascii="Times New Roman" w:hAnsi="Times New Roman"/>
                      <w:color w:val="auto"/>
                      <w:szCs w:val="21"/>
                      <w:highlight w:val="none"/>
                    </w:rPr>
                    <w:t>厂界南</w:t>
                  </w:r>
                </w:p>
              </w:tc>
              <w:tc>
                <w:tcPr>
                  <w:tcW w:w="455" w:type="pct"/>
                  <w:tcBorders>
                    <w:top w:val="single" w:color="auto" w:sz="4" w:space="0"/>
                    <w:bottom w:val="single" w:color="auto" w:sz="4" w:space="0"/>
                  </w:tcBorders>
                  <w:noWrap w:val="0"/>
                  <w:vAlign w:val="center"/>
                </w:tcPr>
                <w:p w14:paraId="10C9EA43">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52</w:t>
                  </w:r>
                </w:p>
              </w:tc>
              <w:tc>
                <w:tcPr>
                  <w:tcW w:w="457" w:type="pct"/>
                  <w:tcBorders>
                    <w:top w:val="single" w:color="auto" w:sz="4" w:space="0"/>
                    <w:bottom w:val="single" w:color="auto" w:sz="4" w:space="0"/>
                  </w:tcBorders>
                  <w:noWrap w:val="0"/>
                  <w:vAlign w:val="center"/>
                </w:tcPr>
                <w:p w14:paraId="30B40E47">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52</w:t>
                  </w:r>
                </w:p>
              </w:tc>
              <w:tc>
                <w:tcPr>
                  <w:tcW w:w="514" w:type="pct"/>
                  <w:tcBorders>
                    <w:top w:val="single" w:color="auto" w:sz="4" w:space="0"/>
                    <w:bottom w:val="single" w:color="auto" w:sz="4" w:space="0"/>
                  </w:tcBorders>
                  <w:noWrap w:val="0"/>
                  <w:vAlign w:val="center"/>
                </w:tcPr>
                <w:p w14:paraId="1E34EABA">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52</w:t>
                  </w:r>
                </w:p>
              </w:tc>
              <w:tc>
                <w:tcPr>
                  <w:tcW w:w="620" w:type="pct"/>
                  <w:tcBorders>
                    <w:top w:val="single" w:color="auto" w:sz="4" w:space="0"/>
                    <w:bottom w:val="single" w:color="auto" w:sz="4" w:space="0"/>
                  </w:tcBorders>
                  <w:noWrap w:val="0"/>
                  <w:vAlign w:val="center"/>
                </w:tcPr>
                <w:p w14:paraId="56F0F27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52</w:t>
                  </w:r>
                </w:p>
              </w:tc>
              <w:tc>
                <w:tcPr>
                  <w:tcW w:w="560" w:type="pct"/>
                  <w:vMerge w:val="continue"/>
                  <w:tcBorders>
                    <w:top w:val="single" w:color="auto" w:sz="4" w:space="0"/>
                    <w:bottom w:val="single" w:color="auto" w:sz="4" w:space="0"/>
                  </w:tcBorders>
                  <w:noWrap w:val="0"/>
                  <w:vAlign w:val="center"/>
                </w:tcPr>
                <w:p w14:paraId="0B219F0A">
                  <w:pPr>
                    <w:ind w:firstLine="360"/>
                    <w:jc w:val="center"/>
                    <w:rPr>
                      <w:rFonts w:ascii="Times New Roman" w:hAnsi="Times New Roman"/>
                      <w:color w:val="auto"/>
                      <w:szCs w:val="21"/>
                      <w:highlight w:val="none"/>
                    </w:rPr>
                  </w:pPr>
                </w:p>
              </w:tc>
              <w:tc>
                <w:tcPr>
                  <w:tcW w:w="596" w:type="pct"/>
                  <w:vMerge w:val="continue"/>
                  <w:tcBorders>
                    <w:top w:val="single" w:color="auto" w:sz="4" w:space="0"/>
                    <w:bottom w:val="single" w:color="auto" w:sz="4" w:space="0"/>
                  </w:tcBorders>
                  <w:noWrap w:val="0"/>
                  <w:vAlign w:val="center"/>
                </w:tcPr>
                <w:p w14:paraId="7E7F7AB3">
                  <w:pPr>
                    <w:ind w:firstLine="360"/>
                    <w:jc w:val="center"/>
                    <w:rPr>
                      <w:rFonts w:ascii="Times New Roman" w:hAnsi="Times New Roman"/>
                      <w:color w:val="auto"/>
                      <w:szCs w:val="21"/>
                      <w:highlight w:val="none"/>
                    </w:rPr>
                  </w:pPr>
                </w:p>
              </w:tc>
              <w:tc>
                <w:tcPr>
                  <w:tcW w:w="779" w:type="pct"/>
                  <w:vMerge w:val="continue"/>
                  <w:tcBorders>
                    <w:top w:val="single" w:color="auto" w:sz="4" w:space="0"/>
                    <w:bottom w:val="single" w:color="auto" w:sz="4" w:space="0"/>
                  </w:tcBorders>
                  <w:noWrap w:val="0"/>
                  <w:vAlign w:val="center"/>
                </w:tcPr>
                <w:p w14:paraId="026EA97F">
                  <w:pPr>
                    <w:ind w:firstLine="360"/>
                    <w:jc w:val="center"/>
                    <w:rPr>
                      <w:rFonts w:ascii="Times New Roman" w:hAnsi="Times New Roman"/>
                      <w:color w:val="auto"/>
                      <w:szCs w:val="21"/>
                      <w:highlight w:val="none"/>
                    </w:rPr>
                  </w:pPr>
                </w:p>
              </w:tc>
            </w:tr>
            <w:tr w14:paraId="5848EF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tcBorders>
                    <w:top w:val="single" w:color="auto" w:sz="4" w:space="0"/>
                    <w:bottom w:val="single" w:color="auto" w:sz="4" w:space="0"/>
                  </w:tcBorders>
                  <w:noWrap w:val="0"/>
                  <w:vAlign w:val="center"/>
                </w:tcPr>
                <w:p w14:paraId="5BDFD892">
                  <w:pPr>
                    <w:jc w:val="center"/>
                    <w:rPr>
                      <w:rFonts w:ascii="Times New Roman" w:hAnsi="Times New Roman"/>
                      <w:color w:val="auto"/>
                      <w:szCs w:val="21"/>
                      <w:highlight w:val="none"/>
                    </w:rPr>
                  </w:pPr>
                  <w:r>
                    <w:rPr>
                      <w:rFonts w:ascii="Times New Roman" w:hAnsi="Times New Roman"/>
                      <w:color w:val="auto"/>
                      <w:szCs w:val="21"/>
                      <w:highlight w:val="none"/>
                    </w:rPr>
                    <w:t>N3</w:t>
                  </w:r>
                </w:p>
              </w:tc>
              <w:tc>
                <w:tcPr>
                  <w:tcW w:w="650" w:type="pct"/>
                  <w:tcBorders>
                    <w:top w:val="single" w:color="auto" w:sz="4" w:space="0"/>
                    <w:bottom w:val="single" w:color="auto" w:sz="4" w:space="0"/>
                  </w:tcBorders>
                  <w:noWrap w:val="0"/>
                  <w:vAlign w:val="center"/>
                </w:tcPr>
                <w:p w14:paraId="4AFC63F7">
                  <w:pPr>
                    <w:jc w:val="center"/>
                    <w:rPr>
                      <w:rFonts w:ascii="Times New Roman" w:hAnsi="Times New Roman"/>
                      <w:color w:val="auto"/>
                      <w:szCs w:val="21"/>
                      <w:highlight w:val="none"/>
                    </w:rPr>
                  </w:pPr>
                  <w:r>
                    <w:rPr>
                      <w:rFonts w:ascii="Times New Roman" w:hAnsi="Times New Roman"/>
                      <w:color w:val="auto"/>
                      <w:szCs w:val="21"/>
                      <w:highlight w:val="none"/>
                    </w:rPr>
                    <w:t>厂界西</w:t>
                  </w:r>
                </w:p>
              </w:tc>
              <w:tc>
                <w:tcPr>
                  <w:tcW w:w="455" w:type="pct"/>
                  <w:tcBorders>
                    <w:top w:val="single" w:color="auto" w:sz="4" w:space="0"/>
                    <w:bottom w:val="single" w:color="auto" w:sz="4" w:space="0"/>
                  </w:tcBorders>
                  <w:noWrap w:val="0"/>
                  <w:vAlign w:val="center"/>
                </w:tcPr>
                <w:p w14:paraId="5C68CDA7">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48</w:t>
                  </w:r>
                </w:p>
              </w:tc>
              <w:tc>
                <w:tcPr>
                  <w:tcW w:w="457" w:type="pct"/>
                  <w:tcBorders>
                    <w:top w:val="single" w:color="auto" w:sz="4" w:space="0"/>
                    <w:bottom w:val="single" w:color="auto" w:sz="4" w:space="0"/>
                  </w:tcBorders>
                  <w:noWrap w:val="0"/>
                  <w:vAlign w:val="center"/>
                </w:tcPr>
                <w:p w14:paraId="5C139864">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48</w:t>
                  </w:r>
                </w:p>
              </w:tc>
              <w:tc>
                <w:tcPr>
                  <w:tcW w:w="514" w:type="pct"/>
                  <w:tcBorders>
                    <w:top w:val="single" w:color="auto" w:sz="4" w:space="0"/>
                    <w:bottom w:val="single" w:color="auto" w:sz="4" w:space="0"/>
                  </w:tcBorders>
                  <w:noWrap w:val="0"/>
                  <w:vAlign w:val="center"/>
                </w:tcPr>
                <w:p w14:paraId="2AFE73E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48</w:t>
                  </w:r>
                </w:p>
              </w:tc>
              <w:tc>
                <w:tcPr>
                  <w:tcW w:w="620" w:type="pct"/>
                  <w:tcBorders>
                    <w:top w:val="single" w:color="auto" w:sz="4" w:space="0"/>
                    <w:bottom w:val="single" w:color="auto" w:sz="4" w:space="0"/>
                  </w:tcBorders>
                  <w:noWrap w:val="0"/>
                  <w:vAlign w:val="center"/>
                </w:tcPr>
                <w:p w14:paraId="71F4415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48</w:t>
                  </w:r>
                </w:p>
              </w:tc>
              <w:tc>
                <w:tcPr>
                  <w:tcW w:w="560" w:type="pct"/>
                  <w:vMerge w:val="continue"/>
                  <w:tcBorders>
                    <w:top w:val="single" w:color="auto" w:sz="4" w:space="0"/>
                    <w:bottom w:val="single" w:color="auto" w:sz="4" w:space="0"/>
                  </w:tcBorders>
                  <w:noWrap w:val="0"/>
                  <w:vAlign w:val="center"/>
                </w:tcPr>
                <w:p w14:paraId="300186F3">
                  <w:pPr>
                    <w:ind w:firstLine="360"/>
                    <w:jc w:val="center"/>
                    <w:rPr>
                      <w:rFonts w:ascii="Times New Roman" w:hAnsi="Times New Roman"/>
                      <w:color w:val="auto"/>
                      <w:szCs w:val="21"/>
                      <w:highlight w:val="none"/>
                    </w:rPr>
                  </w:pPr>
                </w:p>
              </w:tc>
              <w:tc>
                <w:tcPr>
                  <w:tcW w:w="596" w:type="pct"/>
                  <w:vMerge w:val="continue"/>
                  <w:tcBorders>
                    <w:top w:val="single" w:color="auto" w:sz="4" w:space="0"/>
                    <w:bottom w:val="single" w:color="auto" w:sz="4" w:space="0"/>
                  </w:tcBorders>
                  <w:noWrap w:val="0"/>
                  <w:vAlign w:val="center"/>
                </w:tcPr>
                <w:p w14:paraId="6F1B0A28">
                  <w:pPr>
                    <w:ind w:firstLine="360"/>
                    <w:jc w:val="center"/>
                    <w:rPr>
                      <w:rFonts w:ascii="Times New Roman" w:hAnsi="Times New Roman"/>
                      <w:color w:val="auto"/>
                      <w:szCs w:val="21"/>
                      <w:highlight w:val="none"/>
                    </w:rPr>
                  </w:pPr>
                </w:p>
              </w:tc>
              <w:tc>
                <w:tcPr>
                  <w:tcW w:w="779" w:type="pct"/>
                  <w:vMerge w:val="continue"/>
                  <w:tcBorders>
                    <w:top w:val="single" w:color="auto" w:sz="4" w:space="0"/>
                    <w:bottom w:val="single" w:color="auto" w:sz="4" w:space="0"/>
                  </w:tcBorders>
                  <w:noWrap w:val="0"/>
                  <w:vAlign w:val="center"/>
                </w:tcPr>
                <w:p w14:paraId="55C163D1">
                  <w:pPr>
                    <w:ind w:firstLine="360"/>
                    <w:jc w:val="center"/>
                    <w:rPr>
                      <w:rFonts w:ascii="Times New Roman" w:hAnsi="Times New Roman"/>
                      <w:color w:val="auto"/>
                      <w:szCs w:val="21"/>
                      <w:highlight w:val="none"/>
                    </w:rPr>
                  </w:pPr>
                </w:p>
              </w:tc>
            </w:tr>
            <w:tr w14:paraId="1766D7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tcBorders>
                    <w:top w:val="single" w:color="auto" w:sz="4" w:space="0"/>
                    <w:bottom w:val="single" w:color="auto" w:sz="8" w:space="0"/>
                  </w:tcBorders>
                  <w:noWrap w:val="0"/>
                  <w:vAlign w:val="center"/>
                </w:tcPr>
                <w:p w14:paraId="0C5F1F99">
                  <w:pPr>
                    <w:jc w:val="center"/>
                    <w:rPr>
                      <w:rFonts w:ascii="Times New Roman" w:hAnsi="Times New Roman"/>
                      <w:color w:val="auto"/>
                      <w:szCs w:val="21"/>
                      <w:highlight w:val="none"/>
                    </w:rPr>
                  </w:pPr>
                  <w:r>
                    <w:rPr>
                      <w:rFonts w:ascii="Times New Roman" w:hAnsi="Times New Roman"/>
                      <w:color w:val="auto"/>
                      <w:szCs w:val="21"/>
                      <w:highlight w:val="none"/>
                    </w:rPr>
                    <w:t>N4</w:t>
                  </w:r>
                </w:p>
              </w:tc>
              <w:tc>
                <w:tcPr>
                  <w:tcW w:w="650" w:type="pct"/>
                  <w:tcBorders>
                    <w:top w:val="single" w:color="auto" w:sz="4" w:space="0"/>
                    <w:bottom w:val="single" w:color="auto" w:sz="8" w:space="0"/>
                  </w:tcBorders>
                  <w:noWrap w:val="0"/>
                  <w:vAlign w:val="center"/>
                </w:tcPr>
                <w:p w14:paraId="459B7047">
                  <w:pPr>
                    <w:jc w:val="center"/>
                    <w:rPr>
                      <w:rFonts w:ascii="Times New Roman" w:hAnsi="Times New Roman"/>
                      <w:color w:val="auto"/>
                      <w:szCs w:val="21"/>
                      <w:highlight w:val="none"/>
                    </w:rPr>
                  </w:pPr>
                  <w:r>
                    <w:rPr>
                      <w:rFonts w:ascii="Times New Roman" w:hAnsi="Times New Roman"/>
                      <w:color w:val="auto"/>
                      <w:szCs w:val="21"/>
                      <w:highlight w:val="none"/>
                    </w:rPr>
                    <w:t>厂界北</w:t>
                  </w:r>
                </w:p>
              </w:tc>
              <w:tc>
                <w:tcPr>
                  <w:tcW w:w="455" w:type="pct"/>
                  <w:tcBorders>
                    <w:top w:val="single" w:color="auto" w:sz="4" w:space="0"/>
                    <w:bottom w:val="single" w:color="auto" w:sz="8" w:space="0"/>
                  </w:tcBorders>
                  <w:noWrap w:val="0"/>
                  <w:vAlign w:val="center"/>
                </w:tcPr>
                <w:p w14:paraId="1EA0997C">
                  <w:pPr>
                    <w:jc w:val="center"/>
                    <w:rPr>
                      <w:rFonts w:ascii="Times New Roman" w:hAnsi="Times New Roman"/>
                      <w:color w:val="auto"/>
                      <w:szCs w:val="21"/>
                      <w:highlight w:val="none"/>
                    </w:rPr>
                  </w:pPr>
                  <w:r>
                    <w:rPr>
                      <w:rFonts w:ascii="Times New Roman" w:hAnsi="Times New Roman"/>
                      <w:color w:val="auto"/>
                      <w:szCs w:val="21"/>
                      <w:highlight w:val="none"/>
                    </w:rPr>
                    <w:t>54</w:t>
                  </w:r>
                </w:p>
              </w:tc>
              <w:tc>
                <w:tcPr>
                  <w:tcW w:w="457" w:type="pct"/>
                  <w:tcBorders>
                    <w:top w:val="single" w:color="auto" w:sz="4" w:space="0"/>
                    <w:bottom w:val="single" w:color="auto" w:sz="8" w:space="0"/>
                  </w:tcBorders>
                  <w:noWrap w:val="0"/>
                  <w:vAlign w:val="center"/>
                </w:tcPr>
                <w:p w14:paraId="140563A7">
                  <w:pPr>
                    <w:jc w:val="center"/>
                    <w:rPr>
                      <w:rFonts w:ascii="Times New Roman" w:hAnsi="Times New Roman"/>
                      <w:color w:val="auto"/>
                      <w:szCs w:val="21"/>
                      <w:highlight w:val="none"/>
                    </w:rPr>
                  </w:pPr>
                  <w:r>
                    <w:rPr>
                      <w:rFonts w:ascii="Times New Roman" w:hAnsi="Times New Roman"/>
                      <w:color w:val="auto"/>
                      <w:szCs w:val="21"/>
                      <w:highlight w:val="none"/>
                    </w:rPr>
                    <w:t>54</w:t>
                  </w:r>
                </w:p>
              </w:tc>
              <w:tc>
                <w:tcPr>
                  <w:tcW w:w="514" w:type="pct"/>
                  <w:tcBorders>
                    <w:top w:val="single" w:color="auto" w:sz="4" w:space="0"/>
                    <w:bottom w:val="single" w:color="auto" w:sz="8" w:space="0"/>
                  </w:tcBorders>
                  <w:noWrap w:val="0"/>
                  <w:vAlign w:val="center"/>
                </w:tcPr>
                <w:p w14:paraId="0660BE8E">
                  <w:pPr>
                    <w:jc w:val="center"/>
                    <w:rPr>
                      <w:rFonts w:ascii="Times New Roman" w:hAnsi="Times New Roman"/>
                      <w:color w:val="auto"/>
                      <w:szCs w:val="21"/>
                      <w:highlight w:val="none"/>
                    </w:rPr>
                  </w:pPr>
                  <w:r>
                    <w:rPr>
                      <w:rFonts w:ascii="Times New Roman" w:hAnsi="Times New Roman"/>
                      <w:color w:val="auto"/>
                      <w:szCs w:val="21"/>
                      <w:highlight w:val="none"/>
                    </w:rPr>
                    <w:t>54</w:t>
                  </w:r>
                </w:p>
              </w:tc>
              <w:tc>
                <w:tcPr>
                  <w:tcW w:w="620" w:type="pct"/>
                  <w:tcBorders>
                    <w:top w:val="single" w:color="auto" w:sz="4" w:space="0"/>
                    <w:bottom w:val="single" w:color="auto" w:sz="8" w:space="0"/>
                  </w:tcBorders>
                  <w:noWrap w:val="0"/>
                  <w:vAlign w:val="center"/>
                </w:tcPr>
                <w:p w14:paraId="6089F3B7">
                  <w:pPr>
                    <w:jc w:val="center"/>
                    <w:rPr>
                      <w:rFonts w:ascii="Times New Roman" w:hAnsi="Times New Roman"/>
                      <w:color w:val="auto"/>
                      <w:szCs w:val="21"/>
                      <w:highlight w:val="none"/>
                    </w:rPr>
                  </w:pPr>
                  <w:r>
                    <w:rPr>
                      <w:rFonts w:ascii="Times New Roman" w:hAnsi="Times New Roman"/>
                      <w:color w:val="auto"/>
                      <w:szCs w:val="21"/>
                      <w:highlight w:val="none"/>
                    </w:rPr>
                    <w:t>54</w:t>
                  </w:r>
                </w:p>
              </w:tc>
              <w:tc>
                <w:tcPr>
                  <w:tcW w:w="560" w:type="pct"/>
                  <w:vMerge w:val="continue"/>
                  <w:tcBorders>
                    <w:top w:val="single" w:color="auto" w:sz="4" w:space="0"/>
                    <w:bottom w:val="single" w:color="auto" w:sz="8" w:space="0"/>
                  </w:tcBorders>
                  <w:noWrap w:val="0"/>
                  <w:vAlign w:val="center"/>
                </w:tcPr>
                <w:p w14:paraId="34481A15">
                  <w:pPr>
                    <w:ind w:firstLine="360"/>
                    <w:jc w:val="center"/>
                    <w:rPr>
                      <w:rFonts w:ascii="Times New Roman" w:hAnsi="Times New Roman"/>
                      <w:color w:val="auto"/>
                      <w:szCs w:val="21"/>
                      <w:highlight w:val="none"/>
                    </w:rPr>
                  </w:pPr>
                </w:p>
              </w:tc>
              <w:tc>
                <w:tcPr>
                  <w:tcW w:w="596" w:type="pct"/>
                  <w:vMerge w:val="continue"/>
                  <w:tcBorders>
                    <w:top w:val="single" w:color="auto" w:sz="4" w:space="0"/>
                    <w:bottom w:val="single" w:color="auto" w:sz="8" w:space="0"/>
                  </w:tcBorders>
                  <w:noWrap w:val="0"/>
                  <w:vAlign w:val="center"/>
                </w:tcPr>
                <w:p w14:paraId="2F891D83">
                  <w:pPr>
                    <w:ind w:firstLine="360"/>
                    <w:jc w:val="center"/>
                    <w:rPr>
                      <w:rFonts w:ascii="Times New Roman" w:hAnsi="Times New Roman"/>
                      <w:color w:val="auto"/>
                      <w:szCs w:val="21"/>
                      <w:highlight w:val="none"/>
                    </w:rPr>
                  </w:pPr>
                </w:p>
              </w:tc>
              <w:tc>
                <w:tcPr>
                  <w:tcW w:w="779" w:type="pct"/>
                  <w:vMerge w:val="continue"/>
                  <w:tcBorders>
                    <w:top w:val="single" w:color="auto" w:sz="4" w:space="0"/>
                    <w:bottom w:val="single" w:color="auto" w:sz="8" w:space="0"/>
                  </w:tcBorders>
                  <w:noWrap w:val="0"/>
                  <w:vAlign w:val="center"/>
                </w:tcPr>
                <w:p w14:paraId="5DF7E17F">
                  <w:pPr>
                    <w:ind w:firstLine="360"/>
                    <w:jc w:val="center"/>
                    <w:rPr>
                      <w:rFonts w:ascii="Times New Roman" w:hAnsi="Times New Roman"/>
                      <w:color w:val="auto"/>
                      <w:szCs w:val="21"/>
                      <w:highlight w:val="none"/>
                    </w:rPr>
                  </w:pPr>
                </w:p>
              </w:tc>
            </w:tr>
          </w:tbl>
          <w:p w14:paraId="1FE35851">
            <w:pPr>
              <w:spacing w:line="360" w:lineRule="auto"/>
              <w:ind w:firstLine="480" w:firstLineChars="200"/>
              <w:jc w:val="left"/>
              <w:rPr>
                <w:rFonts w:ascii="Times New Roman" w:hAnsi="Times New Roman"/>
                <w:color w:val="auto"/>
                <w:sz w:val="24"/>
                <w:szCs w:val="24"/>
                <w:highlight w:val="none"/>
              </w:rPr>
            </w:pPr>
            <w:r>
              <w:rPr>
                <w:rFonts w:ascii="Times New Roman" w:hAnsi="Times New Roman"/>
                <w:color w:val="auto"/>
                <w:sz w:val="24"/>
                <w:szCs w:val="24"/>
                <w:highlight w:val="none"/>
              </w:rPr>
              <w:t>预测结果表明，在采取相应的减振降噪、厂房隔声措施处理后，运行过程中新增设备运转产生的噪声，对厂界噪声的影响值均能满足《工业企业厂界环境噪声排放标准》</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GB12348-2008</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中</w:t>
            </w:r>
            <w:r>
              <w:rPr>
                <w:rFonts w:hint="eastAsia" w:ascii="Times New Roman" w:hAnsi="Times New Roman"/>
                <w:color w:val="auto"/>
                <w:sz w:val="24"/>
                <w:szCs w:val="24"/>
                <w:highlight w:val="none"/>
              </w:rPr>
              <w:t>3类</w:t>
            </w:r>
            <w:r>
              <w:rPr>
                <w:rFonts w:ascii="Times New Roman" w:hAnsi="Times New Roman"/>
                <w:color w:val="auto"/>
                <w:sz w:val="24"/>
                <w:szCs w:val="24"/>
                <w:highlight w:val="none"/>
              </w:rPr>
              <w:t>标准的要求。</w:t>
            </w:r>
          </w:p>
          <w:p w14:paraId="7BC7B895">
            <w:pPr>
              <w:pStyle w:val="48"/>
              <w:adjustRightInd/>
              <w:spacing w:line="360" w:lineRule="auto"/>
              <w:ind w:firstLineChars="200"/>
              <w:rPr>
                <w:rFonts w:ascii="Times New Roman" w:hAnsi="Times New Roman" w:cs="Times New Roman"/>
                <w:b/>
                <w:bCs/>
                <w:color w:val="auto"/>
                <w:szCs w:val="24"/>
                <w:highlight w:val="none"/>
              </w:rPr>
            </w:pPr>
            <w:r>
              <w:rPr>
                <w:rFonts w:hint="eastAsia" w:ascii="Times New Roman" w:cs="Times New Roman"/>
                <w:b/>
                <w:bCs/>
                <w:color w:val="auto"/>
                <w:szCs w:val="24"/>
                <w:highlight w:val="none"/>
              </w:rPr>
              <w:t>2、</w:t>
            </w:r>
            <w:r>
              <w:rPr>
                <w:rFonts w:ascii="Times New Roman" w:cs="Times New Roman"/>
                <w:b/>
                <w:bCs/>
                <w:color w:val="auto"/>
                <w:szCs w:val="24"/>
                <w:highlight w:val="none"/>
              </w:rPr>
              <w:t>运营期声环境保护措施</w:t>
            </w:r>
          </w:p>
          <w:p w14:paraId="7248B503">
            <w:pPr>
              <w:pStyle w:val="48"/>
              <w:adjustRightInd/>
              <w:spacing w:line="360" w:lineRule="auto"/>
              <w:ind w:firstLine="480" w:firstLineChars="200"/>
              <w:rPr>
                <w:rFonts w:ascii="Times New Roman" w:hAnsi="Times New Roman" w:cs="Times New Roman"/>
                <w:color w:val="auto"/>
                <w:szCs w:val="24"/>
                <w:highlight w:val="none"/>
              </w:rPr>
            </w:pPr>
            <w:r>
              <w:rPr>
                <w:rFonts w:ascii="Times New Roman" w:cs="Times New Roman"/>
                <w:color w:val="auto"/>
                <w:szCs w:val="24"/>
                <w:highlight w:val="none"/>
              </w:rPr>
              <w:t>根据建设单位提供资料，各类生产设施均置于室内，主要噪声源距离厂界较远，但为了进一步降低噪声对周围环境的影响，建议企业应采取以下措施：</w:t>
            </w:r>
          </w:p>
          <w:p w14:paraId="2E00EE21">
            <w:pPr>
              <w:pStyle w:val="48"/>
              <w:adjustRightInd/>
              <w:spacing w:line="360" w:lineRule="auto"/>
              <w:ind w:firstLine="480" w:firstLineChars="200"/>
              <w:rPr>
                <w:rFonts w:ascii="Times New Roman" w:hAnsi="Times New Roman" w:cs="Times New Roman"/>
                <w:color w:val="auto"/>
                <w:szCs w:val="24"/>
                <w:highlight w:val="none"/>
              </w:rPr>
            </w:pPr>
            <w:r>
              <w:rPr>
                <w:rFonts w:hint="eastAsia" w:ascii="宋体" w:hAnsi="宋体" w:cs="宋体"/>
                <w:color w:val="auto"/>
                <w:szCs w:val="24"/>
                <w:highlight w:val="none"/>
              </w:rPr>
              <w:t>①</w:t>
            </w:r>
            <w:r>
              <w:rPr>
                <w:rFonts w:ascii="Times New Roman" w:cs="Times New Roman"/>
                <w:color w:val="auto"/>
                <w:szCs w:val="24"/>
                <w:highlight w:val="none"/>
              </w:rPr>
              <w:t>在高噪声设备机器底面安装垫木或者橡胶减振垫，用地脚螺栓固定，减小了设备运行时的振动和振动引起的噪声；</w:t>
            </w:r>
          </w:p>
          <w:p w14:paraId="789EC76B">
            <w:pPr>
              <w:pStyle w:val="48"/>
              <w:adjustRightInd/>
              <w:spacing w:line="360" w:lineRule="auto"/>
              <w:ind w:firstLine="480" w:firstLineChars="200"/>
              <w:rPr>
                <w:rFonts w:ascii="Times New Roman" w:hAnsi="Times New Roman" w:cs="Times New Roman"/>
                <w:color w:val="auto"/>
                <w:szCs w:val="24"/>
                <w:highlight w:val="none"/>
              </w:rPr>
            </w:pPr>
            <w:r>
              <w:rPr>
                <w:rFonts w:hint="eastAsia" w:ascii="宋体" w:hAnsi="宋体" w:cs="宋体"/>
                <w:color w:val="auto"/>
                <w:szCs w:val="24"/>
                <w:highlight w:val="none"/>
              </w:rPr>
              <w:t>②</w:t>
            </w:r>
            <w:r>
              <w:rPr>
                <w:rFonts w:ascii="Times New Roman" w:cs="Times New Roman"/>
                <w:color w:val="auto"/>
                <w:szCs w:val="24"/>
                <w:highlight w:val="none"/>
              </w:rPr>
              <w:t>合理布局，将生产设备集中布置在厂房中部；</w:t>
            </w:r>
          </w:p>
          <w:p w14:paraId="287BEF99">
            <w:pPr>
              <w:pStyle w:val="48"/>
              <w:adjustRightInd/>
              <w:spacing w:line="360" w:lineRule="auto"/>
              <w:ind w:firstLine="480" w:firstLineChars="200"/>
              <w:rPr>
                <w:rFonts w:ascii="Times New Roman" w:cs="Times New Roman"/>
                <w:color w:val="auto"/>
                <w:szCs w:val="24"/>
                <w:highlight w:val="none"/>
              </w:rPr>
            </w:pPr>
            <w:r>
              <w:rPr>
                <w:rFonts w:hint="eastAsia" w:ascii="宋体" w:hAnsi="宋体" w:cs="宋体"/>
                <w:color w:val="auto"/>
                <w:szCs w:val="24"/>
                <w:highlight w:val="none"/>
              </w:rPr>
              <w:t>③</w:t>
            </w:r>
            <w:r>
              <w:rPr>
                <w:rFonts w:ascii="Times New Roman" w:cs="Times New Roman"/>
                <w:color w:val="auto"/>
                <w:szCs w:val="24"/>
                <w:highlight w:val="none"/>
              </w:rPr>
              <w:t>加强噪声设备的维修管理，避免因不正常运行所导致的噪声增大；</w:t>
            </w:r>
          </w:p>
          <w:p w14:paraId="09146C43">
            <w:pPr>
              <w:pStyle w:val="48"/>
              <w:adjustRightInd/>
              <w:spacing w:line="360" w:lineRule="auto"/>
              <w:ind w:firstLine="480" w:firstLineChars="200"/>
              <w:rPr>
                <w:rFonts w:ascii="Times New Roman" w:eastAsia="宋体" w:cs="Times New Roman"/>
                <w:color w:val="auto"/>
                <w:szCs w:val="24"/>
                <w:highlight w:val="none"/>
              </w:rPr>
            </w:pPr>
            <w:r>
              <w:rPr>
                <w:rFonts w:hint="eastAsia" w:ascii="Times New Roman" w:eastAsia="宋体" w:cs="Times New Roman"/>
                <w:color w:val="auto"/>
                <w:szCs w:val="24"/>
                <w:highlight w:val="none"/>
              </w:rPr>
              <w:t>④利用消声材料消除风机噪声。</w:t>
            </w:r>
          </w:p>
          <w:p w14:paraId="7309F4BB">
            <w:pPr>
              <w:spacing w:line="360" w:lineRule="auto"/>
              <w:ind w:firstLine="482" w:firstLineChars="200"/>
              <w:rPr>
                <w:rFonts w:ascii="Times New Roman" w:hAnsi="宋体"/>
                <w:b/>
                <w:bCs/>
                <w:color w:val="auto"/>
                <w:sz w:val="24"/>
                <w:highlight w:val="none"/>
              </w:rPr>
            </w:pPr>
            <w:r>
              <w:rPr>
                <w:rFonts w:hint="eastAsia" w:ascii="Times New Roman" w:hAnsi="宋体"/>
                <w:b/>
                <w:bCs/>
                <w:color w:val="auto"/>
                <w:sz w:val="24"/>
                <w:highlight w:val="none"/>
              </w:rPr>
              <w:t>（3）监测计划</w:t>
            </w:r>
          </w:p>
          <w:p w14:paraId="5E651880">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根据</w:t>
            </w:r>
            <w:r>
              <w:rPr>
                <w:rFonts w:ascii="Times New Roman"/>
                <w:color w:val="auto"/>
                <w:sz w:val="24"/>
                <w:highlight w:val="none"/>
              </w:rPr>
              <w:t>《排污</w:t>
            </w:r>
            <w:r>
              <w:rPr>
                <w:rFonts w:hint="eastAsia" w:ascii="Times New Roman"/>
                <w:color w:val="auto"/>
                <w:sz w:val="24"/>
                <w:highlight w:val="none"/>
              </w:rPr>
              <w:t>单位</w:t>
            </w:r>
            <w:r>
              <w:rPr>
                <w:rFonts w:ascii="Times New Roman"/>
                <w:color w:val="auto"/>
                <w:sz w:val="24"/>
                <w:highlight w:val="none"/>
              </w:rPr>
              <w:t>自行监测技术指南</w:t>
            </w:r>
            <w:r>
              <w:rPr>
                <w:rFonts w:hint="eastAsia" w:ascii="Times New Roman"/>
                <w:color w:val="auto"/>
                <w:sz w:val="24"/>
                <w:highlight w:val="none"/>
              </w:rPr>
              <w:t xml:space="preserve"> 总则</w:t>
            </w:r>
            <w:r>
              <w:rPr>
                <w:rFonts w:ascii="Times New Roman"/>
                <w:color w:val="auto"/>
                <w:sz w:val="24"/>
                <w:highlight w:val="none"/>
              </w:rPr>
              <w:t>》（</w:t>
            </w:r>
            <w:r>
              <w:rPr>
                <w:rFonts w:ascii="Times New Roman" w:hAnsi="Times New Roman"/>
                <w:color w:val="auto"/>
                <w:sz w:val="24"/>
                <w:highlight w:val="none"/>
              </w:rPr>
              <w:t>HJ</w:t>
            </w:r>
            <w:r>
              <w:rPr>
                <w:rFonts w:hint="eastAsia" w:ascii="Times New Roman" w:hAnsi="Times New Roman"/>
                <w:color w:val="auto"/>
                <w:sz w:val="24"/>
                <w:highlight w:val="none"/>
              </w:rPr>
              <w:t xml:space="preserve"> 819-2017</w:t>
            </w:r>
            <w:r>
              <w:rPr>
                <w:rFonts w:ascii="Times New Roman"/>
                <w:color w:val="auto"/>
                <w:sz w:val="24"/>
                <w:highlight w:val="none"/>
              </w:rPr>
              <w:t>）</w:t>
            </w:r>
            <w:r>
              <w:rPr>
                <w:rFonts w:hint="eastAsia" w:ascii="Times New Roman"/>
                <w:color w:val="auto"/>
                <w:sz w:val="24"/>
                <w:highlight w:val="none"/>
              </w:rPr>
              <w:t>《排污许可证申请与核发技术规范 工业噪声》（H</w:t>
            </w:r>
            <w:r>
              <w:rPr>
                <w:rFonts w:hint="default" w:ascii="Times New Roman"/>
                <w:color w:val="auto"/>
                <w:sz w:val="24"/>
                <w:highlight w:val="none"/>
              </w:rPr>
              <w:t>J1301-2023</w:t>
            </w:r>
            <w:r>
              <w:rPr>
                <w:rFonts w:hint="eastAsia" w:ascii="Times New Roman"/>
                <w:color w:val="auto"/>
                <w:sz w:val="24"/>
                <w:highlight w:val="none"/>
              </w:rPr>
              <w:t>）</w:t>
            </w:r>
            <w:r>
              <w:rPr>
                <w:rFonts w:ascii="Times New Roman" w:hAnsi="宋体"/>
                <w:color w:val="auto"/>
                <w:sz w:val="24"/>
                <w:highlight w:val="none"/>
              </w:rPr>
              <w:t>要求，本项目运行后，污染物噪声监测计划见下表。</w:t>
            </w:r>
          </w:p>
          <w:p w14:paraId="58EDD915">
            <w:pPr>
              <w:spacing w:line="360" w:lineRule="auto"/>
              <w:jc w:val="center"/>
              <w:rPr>
                <w:rFonts w:ascii="Times New Roman" w:hAnsi="黑体" w:eastAsia="黑体"/>
                <w:color w:val="auto"/>
                <w:sz w:val="24"/>
                <w:szCs w:val="24"/>
                <w:highlight w:val="none"/>
              </w:rPr>
            </w:pPr>
            <w:r>
              <w:rPr>
                <w:rFonts w:ascii="Times New Roman" w:hAnsi="黑体" w:eastAsia="黑体"/>
                <w:color w:val="auto"/>
                <w:sz w:val="24"/>
                <w:szCs w:val="24"/>
                <w:highlight w:val="none"/>
              </w:rPr>
              <w:t>表</w:t>
            </w:r>
            <w:r>
              <w:rPr>
                <w:rFonts w:hint="eastAsia" w:ascii="Times New Roman" w:hAnsi="Times New Roman" w:eastAsia="黑体"/>
                <w:color w:val="auto"/>
                <w:sz w:val="24"/>
                <w:szCs w:val="24"/>
                <w:highlight w:val="none"/>
              </w:rPr>
              <w:t>4-1</w:t>
            </w:r>
            <w:r>
              <w:rPr>
                <w:rFonts w:hint="eastAsia" w:ascii="Times New Roman" w:hAnsi="Times New Roman" w:eastAsia="黑体"/>
                <w:color w:val="auto"/>
                <w:sz w:val="24"/>
                <w:szCs w:val="24"/>
                <w:highlight w:val="none"/>
                <w:lang w:val="en-US" w:eastAsia="zh-CN"/>
              </w:rPr>
              <w:t>3</w:t>
            </w:r>
            <w:r>
              <w:rPr>
                <w:rFonts w:hint="eastAsia" w:ascii="Times New Roman" w:hAnsi="Times New Roman" w:eastAsia="黑体"/>
                <w:color w:val="auto"/>
                <w:sz w:val="24"/>
                <w:szCs w:val="24"/>
                <w:highlight w:val="none"/>
              </w:rPr>
              <w:t xml:space="preserve">  </w:t>
            </w:r>
            <w:r>
              <w:rPr>
                <w:rFonts w:ascii="Times New Roman" w:hAnsi="黑体" w:eastAsia="黑体"/>
                <w:color w:val="auto"/>
                <w:sz w:val="24"/>
                <w:szCs w:val="24"/>
                <w:highlight w:val="none"/>
              </w:rPr>
              <w:t>项目噪声环境监测计划一览表</w:t>
            </w:r>
          </w:p>
          <w:tbl>
            <w:tblPr>
              <w:tblStyle w:val="20"/>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420"/>
              <w:gridCol w:w="1950"/>
              <w:gridCol w:w="1692"/>
              <w:gridCol w:w="2023"/>
            </w:tblGrid>
            <w:tr w14:paraId="794829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7" w:type="pct"/>
                  <w:noWrap w:val="0"/>
                  <w:vAlign w:val="center"/>
                </w:tcPr>
                <w:p w14:paraId="0A65B3EA">
                  <w:pPr>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类别</w:t>
                  </w:r>
                </w:p>
              </w:tc>
              <w:tc>
                <w:tcPr>
                  <w:tcW w:w="900" w:type="pct"/>
                  <w:noWrap w:val="0"/>
                  <w:vAlign w:val="center"/>
                </w:tcPr>
                <w:p w14:paraId="1224A776">
                  <w:pPr>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监测点位</w:t>
                  </w:r>
                </w:p>
              </w:tc>
              <w:tc>
                <w:tcPr>
                  <w:tcW w:w="1236" w:type="pct"/>
                  <w:noWrap w:val="0"/>
                  <w:vAlign w:val="center"/>
                </w:tcPr>
                <w:p w14:paraId="25D54B3C">
                  <w:pPr>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监测指标</w:t>
                  </w:r>
                </w:p>
              </w:tc>
              <w:tc>
                <w:tcPr>
                  <w:tcW w:w="1072" w:type="pct"/>
                  <w:noWrap w:val="0"/>
                  <w:vAlign w:val="center"/>
                </w:tcPr>
                <w:p w14:paraId="057A1730">
                  <w:pPr>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监测频次</w:t>
                  </w:r>
                </w:p>
              </w:tc>
              <w:tc>
                <w:tcPr>
                  <w:tcW w:w="1282" w:type="pct"/>
                  <w:noWrap w:val="0"/>
                  <w:vAlign w:val="center"/>
                </w:tcPr>
                <w:p w14:paraId="58D5A11A">
                  <w:pPr>
                    <w:snapToGrid w:val="0"/>
                    <w:spacing w:line="276" w:lineRule="auto"/>
                    <w:jc w:val="center"/>
                    <w:rPr>
                      <w:rFonts w:ascii="Times New Roman" w:hAnsi="Times New Roman"/>
                      <w:b/>
                      <w:color w:val="auto"/>
                      <w:szCs w:val="21"/>
                      <w:highlight w:val="none"/>
                    </w:rPr>
                  </w:pPr>
                  <w:r>
                    <w:rPr>
                      <w:rFonts w:ascii="Times New Roman" w:hAnsi="宋体"/>
                      <w:b/>
                      <w:color w:val="auto"/>
                      <w:szCs w:val="21"/>
                      <w:highlight w:val="none"/>
                    </w:rPr>
                    <w:t>执行标准</w:t>
                  </w:r>
                </w:p>
              </w:tc>
            </w:tr>
            <w:tr w14:paraId="520CD4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7" w:type="pct"/>
                  <w:noWrap w:val="0"/>
                  <w:vAlign w:val="center"/>
                </w:tcPr>
                <w:p w14:paraId="42CAB572">
                  <w:pPr>
                    <w:snapToGrid w:val="0"/>
                    <w:spacing w:line="276" w:lineRule="auto"/>
                    <w:jc w:val="center"/>
                    <w:rPr>
                      <w:rFonts w:ascii="Times New Roman" w:hAnsi="Times New Roman"/>
                      <w:color w:val="auto"/>
                      <w:szCs w:val="21"/>
                      <w:highlight w:val="none"/>
                    </w:rPr>
                  </w:pPr>
                  <w:r>
                    <w:rPr>
                      <w:rFonts w:ascii="Times New Roman" w:hAnsi="宋体"/>
                      <w:color w:val="auto"/>
                      <w:szCs w:val="21"/>
                      <w:highlight w:val="none"/>
                    </w:rPr>
                    <w:t>噪声</w:t>
                  </w:r>
                </w:p>
              </w:tc>
              <w:tc>
                <w:tcPr>
                  <w:tcW w:w="900" w:type="pct"/>
                  <w:noWrap w:val="0"/>
                  <w:vAlign w:val="center"/>
                </w:tcPr>
                <w:p w14:paraId="35B19189">
                  <w:pPr>
                    <w:snapToGrid w:val="0"/>
                    <w:spacing w:line="276" w:lineRule="auto"/>
                    <w:jc w:val="center"/>
                    <w:rPr>
                      <w:rFonts w:ascii="Times New Roman" w:hAnsi="Times New Roman"/>
                      <w:color w:val="auto"/>
                      <w:szCs w:val="21"/>
                      <w:highlight w:val="none"/>
                    </w:rPr>
                  </w:pPr>
                  <w:r>
                    <w:rPr>
                      <w:rFonts w:ascii="Times New Roman" w:hAnsi="宋体"/>
                      <w:color w:val="auto"/>
                      <w:szCs w:val="21"/>
                      <w:highlight w:val="none"/>
                    </w:rPr>
                    <w:t>厂界</w:t>
                  </w:r>
                </w:p>
              </w:tc>
              <w:tc>
                <w:tcPr>
                  <w:tcW w:w="1236" w:type="pct"/>
                  <w:noWrap w:val="0"/>
                  <w:vAlign w:val="center"/>
                </w:tcPr>
                <w:p w14:paraId="3B1D82CE">
                  <w:pPr>
                    <w:snapToGrid w:val="0"/>
                    <w:spacing w:line="276" w:lineRule="auto"/>
                    <w:jc w:val="center"/>
                    <w:rPr>
                      <w:rFonts w:ascii="Times New Roman" w:hAnsi="Times New Roman"/>
                      <w:color w:val="auto"/>
                      <w:szCs w:val="21"/>
                      <w:highlight w:val="none"/>
                    </w:rPr>
                  </w:pPr>
                  <w:r>
                    <w:rPr>
                      <w:rFonts w:ascii="Times New Roman" w:hAnsi="宋体"/>
                      <w:color w:val="auto"/>
                      <w:szCs w:val="21"/>
                      <w:highlight w:val="none"/>
                    </w:rPr>
                    <w:t>等效连续</w:t>
                  </w:r>
                  <w:r>
                    <w:rPr>
                      <w:rFonts w:ascii="Times New Roman" w:hAnsi="Times New Roman"/>
                      <w:color w:val="auto"/>
                      <w:szCs w:val="21"/>
                      <w:highlight w:val="none"/>
                    </w:rPr>
                    <w:t>A</w:t>
                  </w:r>
                  <w:r>
                    <w:rPr>
                      <w:rFonts w:ascii="Times New Roman" w:hAnsi="宋体"/>
                      <w:color w:val="auto"/>
                      <w:szCs w:val="21"/>
                      <w:highlight w:val="none"/>
                    </w:rPr>
                    <w:t>声级</w:t>
                  </w:r>
                </w:p>
              </w:tc>
              <w:tc>
                <w:tcPr>
                  <w:tcW w:w="1072" w:type="pct"/>
                  <w:noWrap w:val="0"/>
                  <w:vAlign w:val="center"/>
                </w:tcPr>
                <w:p w14:paraId="35240469">
                  <w:pPr>
                    <w:snapToGrid w:val="0"/>
                    <w:spacing w:line="276" w:lineRule="auto"/>
                    <w:jc w:val="center"/>
                    <w:rPr>
                      <w:rFonts w:ascii="Times New Roman" w:hAnsi="Times New Roman"/>
                      <w:color w:val="auto"/>
                      <w:szCs w:val="21"/>
                      <w:highlight w:val="none"/>
                    </w:rPr>
                  </w:pPr>
                  <w:r>
                    <w:rPr>
                      <w:rFonts w:ascii="Times New Roman" w:hAnsi="Times New Roman"/>
                      <w:color w:val="auto"/>
                      <w:szCs w:val="21"/>
                      <w:highlight w:val="none"/>
                    </w:rPr>
                    <w:t>1</w:t>
                  </w:r>
                  <w:r>
                    <w:rPr>
                      <w:rFonts w:ascii="Times New Roman" w:hAnsi="宋体"/>
                      <w:color w:val="auto"/>
                      <w:szCs w:val="21"/>
                      <w:highlight w:val="none"/>
                    </w:rPr>
                    <w:t>次</w:t>
                  </w:r>
                  <w:r>
                    <w:rPr>
                      <w:rFonts w:ascii="Times New Roman" w:hAnsi="Times New Roman"/>
                      <w:color w:val="auto"/>
                      <w:szCs w:val="21"/>
                      <w:highlight w:val="none"/>
                    </w:rPr>
                    <w:t>/</w:t>
                  </w:r>
                  <w:r>
                    <w:rPr>
                      <w:rFonts w:ascii="Times New Roman" w:hAnsi="宋体"/>
                      <w:color w:val="auto"/>
                      <w:szCs w:val="21"/>
                      <w:highlight w:val="none"/>
                    </w:rPr>
                    <w:t>季度</w:t>
                  </w:r>
                </w:p>
              </w:tc>
              <w:tc>
                <w:tcPr>
                  <w:tcW w:w="1282" w:type="pct"/>
                  <w:noWrap w:val="0"/>
                  <w:vAlign w:val="center"/>
                </w:tcPr>
                <w:p w14:paraId="47A4FBEE">
                  <w:pPr>
                    <w:snapToGrid w:val="0"/>
                    <w:spacing w:line="276" w:lineRule="auto"/>
                    <w:jc w:val="center"/>
                    <w:rPr>
                      <w:rFonts w:ascii="Times New Roman" w:hAnsi="宋体"/>
                      <w:color w:val="auto"/>
                      <w:szCs w:val="21"/>
                      <w:highlight w:val="none"/>
                    </w:rPr>
                  </w:pPr>
                  <w:r>
                    <w:rPr>
                      <w:rFonts w:hint="eastAsia" w:ascii="Times New Roman" w:hAnsi="宋体"/>
                      <w:color w:val="auto"/>
                      <w:szCs w:val="21"/>
                      <w:highlight w:val="none"/>
                      <w:lang w:eastAsia="zh-CN"/>
                    </w:rPr>
                    <w:t>(</w:t>
                  </w:r>
                  <w:r>
                    <w:rPr>
                      <w:rFonts w:ascii="Times New Roman" w:hAnsi="Times New Roman"/>
                      <w:color w:val="auto"/>
                      <w:szCs w:val="21"/>
                      <w:highlight w:val="none"/>
                    </w:rPr>
                    <w:t>GB12348-2008</w:t>
                  </w:r>
                  <w:r>
                    <w:rPr>
                      <w:rFonts w:hint="eastAsia" w:ascii="Times New Roman" w:hAnsi="Times New Roman"/>
                      <w:color w:val="auto"/>
                      <w:szCs w:val="21"/>
                      <w:highlight w:val="none"/>
                      <w:lang w:eastAsia="zh-CN"/>
                    </w:rPr>
                    <w:t>)</w:t>
                  </w:r>
                </w:p>
                <w:p w14:paraId="45B845E4">
                  <w:pPr>
                    <w:snapToGrid w:val="0"/>
                    <w:spacing w:line="276" w:lineRule="auto"/>
                    <w:ind w:firstLine="360"/>
                    <w:jc w:val="both"/>
                    <w:rPr>
                      <w:rFonts w:ascii="Times New Roman" w:hAnsi="Times New Roman"/>
                      <w:color w:val="auto"/>
                      <w:szCs w:val="21"/>
                      <w:highlight w:val="none"/>
                    </w:rPr>
                  </w:pPr>
                  <w:r>
                    <w:rPr>
                      <w:rFonts w:hint="eastAsia" w:ascii="Times New Roman" w:hAnsi="Times New Roman"/>
                      <w:color w:val="auto"/>
                      <w:szCs w:val="21"/>
                      <w:highlight w:val="none"/>
                    </w:rPr>
                    <w:t>3类</w:t>
                  </w:r>
                  <w:r>
                    <w:rPr>
                      <w:rFonts w:ascii="Times New Roman" w:hAnsi="宋体"/>
                      <w:color w:val="auto"/>
                      <w:szCs w:val="21"/>
                      <w:highlight w:val="none"/>
                    </w:rPr>
                    <w:t>区标准</w:t>
                  </w:r>
                </w:p>
              </w:tc>
            </w:tr>
          </w:tbl>
          <w:p w14:paraId="680D1694">
            <w:pPr>
              <w:keepNext w:val="0"/>
              <w:keepLines w:val="0"/>
              <w:pageBreakBefore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4、固体废物处置措施及管理要求</w:t>
            </w:r>
          </w:p>
          <w:p w14:paraId="380A79C6">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根据工程分析，本项目固体废物包括</w:t>
            </w:r>
            <w:r>
              <w:rPr>
                <w:rFonts w:hint="default" w:ascii="Times New Roman" w:hAnsi="Times New Roman" w:eastAsia="宋体" w:cs="Times New Roman"/>
                <w:bCs/>
                <w:color w:val="auto"/>
                <w:sz w:val="24"/>
                <w:szCs w:val="24"/>
                <w:highlight w:val="none"/>
              </w:rPr>
              <w:t>不合格品、</w:t>
            </w:r>
            <w:r>
              <w:rPr>
                <w:rFonts w:hint="default" w:ascii="Times New Roman" w:hAnsi="Times New Roman" w:eastAsia="宋体" w:cs="Times New Roman"/>
                <w:color w:val="auto"/>
                <w:spacing w:val="2"/>
                <w:sz w:val="24"/>
                <w:szCs w:val="24"/>
                <w:highlight w:val="none"/>
                <w:lang w:val="en-US" w:eastAsia="zh-CN"/>
              </w:rPr>
              <w:t>废玻璃屑</w:t>
            </w:r>
            <w:r>
              <w:rPr>
                <w:rFonts w:hint="eastAsia"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1"/>
                <w:sz w:val="24"/>
                <w:szCs w:val="24"/>
                <w:highlight w:val="none"/>
              </w:rPr>
              <w:t>废包装材料</w:t>
            </w:r>
            <w:r>
              <w:rPr>
                <w:rFonts w:hint="eastAsia"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废</w:t>
            </w:r>
            <w:r>
              <w:rPr>
                <w:rFonts w:hint="eastAsia" w:ascii="Times New Roman" w:hAnsi="Times New Roman" w:cs="Times New Roman"/>
                <w:color w:val="auto"/>
                <w:spacing w:val="-2"/>
                <w:sz w:val="24"/>
                <w:szCs w:val="24"/>
                <w:highlight w:val="none"/>
                <w:lang w:val="en-US" w:eastAsia="zh-CN"/>
              </w:rPr>
              <w:t>耗材、</w:t>
            </w:r>
            <w:r>
              <w:rPr>
                <w:rFonts w:hint="default" w:ascii="Times New Roman" w:hAnsi="Times New Roman" w:eastAsia="宋体" w:cs="Times New Roman"/>
                <w:bCs/>
                <w:color w:val="auto"/>
                <w:sz w:val="24"/>
                <w:szCs w:val="24"/>
                <w:highlight w:val="none"/>
              </w:rPr>
              <w:t>废活性炭、</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eastAsia="zh-CN"/>
              </w:rPr>
              <w:t>润滑油</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废</w:t>
            </w:r>
            <w:r>
              <w:rPr>
                <w:rFonts w:hint="default" w:ascii="Times New Roman" w:hAnsi="Times New Roman" w:eastAsia="宋体" w:cs="Times New Roman"/>
                <w:color w:val="auto"/>
                <w:sz w:val="24"/>
                <w:szCs w:val="24"/>
                <w:highlight w:val="none"/>
                <w:lang w:eastAsia="zh-CN"/>
              </w:rPr>
              <w:t>润滑油</w:t>
            </w:r>
            <w:r>
              <w:rPr>
                <w:rFonts w:hint="default" w:ascii="Times New Roman" w:hAnsi="Times New Roman" w:eastAsia="宋体" w:cs="Times New Roman"/>
                <w:color w:val="auto"/>
                <w:sz w:val="24"/>
                <w:szCs w:val="24"/>
                <w:highlight w:val="none"/>
              </w:rPr>
              <w:t>桶、</w:t>
            </w:r>
            <w:r>
              <w:rPr>
                <w:rFonts w:hint="default" w:ascii="Times New Roman" w:hAnsi="Times New Roman" w:eastAsia="宋体" w:cs="Times New Roman"/>
                <w:color w:val="auto"/>
                <w:spacing w:val="-5"/>
                <w:sz w:val="24"/>
                <w:szCs w:val="24"/>
                <w:highlight w:val="none"/>
              </w:rPr>
              <w:t>含润滑油抹布</w:t>
            </w:r>
            <w:r>
              <w:rPr>
                <w:rFonts w:hint="eastAsia"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2"/>
                <w:sz w:val="24"/>
                <w:szCs w:val="24"/>
                <w:highlight w:val="none"/>
              </w:rPr>
              <w:t>含</w:t>
            </w:r>
            <w:r>
              <w:rPr>
                <w:rFonts w:hint="eastAsia" w:ascii="Times New Roman" w:hAnsi="Times New Roman" w:eastAsia="宋体" w:cs="Times New Roman"/>
                <w:color w:val="auto"/>
                <w:spacing w:val="-2"/>
                <w:sz w:val="24"/>
                <w:szCs w:val="24"/>
                <w:highlight w:val="none"/>
                <w:lang w:eastAsia="zh-CN"/>
              </w:rPr>
              <w:t>高反射膜材料</w:t>
            </w:r>
            <w:r>
              <w:rPr>
                <w:rFonts w:hint="default" w:ascii="Times New Roman" w:hAnsi="Times New Roman" w:eastAsia="宋体" w:cs="Times New Roman"/>
                <w:color w:val="auto"/>
                <w:spacing w:val="-2"/>
                <w:sz w:val="24"/>
                <w:szCs w:val="24"/>
                <w:highlight w:val="none"/>
              </w:rPr>
              <w:t>抹布</w:t>
            </w:r>
            <w:r>
              <w:rPr>
                <w:rFonts w:hint="eastAsia"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z w:val="24"/>
                <w:szCs w:val="24"/>
                <w:highlight w:val="none"/>
              </w:rPr>
              <w:t>废</w:t>
            </w:r>
            <w:r>
              <w:rPr>
                <w:rFonts w:hint="eastAsia" w:ascii="Times New Roman" w:hAnsi="Times New Roman" w:eastAsia="宋体" w:cs="Times New Roman"/>
                <w:color w:val="auto"/>
                <w:sz w:val="24"/>
                <w:szCs w:val="24"/>
                <w:highlight w:val="none"/>
                <w:lang w:val="en-US" w:eastAsia="zh-CN"/>
              </w:rPr>
              <w:t>高反射膜材料桶、</w:t>
            </w:r>
            <w:r>
              <w:rPr>
                <w:color w:val="auto"/>
                <w:spacing w:val="1"/>
                <w:sz w:val="24"/>
                <w:szCs w:val="24"/>
                <w:highlight w:val="none"/>
              </w:rPr>
              <w:t>废印版</w:t>
            </w:r>
            <w:r>
              <w:rPr>
                <w:rFonts w:hint="eastAsia"/>
                <w:color w:val="auto"/>
                <w:spacing w:val="1"/>
                <w:sz w:val="24"/>
                <w:szCs w:val="24"/>
                <w:highlight w:val="none"/>
                <w:lang w:eastAsia="zh-CN"/>
              </w:rPr>
              <w:t>、</w:t>
            </w:r>
            <w:r>
              <w:rPr>
                <w:rFonts w:hint="eastAsia"/>
                <w:color w:val="auto"/>
                <w:spacing w:val="1"/>
                <w:sz w:val="24"/>
                <w:szCs w:val="24"/>
                <w:highlight w:val="none"/>
                <w:lang w:val="en-US" w:eastAsia="zh-CN"/>
              </w:rPr>
              <w:t>污泥</w:t>
            </w:r>
            <w:r>
              <w:rPr>
                <w:rFonts w:hint="default" w:ascii="Times New Roman" w:hAnsi="Times New Roman" w:eastAsia="宋体" w:cs="Times New Roman"/>
                <w:bCs/>
                <w:color w:val="auto"/>
                <w:sz w:val="24"/>
                <w:szCs w:val="24"/>
                <w:highlight w:val="none"/>
              </w:rPr>
              <w:t>和生活垃圾</w:t>
            </w:r>
            <w:r>
              <w:rPr>
                <w:rFonts w:hint="default" w:ascii="Times New Roman" w:hAnsi="Times New Roman" w:eastAsia="宋体" w:cs="Times New Roman"/>
                <w:color w:val="auto"/>
                <w:kern w:val="0"/>
                <w:sz w:val="24"/>
                <w:szCs w:val="24"/>
                <w:highlight w:val="none"/>
              </w:rPr>
              <w:t>。</w:t>
            </w:r>
          </w:p>
          <w:p w14:paraId="40900A03">
            <w:pPr>
              <w:keepNext w:val="0"/>
              <w:keepLines w:val="0"/>
              <w:pageBreakBefore w:val="0"/>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（1）一般工业固体废物</w:t>
            </w:r>
          </w:p>
          <w:p w14:paraId="763B4DEE">
            <w:pPr>
              <w:pStyle w:val="66"/>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pacing w:val="1"/>
                <w:sz w:val="24"/>
                <w:szCs w:val="24"/>
                <w:highlight w:val="none"/>
                <w:lang w:val="en-US" w:eastAsia="zh-CN"/>
              </w:rPr>
              <w:t>不合格品</w:t>
            </w:r>
            <w:r>
              <w:rPr>
                <w:rFonts w:hint="default" w:ascii="Times New Roman" w:hAnsi="Times New Roman" w:eastAsia="宋体" w:cs="Times New Roman"/>
                <w:color w:val="auto"/>
                <w:spacing w:val="1"/>
                <w:sz w:val="24"/>
                <w:szCs w:val="24"/>
                <w:highlight w:val="none"/>
              </w:rPr>
              <w:t>：本项目检验环节</w:t>
            </w:r>
            <w:r>
              <w:rPr>
                <w:rFonts w:hint="default" w:ascii="Times New Roman" w:hAnsi="Times New Roman" w:eastAsia="宋体" w:cs="Times New Roman"/>
                <w:color w:val="auto"/>
                <w:spacing w:val="1"/>
                <w:sz w:val="24"/>
                <w:szCs w:val="24"/>
                <w:highlight w:val="none"/>
                <w:lang w:val="en-US" w:eastAsia="zh-CN"/>
              </w:rPr>
              <w:t>会产生不合格品，</w:t>
            </w:r>
            <w:r>
              <w:rPr>
                <w:rFonts w:hint="default" w:ascii="Times New Roman" w:hAnsi="Times New Roman" w:eastAsia="宋体" w:cs="Times New Roman"/>
                <w:color w:val="auto"/>
                <w:spacing w:val="1"/>
                <w:sz w:val="24"/>
                <w:szCs w:val="24"/>
                <w:highlight w:val="none"/>
              </w:rPr>
              <w:t>建设单位提</w:t>
            </w:r>
            <w:r>
              <w:rPr>
                <w:rFonts w:hint="default" w:ascii="Times New Roman" w:hAnsi="Times New Roman" w:eastAsia="宋体" w:cs="Times New Roman"/>
                <w:color w:val="auto"/>
                <w:spacing w:val="-3"/>
                <w:sz w:val="24"/>
                <w:szCs w:val="24"/>
                <w:highlight w:val="none"/>
              </w:rPr>
              <w:t>供资料，产生量约15t/a</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收集后统一暂存在一般固废库</w:t>
            </w:r>
            <w:r>
              <w:rPr>
                <w:rFonts w:hint="default" w:ascii="Times New Roman" w:hAnsi="Times New Roman" w:eastAsia="宋体" w:cs="Times New Roman"/>
                <w:color w:val="auto"/>
                <w:spacing w:val="-3"/>
                <w:sz w:val="24"/>
                <w:szCs w:val="24"/>
                <w:highlight w:val="none"/>
              </w:rPr>
              <w:t>。</w:t>
            </w:r>
          </w:p>
          <w:p w14:paraId="30BB2526">
            <w:pPr>
              <w:pStyle w:val="66"/>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pacing w:val="2"/>
                <w:sz w:val="24"/>
                <w:szCs w:val="24"/>
                <w:highlight w:val="none"/>
                <w:lang w:val="en-US" w:eastAsia="zh-CN"/>
              </w:rPr>
              <w:t>废玻璃屑</w:t>
            </w:r>
            <w:r>
              <w:rPr>
                <w:rFonts w:hint="default" w:ascii="Times New Roman" w:hAnsi="Times New Roman" w:eastAsia="宋体" w:cs="Times New Roman"/>
                <w:color w:val="auto"/>
                <w:spacing w:val="2"/>
                <w:sz w:val="24"/>
                <w:szCs w:val="24"/>
                <w:highlight w:val="none"/>
              </w:rPr>
              <w:t>：本项目磨边、打孔</w:t>
            </w:r>
            <w:r>
              <w:rPr>
                <w:rFonts w:hint="eastAsia" w:ascii="Times New Roman" w:hAnsi="Times New Roman" w:cs="Times New Roman"/>
                <w:color w:val="auto"/>
                <w:spacing w:val="2"/>
                <w:sz w:val="24"/>
                <w:szCs w:val="24"/>
                <w:highlight w:val="none"/>
                <w:lang w:eastAsia="zh-CN"/>
              </w:rPr>
              <w:t>和倒角</w:t>
            </w:r>
            <w:r>
              <w:rPr>
                <w:rFonts w:hint="default" w:ascii="Times New Roman" w:hAnsi="Times New Roman" w:eastAsia="宋体" w:cs="Times New Roman"/>
                <w:color w:val="auto"/>
                <w:spacing w:val="2"/>
                <w:sz w:val="24"/>
                <w:szCs w:val="24"/>
                <w:highlight w:val="none"/>
              </w:rPr>
              <w:t>产生的</w:t>
            </w:r>
            <w:r>
              <w:rPr>
                <w:rFonts w:hint="default" w:ascii="Times New Roman" w:hAnsi="Times New Roman" w:eastAsia="宋体" w:cs="Times New Roman"/>
                <w:color w:val="auto"/>
                <w:spacing w:val="1"/>
                <w:sz w:val="24"/>
                <w:szCs w:val="24"/>
                <w:highlight w:val="none"/>
              </w:rPr>
              <w:t>玻璃粉末收集后统一外售，根据</w:t>
            </w:r>
            <w:r>
              <w:rPr>
                <w:rFonts w:hint="default" w:ascii="Times New Roman" w:hAnsi="Times New Roman" w:eastAsia="宋体" w:cs="Times New Roman"/>
                <w:color w:val="auto"/>
                <w:spacing w:val="2"/>
                <w:sz w:val="24"/>
                <w:szCs w:val="24"/>
                <w:highlight w:val="none"/>
              </w:rPr>
              <w:t>建设单位提供资料，玻璃粉末产生量约30t/a。</w:t>
            </w:r>
          </w:p>
          <w:p w14:paraId="691CD03D">
            <w:pPr>
              <w:pStyle w:val="66"/>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color w:val="auto"/>
                <w:spacing w:val="1"/>
                <w:sz w:val="24"/>
                <w:szCs w:val="24"/>
                <w:highlight w:val="none"/>
              </w:rPr>
              <w:t>废包装材料：本项目包装玻璃原片的金属框架收集后统一外售</w:t>
            </w:r>
            <w:r>
              <w:rPr>
                <w:rFonts w:hint="eastAsia" w:ascii="Times New Roman" w:hAnsi="Times New Roman" w:cs="Times New Roman"/>
                <w:color w:val="auto"/>
                <w:spacing w:val="1"/>
                <w:sz w:val="24"/>
                <w:szCs w:val="24"/>
                <w:highlight w:val="none"/>
                <w:lang w:eastAsia="zh-CN"/>
              </w:rPr>
              <w:t>，根</w:t>
            </w:r>
            <w:r>
              <w:rPr>
                <w:rFonts w:hint="default" w:ascii="Times New Roman" w:hAnsi="Times New Roman" w:eastAsia="宋体" w:cs="Times New Roman"/>
                <w:color w:val="auto"/>
                <w:spacing w:val="1"/>
                <w:sz w:val="24"/>
                <w:szCs w:val="24"/>
                <w:highlight w:val="none"/>
              </w:rPr>
              <w:t>据建</w:t>
            </w:r>
            <w:r>
              <w:rPr>
                <w:rFonts w:hint="default" w:ascii="Times New Roman" w:hAnsi="Times New Roman" w:eastAsia="宋体" w:cs="Times New Roman"/>
                <w:color w:val="auto"/>
                <w:spacing w:val="-2"/>
                <w:sz w:val="24"/>
                <w:szCs w:val="24"/>
                <w:highlight w:val="none"/>
              </w:rPr>
              <w:t>设单位提供资料，废包装材料产生量约</w:t>
            </w:r>
            <w:r>
              <w:rPr>
                <w:rFonts w:hint="default" w:ascii="Times New Roman" w:hAnsi="Times New Roman" w:eastAsia="宋体" w:cs="Times New Roman"/>
                <w:color w:val="auto"/>
                <w:spacing w:val="-30"/>
                <w:sz w:val="24"/>
                <w:szCs w:val="24"/>
                <w:highlight w:val="none"/>
              </w:rPr>
              <w:t xml:space="preserve"> </w:t>
            </w:r>
            <w:r>
              <w:rPr>
                <w:rFonts w:hint="default" w:ascii="Times New Roman" w:hAnsi="Times New Roman" w:eastAsia="宋体" w:cs="Times New Roman"/>
                <w:color w:val="auto"/>
                <w:spacing w:val="-2"/>
                <w:sz w:val="24"/>
                <w:szCs w:val="24"/>
                <w:highlight w:val="none"/>
              </w:rPr>
              <w:t>1t/a。</w:t>
            </w:r>
          </w:p>
          <w:p w14:paraId="596D813F">
            <w:pPr>
              <w:pStyle w:val="66"/>
              <w:keepNext w:val="0"/>
              <w:keepLines w:val="0"/>
              <w:pageBreakBefore w:val="0"/>
              <w:kinsoku/>
              <w:wordWrap/>
              <w:overflowPunct/>
              <w:topLinePunct w:val="0"/>
              <w:autoSpaceDE/>
              <w:autoSpaceDN/>
              <w:bidi w:val="0"/>
              <w:adjustRightInd w:val="0"/>
              <w:snapToGrid w:val="0"/>
              <w:spacing w:line="360" w:lineRule="auto"/>
              <w:ind w:left="0" w:right="0" w:firstLine="472" w:firstLineChars="200"/>
              <w:textAlignment w:val="auto"/>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rPr>
              <w:t>④</w:t>
            </w:r>
            <w:r>
              <w:rPr>
                <w:rFonts w:hint="default" w:ascii="Times New Roman" w:hAnsi="Times New Roman" w:eastAsia="宋体" w:cs="Times New Roman"/>
                <w:color w:val="auto"/>
                <w:spacing w:val="-2"/>
                <w:sz w:val="24"/>
                <w:szCs w:val="24"/>
                <w:highlight w:val="none"/>
                <w:lang w:val="en-US" w:eastAsia="zh-CN"/>
              </w:rPr>
              <w:t>废</w:t>
            </w:r>
            <w:r>
              <w:rPr>
                <w:rFonts w:hint="eastAsia" w:ascii="Times New Roman" w:hAnsi="Times New Roman" w:cs="Times New Roman"/>
                <w:color w:val="auto"/>
                <w:spacing w:val="-2"/>
                <w:sz w:val="24"/>
                <w:szCs w:val="24"/>
                <w:highlight w:val="none"/>
                <w:lang w:val="en-US" w:eastAsia="zh-CN"/>
              </w:rPr>
              <w:t>耗材</w:t>
            </w:r>
            <w:r>
              <w:rPr>
                <w:rFonts w:hint="default" w:ascii="Times New Roman" w:hAnsi="Times New Roman" w:eastAsia="宋体" w:cs="Times New Roman"/>
                <w:color w:val="auto"/>
                <w:spacing w:val="-2"/>
                <w:sz w:val="24"/>
                <w:szCs w:val="24"/>
                <w:highlight w:val="none"/>
                <w:lang w:val="en-US" w:eastAsia="zh-CN"/>
              </w:rPr>
              <w:t>：本项目</w:t>
            </w:r>
            <w:r>
              <w:rPr>
                <w:rFonts w:hint="eastAsia" w:ascii="Times New Roman" w:hAnsi="Times New Roman" w:cs="Times New Roman"/>
                <w:color w:val="auto"/>
                <w:spacing w:val="-2"/>
                <w:sz w:val="24"/>
                <w:szCs w:val="24"/>
                <w:highlight w:val="none"/>
                <w:lang w:val="en-US" w:eastAsia="zh-CN"/>
              </w:rPr>
              <w:t>清洗</w:t>
            </w:r>
            <w:r>
              <w:rPr>
                <w:rFonts w:hint="default" w:ascii="Times New Roman" w:hAnsi="Times New Roman" w:eastAsia="宋体" w:cs="Times New Roman"/>
                <w:color w:val="auto"/>
                <w:spacing w:val="-2"/>
                <w:sz w:val="24"/>
                <w:szCs w:val="24"/>
                <w:highlight w:val="none"/>
                <w:lang w:val="en-US" w:eastAsia="zh-CN"/>
              </w:rPr>
              <w:t>废水处理设施采用“</w:t>
            </w:r>
            <w:r>
              <w:rPr>
                <w:rFonts w:hint="eastAsia" w:ascii="Times New Roman" w:hAnsi="Times New Roman" w:cs="Times New Roman"/>
                <w:color w:val="auto"/>
                <w:spacing w:val="-2"/>
                <w:sz w:val="24"/>
                <w:szCs w:val="24"/>
                <w:highlight w:val="none"/>
                <w:lang w:val="en-US" w:eastAsia="zh-CN"/>
              </w:rPr>
              <w:t>反渗透+RO</w:t>
            </w:r>
            <w:r>
              <w:rPr>
                <w:rFonts w:hint="default" w:ascii="Times New Roman" w:hAnsi="Times New Roman" w:eastAsia="宋体" w:cs="Times New Roman"/>
                <w:color w:val="auto"/>
                <w:spacing w:val="-2"/>
                <w:sz w:val="24"/>
                <w:szCs w:val="24"/>
                <w:highlight w:val="none"/>
                <w:lang w:val="en-US" w:eastAsia="zh-CN"/>
              </w:rPr>
              <w:t>”工艺，定期需要更换其中的滤材和膜组保证废水处理效率，因此会产生废</w:t>
            </w:r>
            <w:r>
              <w:rPr>
                <w:rFonts w:hint="eastAsia" w:ascii="Times New Roman" w:hAnsi="Times New Roman" w:cs="Times New Roman"/>
                <w:color w:val="auto"/>
                <w:spacing w:val="-2"/>
                <w:sz w:val="24"/>
                <w:szCs w:val="24"/>
                <w:highlight w:val="none"/>
                <w:lang w:val="en-US" w:eastAsia="zh-CN"/>
              </w:rPr>
              <w:t>耗材</w:t>
            </w:r>
            <w:r>
              <w:rPr>
                <w:rFonts w:hint="default" w:ascii="Times New Roman" w:hAnsi="Times New Roman" w:eastAsia="宋体" w:cs="Times New Roman"/>
                <w:color w:val="auto"/>
                <w:spacing w:val="-2"/>
                <w:sz w:val="24"/>
                <w:szCs w:val="24"/>
                <w:highlight w:val="none"/>
                <w:lang w:val="en-US" w:eastAsia="zh-CN"/>
              </w:rPr>
              <w:t>。根据建设单位提供资料，废</w:t>
            </w:r>
            <w:r>
              <w:rPr>
                <w:rFonts w:hint="eastAsia" w:ascii="Times New Roman" w:hAnsi="Times New Roman" w:cs="Times New Roman"/>
                <w:color w:val="auto"/>
                <w:spacing w:val="-2"/>
                <w:sz w:val="24"/>
                <w:szCs w:val="24"/>
                <w:highlight w:val="none"/>
                <w:lang w:val="en-US" w:eastAsia="zh-CN"/>
              </w:rPr>
              <w:t>耗材</w:t>
            </w:r>
            <w:r>
              <w:rPr>
                <w:rFonts w:hint="default" w:ascii="Times New Roman" w:hAnsi="Times New Roman" w:eastAsia="宋体" w:cs="Times New Roman"/>
                <w:color w:val="auto"/>
                <w:spacing w:val="-2"/>
                <w:sz w:val="24"/>
                <w:szCs w:val="24"/>
                <w:highlight w:val="none"/>
                <w:lang w:val="en-US" w:eastAsia="zh-CN"/>
              </w:rPr>
              <w:t>年产生量0.01t/a，暂由废水设备厂家回收。</w:t>
            </w:r>
          </w:p>
          <w:p w14:paraId="00439DE0">
            <w:pPr>
              <w:pStyle w:val="66"/>
              <w:keepNext w:val="0"/>
              <w:keepLines w:val="0"/>
              <w:pageBreakBefore w:val="0"/>
              <w:kinsoku/>
              <w:wordWrap/>
              <w:overflowPunct/>
              <w:topLinePunct w:val="0"/>
              <w:autoSpaceDE/>
              <w:autoSpaceDN/>
              <w:bidi w:val="0"/>
              <w:adjustRightInd w:val="0"/>
              <w:snapToGrid w:val="0"/>
              <w:spacing w:line="360" w:lineRule="auto"/>
              <w:ind w:left="0" w:right="0" w:firstLine="472" w:firstLineChars="200"/>
              <w:textAlignment w:val="auto"/>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lang w:val="en-US" w:eastAsia="zh-CN"/>
              </w:rPr>
              <w:t>⑤污泥：本项目废水处理设备会产生污泥，</w:t>
            </w:r>
            <w:r>
              <w:rPr>
                <w:rFonts w:hint="default" w:ascii="Times New Roman" w:hAnsi="Times New Roman" w:eastAsia="宋体" w:cs="Times New Roman"/>
                <w:color w:val="auto"/>
                <w:sz w:val="24"/>
                <w:szCs w:val="24"/>
                <w:highlight w:val="none"/>
              </w:rPr>
              <w:t>混凝沉淀工艺产生的干污泥。</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项目的进出水水质指标及设计处理水量，</w:t>
            </w:r>
            <w:r>
              <w:rPr>
                <w:rFonts w:hint="default" w:ascii="Times New Roman" w:hAnsi="Times New Roman" w:cs="Times New Roman"/>
                <w:color w:val="auto"/>
                <w:sz w:val="24"/>
                <w:szCs w:val="24"/>
                <w:highlight w:val="none"/>
                <w:lang w:val="en-US" w:eastAsia="zh-CN"/>
              </w:rPr>
              <w:t>核算</w:t>
            </w:r>
            <w:r>
              <w:rPr>
                <w:rFonts w:hint="default" w:ascii="Times New Roman" w:hAnsi="Times New Roman" w:eastAsia="宋体" w:cs="Times New Roman"/>
                <w:color w:val="auto"/>
                <w:sz w:val="24"/>
                <w:szCs w:val="24"/>
                <w:highlight w:val="none"/>
              </w:rPr>
              <w:t>每日截留的悬浮固体量为712.8 kg/d</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260.17 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同时</w:t>
            </w:r>
            <w:r>
              <w:rPr>
                <w:rFonts w:hint="default" w:ascii="Times New Roman" w:hAnsi="Times New Roman" w:eastAsia="宋体" w:cs="Times New Roman"/>
                <w:color w:val="auto"/>
                <w:sz w:val="24"/>
                <w:szCs w:val="24"/>
                <w:highlight w:val="none"/>
              </w:rPr>
              <w:t>考虑到水处理过程中投加的</w:t>
            </w:r>
            <w:r>
              <w:rPr>
                <w:rFonts w:hint="eastAsia" w:ascii="Times New Roman" w:hAnsi="Times New Roman" w:cs="Times New Roman"/>
                <w:color w:val="auto"/>
                <w:sz w:val="24"/>
                <w:szCs w:val="24"/>
                <w:highlight w:val="none"/>
                <w:lang w:val="en-US" w:eastAsia="zh-CN"/>
              </w:rPr>
              <w:t>絮凝剂</w:t>
            </w:r>
            <w:r>
              <w:rPr>
                <w:rFonts w:hint="default" w:ascii="Times New Roman" w:hAnsi="Times New Roman" w:eastAsia="宋体" w:cs="Times New Roman"/>
                <w:color w:val="auto"/>
                <w:sz w:val="24"/>
                <w:szCs w:val="24"/>
                <w:highlight w:val="none"/>
              </w:rPr>
              <w:t>在水解反应中会形成不溶性的氢氧化物絮体并随泥排出，</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PAC、PAM</w:t>
            </w:r>
            <w:r>
              <w:rPr>
                <w:rFonts w:hint="default" w:ascii="Times New Roman" w:hAnsi="Times New Roman" w:eastAsia="宋体" w:cs="Times New Roman"/>
                <w:color w:val="auto"/>
                <w:sz w:val="24"/>
                <w:szCs w:val="24"/>
                <w:highlight w:val="none"/>
              </w:rPr>
              <w:t>年投加量，并参照工程经验进行</w:t>
            </w:r>
            <w:r>
              <w:rPr>
                <w:rFonts w:hint="default" w:ascii="Times New Roman" w:hAnsi="Times New Roman" w:cs="Times New Roman"/>
                <w:color w:val="auto"/>
                <w:sz w:val="24"/>
                <w:szCs w:val="24"/>
                <w:highlight w:val="none"/>
                <w:lang w:val="en-US" w:eastAsia="zh-CN"/>
              </w:rPr>
              <w:t>核算</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产生的</w:t>
            </w:r>
            <w:r>
              <w:rPr>
                <w:rFonts w:hint="default" w:ascii="Times New Roman" w:hAnsi="Times New Roman" w:eastAsia="宋体" w:cs="Times New Roman"/>
                <w:color w:val="auto"/>
                <w:sz w:val="24"/>
                <w:szCs w:val="24"/>
                <w:highlight w:val="none"/>
              </w:rPr>
              <w:t>年干泥量约为0.13 t/a。</w:t>
            </w:r>
            <w:r>
              <w:rPr>
                <w:rFonts w:hint="default" w:ascii="Times New Roman" w:hAnsi="Times New Roman"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本项目总干污泥产生量为260.3t/a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收集后委托相关单位处置。</w:t>
            </w:r>
          </w:p>
          <w:p w14:paraId="342987FF">
            <w:pPr>
              <w:keepNext w:val="0"/>
              <w:keepLines w:val="0"/>
              <w:pageBreakBefore w:val="0"/>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（2）危险废物</w:t>
            </w:r>
          </w:p>
          <w:p w14:paraId="798AB68D">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①废</w:t>
            </w:r>
            <w:r>
              <w:rPr>
                <w:rFonts w:hint="default" w:ascii="Times New Roman" w:hAnsi="Times New Roman" w:eastAsia="宋体" w:cs="Times New Roman"/>
                <w:color w:val="auto"/>
                <w:sz w:val="24"/>
                <w:szCs w:val="24"/>
                <w:highlight w:val="none"/>
                <w:lang w:val="en-US" w:eastAsia="zh-CN"/>
              </w:rPr>
              <w:t>润滑</w:t>
            </w:r>
            <w:r>
              <w:rPr>
                <w:rFonts w:hint="default" w:ascii="Times New Roman" w:hAnsi="Times New Roman" w:eastAsia="宋体" w:cs="Times New Roman"/>
                <w:color w:val="auto"/>
                <w:sz w:val="24"/>
                <w:szCs w:val="24"/>
                <w:highlight w:val="none"/>
              </w:rPr>
              <w:t>油：本项目设备维修保养过程中会产生废</w:t>
            </w:r>
            <w:r>
              <w:rPr>
                <w:rFonts w:hint="default" w:ascii="Times New Roman" w:hAnsi="Times New Roman" w:eastAsia="宋体" w:cs="Times New Roman"/>
                <w:color w:val="auto"/>
                <w:sz w:val="24"/>
                <w:szCs w:val="24"/>
                <w:highlight w:val="none"/>
                <w:lang w:val="en-US" w:eastAsia="zh-CN"/>
              </w:rPr>
              <w:t>润滑</w:t>
            </w:r>
            <w:r>
              <w:rPr>
                <w:rFonts w:hint="default" w:ascii="Times New Roman" w:hAnsi="Times New Roman" w:eastAsia="宋体" w:cs="Times New Roman"/>
                <w:color w:val="auto"/>
                <w:sz w:val="24"/>
                <w:szCs w:val="24"/>
                <w:highlight w:val="none"/>
              </w:rPr>
              <w:t>油，</w:t>
            </w:r>
            <w:r>
              <w:rPr>
                <w:rFonts w:hint="default" w:ascii="Times New Roman" w:hAnsi="Times New Roman" w:eastAsia="宋体" w:cs="Times New Roman"/>
                <w:color w:val="auto"/>
                <w:sz w:val="24"/>
                <w:szCs w:val="24"/>
                <w:highlight w:val="none"/>
                <w:lang w:val="en-US" w:eastAsia="zh-CN"/>
              </w:rPr>
              <w:t>根据建设单位提供资料，</w:t>
            </w:r>
            <w:r>
              <w:rPr>
                <w:rFonts w:hint="default" w:ascii="Times New Roman" w:hAnsi="Times New Roman" w:eastAsia="宋体" w:cs="Times New Roman"/>
                <w:color w:val="auto"/>
                <w:sz w:val="24"/>
                <w:szCs w:val="24"/>
                <w:highlight w:val="none"/>
              </w:rPr>
              <w:t>产生量约为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t/a，废</w:t>
            </w:r>
            <w:r>
              <w:rPr>
                <w:rFonts w:hint="default" w:ascii="Times New Roman" w:hAnsi="Times New Roman" w:eastAsia="宋体" w:cs="Times New Roman"/>
                <w:color w:val="auto"/>
                <w:sz w:val="24"/>
                <w:szCs w:val="24"/>
                <w:highlight w:val="none"/>
                <w:lang w:eastAsia="zh-CN"/>
              </w:rPr>
              <w:t>润滑油</w:t>
            </w:r>
            <w:r>
              <w:rPr>
                <w:rFonts w:hint="default" w:ascii="Times New Roman" w:hAnsi="Times New Roman" w:eastAsia="宋体" w:cs="Times New Roman"/>
                <w:color w:val="auto"/>
                <w:sz w:val="24"/>
                <w:szCs w:val="24"/>
                <w:highlight w:val="none"/>
              </w:rPr>
              <w:t>属于HW08，危废代码为900-21</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-08，收集后暂存于</w:t>
            </w:r>
            <w:r>
              <w:rPr>
                <w:rFonts w:hint="eastAsia" w:ascii="Times New Roman" w:hAnsi="Times New Roman" w:eastAsia="宋体" w:cs="Times New Roman"/>
                <w:color w:val="auto"/>
                <w:sz w:val="24"/>
                <w:szCs w:val="24"/>
                <w:highlight w:val="none"/>
                <w:lang w:eastAsia="zh-CN"/>
              </w:rPr>
              <w:t>危废库</w:t>
            </w:r>
            <w:r>
              <w:rPr>
                <w:rFonts w:hint="default" w:ascii="Times New Roman" w:hAnsi="Times New Roman" w:eastAsia="宋体" w:cs="Times New Roman"/>
                <w:color w:val="auto"/>
                <w:sz w:val="24"/>
                <w:szCs w:val="24"/>
                <w:highlight w:val="none"/>
              </w:rPr>
              <w:t>，定期委托有资质的单位处理。</w:t>
            </w:r>
          </w:p>
          <w:p w14:paraId="431F7057">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②废</w:t>
            </w:r>
            <w:r>
              <w:rPr>
                <w:rFonts w:hint="default" w:ascii="Times New Roman" w:hAnsi="Times New Roman" w:eastAsia="宋体" w:cs="Times New Roman"/>
                <w:color w:val="auto"/>
                <w:sz w:val="24"/>
                <w:szCs w:val="24"/>
                <w:highlight w:val="none"/>
                <w:lang w:val="en-US" w:eastAsia="zh-CN"/>
              </w:rPr>
              <w:t>润滑</w:t>
            </w:r>
            <w:r>
              <w:rPr>
                <w:rFonts w:hint="default" w:ascii="Times New Roman" w:hAnsi="Times New Roman" w:eastAsia="宋体" w:cs="Times New Roman"/>
                <w:color w:val="auto"/>
                <w:sz w:val="24"/>
                <w:szCs w:val="24"/>
                <w:highlight w:val="none"/>
              </w:rPr>
              <w:t>油桶：</w:t>
            </w:r>
            <w:r>
              <w:rPr>
                <w:rFonts w:hint="default" w:ascii="Times New Roman" w:hAnsi="Times New Roman" w:eastAsia="宋体" w:cs="Times New Roman"/>
                <w:color w:val="auto"/>
                <w:sz w:val="24"/>
                <w:szCs w:val="24"/>
                <w:highlight w:val="none"/>
                <w:lang w:val="en-US" w:eastAsia="zh-CN"/>
              </w:rPr>
              <w:t>润滑</w:t>
            </w:r>
            <w:r>
              <w:rPr>
                <w:rFonts w:hint="default" w:ascii="Times New Roman" w:hAnsi="Times New Roman" w:eastAsia="宋体" w:cs="Times New Roman"/>
                <w:color w:val="auto"/>
                <w:sz w:val="24"/>
                <w:szCs w:val="24"/>
                <w:highlight w:val="none"/>
              </w:rPr>
              <w:t>油使用量为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t/a（25kg/桶），每年将产生</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个原料桶。每个</w:t>
            </w:r>
            <w:r>
              <w:rPr>
                <w:rFonts w:hint="default" w:ascii="Times New Roman" w:hAnsi="Times New Roman" w:eastAsia="宋体" w:cs="Times New Roman"/>
                <w:color w:val="auto"/>
                <w:sz w:val="24"/>
                <w:szCs w:val="24"/>
                <w:highlight w:val="none"/>
                <w:lang w:eastAsia="zh-CN"/>
              </w:rPr>
              <w:t>润滑油</w:t>
            </w:r>
            <w:r>
              <w:rPr>
                <w:rFonts w:hint="default" w:ascii="Times New Roman" w:hAnsi="Times New Roman" w:eastAsia="宋体" w:cs="Times New Roman"/>
                <w:color w:val="auto"/>
                <w:sz w:val="24"/>
                <w:szCs w:val="24"/>
                <w:highlight w:val="none"/>
              </w:rPr>
              <w:t>空桶重</w:t>
            </w:r>
            <w:r>
              <w:rPr>
                <w:rFonts w:hint="default" w:ascii="Times New Roman" w:hAnsi="Times New Roman" w:eastAsia="宋体" w:cs="Times New Roman"/>
                <w:color w:val="auto"/>
                <w:sz w:val="24"/>
                <w:szCs w:val="24"/>
                <w:highlight w:val="none"/>
                <w:lang w:val="en-US" w:eastAsia="zh-CN"/>
              </w:rPr>
              <w:t>500g</w:t>
            </w:r>
            <w:r>
              <w:rPr>
                <w:rFonts w:hint="default" w:ascii="Times New Roman" w:hAnsi="Times New Roman" w:eastAsia="宋体" w:cs="Times New Roman"/>
                <w:color w:val="auto"/>
                <w:sz w:val="24"/>
                <w:szCs w:val="24"/>
                <w:highlight w:val="none"/>
              </w:rPr>
              <w:t>，则废</w:t>
            </w:r>
            <w:r>
              <w:rPr>
                <w:rFonts w:hint="default" w:ascii="Times New Roman" w:hAnsi="Times New Roman" w:eastAsia="宋体" w:cs="Times New Roman"/>
                <w:color w:val="auto"/>
                <w:sz w:val="24"/>
                <w:szCs w:val="24"/>
                <w:highlight w:val="none"/>
                <w:lang w:eastAsia="zh-CN"/>
              </w:rPr>
              <w:t>润滑油</w:t>
            </w:r>
            <w:r>
              <w:rPr>
                <w:rFonts w:hint="default" w:ascii="Times New Roman" w:hAnsi="Times New Roman" w:eastAsia="宋体" w:cs="Times New Roman"/>
                <w:color w:val="auto"/>
                <w:sz w:val="24"/>
                <w:szCs w:val="24"/>
                <w:highlight w:val="none"/>
              </w:rPr>
              <w:t>桶产生量为0.0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w:t>
            </w:r>
            <w:r>
              <w:rPr>
                <w:rFonts w:hint="default" w:ascii="Times New Roman" w:hAnsi="Times New Roman" w:eastAsia="宋体" w:cs="Times New Roman"/>
                <w:color w:val="auto"/>
                <w:sz w:val="24"/>
                <w:szCs w:val="24"/>
                <w:highlight w:val="none"/>
                <w:lang w:eastAsia="zh-CN"/>
              </w:rPr>
              <w:t>润滑油</w:t>
            </w:r>
            <w:r>
              <w:rPr>
                <w:rFonts w:hint="default" w:ascii="Times New Roman" w:hAnsi="Times New Roman" w:eastAsia="宋体" w:cs="Times New Roman"/>
                <w:color w:val="auto"/>
                <w:sz w:val="24"/>
                <w:szCs w:val="24"/>
                <w:highlight w:val="none"/>
              </w:rPr>
              <w:t>桶属于HW</w:t>
            </w:r>
            <w:r>
              <w:rPr>
                <w:rFonts w:hint="eastAsia" w:ascii="Times New Roman" w:hAnsi="Times New Roman"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，危废代码为900-249-08，收集后暂存于</w:t>
            </w:r>
            <w:r>
              <w:rPr>
                <w:rFonts w:hint="eastAsia" w:ascii="Times New Roman" w:hAnsi="Times New Roman" w:eastAsia="宋体" w:cs="Times New Roman"/>
                <w:color w:val="auto"/>
                <w:sz w:val="24"/>
                <w:szCs w:val="24"/>
                <w:highlight w:val="none"/>
                <w:lang w:eastAsia="zh-CN"/>
              </w:rPr>
              <w:t>危废库</w:t>
            </w:r>
            <w:r>
              <w:rPr>
                <w:rFonts w:hint="default" w:ascii="Times New Roman" w:hAnsi="Times New Roman" w:eastAsia="宋体" w:cs="Times New Roman"/>
                <w:color w:val="auto"/>
                <w:sz w:val="24"/>
                <w:szCs w:val="24"/>
                <w:highlight w:val="none"/>
              </w:rPr>
              <w:t>，定期委托有资质的单位处理</w:t>
            </w:r>
            <w:r>
              <w:rPr>
                <w:rFonts w:hint="eastAsia" w:ascii="Times New Roman" w:hAnsi="Times New Roman" w:eastAsia="宋体" w:cs="Times New Roman"/>
                <w:color w:val="auto"/>
                <w:sz w:val="24"/>
                <w:szCs w:val="24"/>
                <w:highlight w:val="none"/>
                <w:lang w:eastAsia="zh-CN"/>
              </w:rPr>
              <w:t>。</w:t>
            </w:r>
          </w:p>
          <w:p w14:paraId="7B0C25B3">
            <w:pPr>
              <w:pStyle w:val="66"/>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③</w:t>
            </w:r>
            <w:r>
              <w:rPr>
                <w:rFonts w:hint="default" w:ascii="Times New Roman" w:hAnsi="Times New Roman" w:eastAsia="宋体" w:cs="Times New Roman"/>
                <w:color w:val="auto"/>
                <w:spacing w:val="-5"/>
                <w:sz w:val="24"/>
                <w:szCs w:val="24"/>
                <w:highlight w:val="none"/>
              </w:rPr>
              <w:t>含润滑油抹布：根据建设单位提供资料，含润滑油抹布产生量约0.05t/a，</w:t>
            </w:r>
            <w:r>
              <w:rPr>
                <w:rFonts w:hint="default" w:ascii="Times New Roman" w:hAnsi="Times New Roman" w:eastAsia="宋体" w:cs="Times New Roman"/>
                <w:color w:val="auto"/>
                <w:sz w:val="24"/>
                <w:szCs w:val="24"/>
                <w:highlight w:val="none"/>
              </w:rPr>
              <w:t>属于HW49，危废代码为900-041-49，收集后暂存于</w:t>
            </w:r>
            <w:r>
              <w:rPr>
                <w:rFonts w:hint="eastAsia" w:ascii="Times New Roman" w:hAnsi="Times New Roman" w:cs="Times New Roman"/>
                <w:color w:val="auto"/>
                <w:sz w:val="24"/>
                <w:szCs w:val="24"/>
                <w:highlight w:val="none"/>
                <w:lang w:eastAsia="zh-CN"/>
              </w:rPr>
              <w:t>危废库</w:t>
            </w:r>
            <w:r>
              <w:rPr>
                <w:rFonts w:hint="default" w:ascii="Times New Roman" w:hAnsi="Times New Roman" w:eastAsia="宋体" w:cs="Times New Roman"/>
                <w:color w:val="auto"/>
                <w:sz w:val="24"/>
                <w:szCs w:val="24"/>
                <w:highlight w:val="none"/>
              </w:rPr>
              <w:t>，定期委托有资质的单位处理</w:t>
            </w:r>
            <w:r>
              <w:rPr>
                <w:rFonts w:hint="default" w:ascii="Times New Roman" w:hAnsi="Times New Roman" w:eastAsia="宋体" w:cs="Times New Roman"/>
                <w:color w:val="auto"/>
                <w:spacing w:val="-1"/>
                <w:sz w:val="24"/>
                <w:szCs w:val="24"/>
                <w:highlight w:val="none"/>
              </w:rPr>
              <w:t>。</w:t>
            </w:r>
          </w:p>
          <w:p w14:paraId="7388B0F9">
            <w:pPr>
              <w:pStyle w:val="66"/>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bCs/>
                <w:color w:val="auto"/>
                <w:sz w:val="24"/>
                <w:szCs w:val="24"/>
                <w:highlight w:val="none"/>
              </w:rPr>
              <w:t>废</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rPr>
              <w:t>桶：</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rPr>
              <w:t>使用完后，会产生废</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rPr>
              <w:t>桶，本项目使用</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lang w:val="en-US" w:eastAsia="zh-CN"/>
              </w:rPr>
              <w:t>125</w:t>
            </w:r>
            <w:r>
              <w:rPr>
                <w:rFonts w:hint="default" w:ascii="Times New Roman" w:hAnsi="Times New Roman" w:eastAsia="宋体" w:cs="Times New Roman"/>
                <w:bCs/>
                <w:color w:val="auto"/>
                <w:sz w:val="24"/>
                <w:szCs w:val="24"/>
                <w:highlight w:val="none"/>
              </w:rPr>
              <w:t>t/a（25kg/桶），产生废</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rPr>
              <w:t>桶</w:t>
            </w:r>
            <w:r>
              <w:rPr>
                <w:rFonts w:hint="default" w:ascii="Times New Roman" w:hAnsi="Times New Roman" w:eastAsia="宋体" w:cs="Times New Roman"/>
                <w:bCs/>
                <w:color w:val="auto"/>
                <w:sz w:val="24"/>
                <w:szCs w:val="24"/>
                <w:highlight w:val="none"/>
                <w:lang w:val="en-US" w:eastAsia="zh-CN"/>
              </w:rPr>
              <w:t>5000</w:t>
            </w:r>
            <w:r>
              <w:rPr>
                <w:rFonts w:hint="default" w:ascii="Times New Roman" w:hAnsi="Times New Roman" w:eastAsia="宋体" w:cs="Times New Roman"/>
                <w:bCs/>
                <w:color w:val="auto"/>
                <w:sz w:val="24"/>
                <w:szCs w:val="24"/>
                <w:highlight w:val="none"/>
              </w:rPr>
              <w:t>个，每个</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rPr>
              <w:t>桶以500g计，废</w:t>
            </w:r>
            <w:r>
              <w:rPr>
                <w:rFonts w:hint="eastAsia" w:ascii="Times New Roman" w:hAnsi="Times New Roman" w:cs="Times New Roman"/>
                <w:bCs/>
                <w:color w:val="auto"/>
                <w:sz w:val="24"/>
                <w:szCs w:val="24"/>
                <w:highlight w:val="none"/>
                <w:lang w:eastAsia="zh-CN"/>
              </w:rPr>
              <w:t>高反射膜材料</w:t>
            </w:r>
            <w:r>
              <w:rPr>
                <w:rFonts w:hint="default" w:ascii="Times New Roman" w:hAnsi="Times New Roman" w:eastAsia="宋体" w:cs="Times New Roman"/>
                <w:bCs/>
                <w:color w:val="auto"/>
                <w:sz w:val="24"/>
                <w:szCs w:val="24"/>
                <w:highlight w:val="none"/>
              </w:rPr>
              <w:t>桶产生量约</w:t>
            </w:r>
            <w:r>
              <w:rPr>
                <w:rFonts w:hint="default" w:ascii="Times New Roman" w:hAnsi="Times New Roman" w:eastAsia="宋体" w:cs="Times New Roman"/>
                <w:bCs/>
                <w:color w:val="auto"/>
                <w:sz w:val="24"/>
                <w:szCs w:val="24"/>
                <w:highlight w:val="none"/>
                <w:lang w:val="en-US" w:eastAsia="zh-CN"/>
              </w:rPr>
              <w:t>2.5</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color w:val="auto"/>
                <w:sz w:val="24"/>
                <w:szCs w:val="24"/>
                <w:highlight w:val="none"/>
              </w:rPr>
              <w:t>废</w:t>
            </w:r>
            <w:r>
              <w:rPr>
                <w:rFonts w:hint="eastAsia" w:ascii="Times New Roman" w:hAnsi="Times New Roman" w:cs="Times New Roman"/>
                <w:color w:val="auto"/>
                <w:sz w:val="24"/>
                <w:szCs w:val="24"/>
                <w:highlight w:val="none"/>
                <w:lang w:val="en-US" w:eastAsia="zh-CN"/>
              </w:rPr>
              <w:t>高反射膜材料</w:t>
            </w:r>
            <w:r>
              <w:rPr>
                <w:rFonts w:hint="default" w:ascii="Times New Roman" w:hAnsi="Times New Roman" w:eastAsia="宋体" w:cs="Times New Roman"/>
                <w:color w:val="auto"/>
                <w:sz w:val="24"/>
                <w:szCs w:val="24"/>
                <w:highlight w:val="none"/>
              </w:rPr>
              <w:t>桶属于HW49，危废代码为900-041-49，收集后暂存于</w:t>
            </w:r>
            <w:r>
              <w:rPr>
                <w:rFonts w:hint="eastAsia" w:ascii="Times New Roman" w:hAnsi="Times New Roman" w:cs="Times New Roman"/>
                <w:color w:val="auto"/>
                <w:sz w:val="24"/>
                <w:szCs w:val="24"/>
                <w:highlight w:val="none"/>
                <w:lang w:eastAsia="zh-CN"/>
              </w:rPr>
              <w:t>危废库</w:t>
            </w:r>
            <w:r>
              <w:rPr>
                <w:rFonts w:hint="default" w:ascii="Times New Roman" w:hAnsi="Times New Roman" w:eastAsia="宋体" w:cs="Times New Roman"/>
                <w:color w:val="auto"/>
                <w:sz w:val="24"/>
                <w:szCs w:val="24"/>
                <w:highlight w:val="none"/>
              </w:rPr>
              <w:t>，定期委托有资质的单位处理。</w:t>
            </w:r>
          </w:p>
          <w:p w14:paraId="56D8CA4E">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spacing w:val="-2"/>
                <w:sz w:val="24"/>
                <w:szCs w:val="24"/>
                <w:highlight w:val="none"/>
              </w:rPr>
              <w:t>含</w:t>
            </w:r>
            <w:r>
              <w:rPr>
                <w:rFonts w:hint="eastAsia" w:ascii="Times New Roman" w:hAnsi="Times New Roman" w:eastAsia="宋体" w:cs="Times New Roman"/>
                <w:color w:val="auto"/>
                <w:spacing w:val="-2"/>
                <w:sz w:val="24"/>
                <w:szCs w:val="24"/>
                <w:highlight w:val="none"/>
                <w:lang w:eastAsia="zh-CN"/>
              </w:rPr>
              <w:t>高反射膜材料</w:t>
            </w:r>
            <w:r>
              <w:rPr>
                <w:rFonts w:hint="default" w:ascii="Times New Roman" w:hAnsi="Times New Roman" w:eastAsia="宋体" w:cs="Times New Roman"/>
                <w:color w:val="auto"/>
                <w:spacing w:val="-2"/>
                <w:sz w:val="24"/>
                <w:szCs w:val="24"/>
                <w:highlight w:val="none"/>
              </w:rPr>
              <w:t>抹布：根据建设单位提供资料，含</w:t>
            </w:r>
            <w:r>
              <w:rPr>
                <w:rFonts w:hint="eastAsia" w:ascii="Times New Roman" w:hAnsi="Times New Roman" w:eastAsia="宋体" w:cs="Times New Roman"/>
                <w:color w:val="auto"/>
                <w:spacing w:val="-2"/>
                <w:sz w:val="24"/>
                <w:szCs w:val="24"/>
                <w:highlight w:val="none"/>
                <w:lang w:eastAsia="zh-CN"/>
              </w:rPr>
              <w:t>高反射膜材料</w:t>
            </w:r>
            <w:r>
              <w:rPr>
                <w:rFonts w:hint="default" w:ascii="Times New Roman" w:hAnsi="Times New Roman" w:eastAsia="宋体" w:cs="Times New Roman"/>
                <w:color w:val="auto"/>
                <w:spacing w:val="-2"/>
                <w:sz w:val="24"/>
                <w:szCs w:val="24"/>
                <w:highlight w:val="none"/>
              </w:rPr>
              <w:t>抹布产生量约</w:t>
            </w:r>
            <w:r>
              <w:rPr>
                <w:rFonts w:hint="default" w:ascii="Times New Roman" w:hAnsi="Times New Roman" w:eastAsia="宋体" w:cs="Times New Roman"/>
                <w:color w:val="auto"/>
                <w:spacing w:val="-19"/>
                <w:sz w:val="24"/>
                <w:szCs w:val="24"/>
                <w:highlight w:val="none"/>
              </w:rPr>
              <w:t xml:space="preserve"> </w:t>
            </w:r>
            <w:r>
              <w:rPr>
                <w:rFonts w:hint="default" w:ascii="Times New Roman" w:hAnsi="Times New Roman" w:eastAsia="宋体" w:cs="Times New Roman"/>
                <w:color w:val="auto"/>
                <w:spacing w:val="-2"/>
                <w:sz w:val="24"/>
                <w:szCs w:val="24"/>
                <w:highlight w:val="none"/>
              </w:rPr>
              <w:t>1t/a</w:t>
            </w:r>
            <w:r>
              <w:rPr>
                <w:rFonts w:hint="default" w:ascii="Times New Roman" w:hAnsi="Times New Roman" w:eastAsia="宋体" w:cs="Times New Roman"/>
                <w:color w:val="auto"/>
                <w:spacing w:val="-34"/>
                <w:sz w:val="24"/>
                <w:szCs w:val="24"/>
                <w:highlight w:val="none"/>
              </w:rPr>
              <w:t xml:space="preserve"> </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z w:val="24"/>
                <w:szCs w:val="24"/>
                <w:highlight w:val="none"/>
              </w:rPr>
              <w:t>属于HW49，危废代码为900-041-49，收集后暂存于</w:t>
            </w:r>
            <w:r>
              <w:rPr>
                <w:rFonts w:hint="eastAsia" w:ascii="Times New Roman" w:hAnsi="Times New Roman" w:eastAsia="宋体" w:cs="Times New Roman"/>
                <w:color w:val="auto"/>
                <w:sz w:val="24"/>
                <w:szCs w:val="24"/>
                <w:highlight w:val="none"/>
                <w:lang w:eastAsia="zh-CN"/>
              </w:rPr>
              <w:t>危废库</w:t>
            </w:r>
            <w:r>
              <w:rPr>
                <w:rFonts w:hint="default" w:ascii="Times New Roman" w:hAnsi="Times New Roman" w:eastAsia="宋体" w:cs="Times New Roman"/>
                <w:color w:val="auto"/>
                <w:sz w:val="24"/>
                <w:szCs w:val="24"/>
                <w:highlight w:val="none"/>
              </w:rPr>
              <w:t>，定期委托有资质的单位处理</w:t>
            </w:r>
            <w:r>
              <w:rPr>
                <w:rFonts w:hint="eastAsia" w:ascii="Times New Roman" w:hAnsi="Times New Roman" w:eastAsia="宋体" w:cs="Times New Roman"/>
                <w:color w:val="auto"/>
                <w:sz w:val="24"/>
                <w:szCs w:val="24"/>
                <w:highlight w:val="none"/>
                <w:lang w:eastAsia="zh-CN"/>
              </w:rPr>
              <w:t>。</w:t>
            </w:r>
          </w:p>
          <w:p w14:paraId="783BE42E">
            <w:pPr>
              <w:keepNext w:val="0"/>
              <w:keepLines w:val="0"/>
              <w:pageBreakBefore w:val="0"/>
              <w:widowControl/>
              <w:kinsoku/>
              <w:wordWrap/>
              <w:overflowPunct/>
              <w:topLinePunct w:val="0"/>
              <w:autoSpaceDE/>
              <w:autoSpaceDN/>
              <w:bidi w:val="0"/>
              <w:adjustRightInd w:val="0"/>
              <w:snapToGrid w:val="0"/>
              <w:spacing w:line="360" w:lineRule="auto"/>
              <w:ind w:left="0" w:right="0" w:firstLine="484" w:firstLineChars="200"/>
              <w:jc w:val="left"/>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pacing w:val="1"/>
                <w:sz w:val="24"/>
                <w:szCs w:val="24"/>
                <w:highlight w:val="none"/>
              </w:rPr>
              <w:t>⑥</w:t>
            </w:r>
            <w:r>
              <w:rPr>
                <w:rFonts w:hint="default" w:ascii="Times New Roman" w:hAnsi="Times New Roman" w:eastAsia="宋体" w:cs="Times New Roman"/>
                <w:color w:val="auto"/>
                <w:sz w:val="24"/>
                <w:szCs w:val="24"/>
                <w:highlight w:val="none"/>
              </w:rPr>
              <w:t>废活性炭：</w:t>
            </w:r>
            <w:r>
              <w:rPr>
                <w:rFonts w:hint="default" w:ascii="Times New Roman" w:hAnsi="Times New Roman" w:eastAsia="宋体" w:cs="Times New Roman"/>
                <w:color w:val="auto"/>
                <w:sz w:val="24"/>
                <w:szCs w:val="24"/>
                <w:highlight w:val="none"/>
                <w:lang w:val="zh-CN"/>
              </w:rPr>
              <w:t>根据《吸附法工业有机废气治理工程技术规范》（HJ 2026-2013）</w:t>
            </w:r>
            <w:r>
              <w:rPr>
                <w:rFonts w:hint="eastAsia"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zh-CN"/>
              </w:rPr>
              <w:t>采用蜂窝活性炭作为吸附介质，吸附装置横截面积</w:t>
            </w:r>
            <w:r>
              <w:rPr>
                <w:rFonts w:hint="eastAsia" w:ascii="Times New Roman" w:hAnsi="Times New Roman"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val="zh-CN"/>
              </w:rPr>
              <w:t>为4.63m²。为确保足够的废气停留时间以达到处理效率，碳层总厚度按1.0m计，则单次活性炭装填体积约为4.63m³，蜂窝活性炭堆积密度</w:t>
            </w:r>
            <w:r>
              <w:rPr>
                <w:rFonts w:hint="eastAsia" w:ascii="Times New Roman" w:hAnsi="Times New Roman"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zh-CN"/>
              </w:rPr>
              <w:t>350~500kg/m³，</w:t>
            </w:r>
            <w:r>
              <w:rPr>
                <w:rFonts w:hint="eastAsia" w:ascii="Times New Roman" w:hAnsi="Times New Roman" w:cs="Times New Roman"/>
                <w:color w:val="auto"/>
                <w:sz w:val="24"/>
                <w:szCs w:val="24"/>
                <w:highlight w:val="none"/>
                <w:lang w:val="en-US" w:eastAsia="zh-CN"/>
              </w:rPr>
              <w:t>本次取</w:t>
            </w:r>
            <w:r>
              <w:rPr>
                <w:rFonts w:hint="default" w:ascii="Times New Roman" w:hAnsi="Times New Roman" w:eastAsia="宋体" w:cs="Times New Roman"/>
                <w:color w:val="auto"/>
                <w:sz w:val="24"/>
                <w:szCs w:val="24"/>
                <w:highlight w:val="none"/>
                <w:lang w:val="zh-CN"/>
              </w:rPr>
              <w:t>400kg/m³计，单次装填量约为1.85</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zh-CN"/>
              </w:rPr>
              <w:t>。</w:t>
            </w:r>
            <w:r>
              <w:rPr>
                <w:rFonts w:hint="eastAsia" w:ascii="Times New Roman" w:hAnsi="Times New Roman" w:cs="Times New Roman"/>
                <w:color w:val="auto"/>
                <w:sz w:val="24"/>
                <w:szCs w:val="24"/>
                <w:highlight w:val="none"/>
                <w:lang w:val="en-US" w:eastAsia="zh-CN"/>
              </w:rPr>
              <w:t>本项目活性炭</w:t>
            </w:r>
            <w:r>
              <w:rPr>
                <w:rFonts w:hint="default" w:ascii="Times New Roman" w:hAnsi="Times New Roman" w:eastAsia="宋体" w:cs="Times New Roman"/>
                <w:color w:val="auto"/>
                <w:sz w:val="24"/>
                <w:szCs w:val="24"/>
                <w:highlight w:val="none"/>
                <w:lang w:val="zh-CN"/>
              </w:rPr>
              <w:t>每季度更换一次（年更换4次），则废弃活性炭产生量约为7.4</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zh-CN"/>
              </w:rPr>
              <w:t>/</w:t>
            </w:r>
            <w:r>
              <w:rPr>
                <w:rFonts w:hint="eastAsia"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zh-CN"/>
              </w:rPr>
              <w:t>，加上吸附的VOCs量9.93</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zh-CN"/>
              </w:rPr>
              <w:t>/</w:t>
            </w:r>
            <w:r>
              <w:rPr>
                <w:rFonts w:hint="eastAsia"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zh-CN"/>
              </w:rPr>
              <w:t>，合计废活性炭年产生量约17.3</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zh-CN"/>
              </w:rPr>
              <w:t>。项目废活性炭属于HW49含有或沾染毒性危险废物的过滤吸附介质，经</w:t>
            </w:r>
            <w:r>
              <w:rPr>
                <w:rFonts w:hint="eastAsia" w:ascii="Times New Roman" w:hAnsi="Times New Roman" w:eastAsia="宋体" w:cs="Times New Roman"/>
                <w:color w:val="auto"/>
                <w:sz w:val="24"/>
                <w:szCs w:val="24"/>
                <w:highlight w:val="none"/>
                <w:lang w:val="zh-CN"/>
              </w:rPr>
              <w:t>危废库</w:t>
            </w:r>
            <w:r>
              <w:rPr>
                <w:rFonts w:hint="default" w:ascii="Times New Roman" w:hAnsi="Times New Roman" w:eastAsia="宋体" w:cs="Times New Roman"/>
                <w:color w:val="auto"/>
                <w:sz w:val="24"/>
                <w:szCs w:val="24"/>
                <w:highlight w:val="none"/>
                <w:lang w:val="zh-CN"/>
              </w:rPr>
              <w:t>暂存（</w:t>
            </w:r>
            <w:r>
              <w:rPr>
                <w:rFonts w:hint="default" w:ascii="Times New Roman" w:hAnsi="Times New Roman" w:eastAsia="宋体" w:cs="Times New Roman"/>
                <w:color w:val="auto"/>
                <w:sz w:val="24"/>
                <w:szCs w:val="24"/>
                <w:highlight w:val="none"/>
              </w:rPr>
              <w:t>桶装密封</w:t>
            </w:r>
            <w:r>
              <w:rPr>
                <w:rFonts w:hint="default" w:ascii="Times New Roman" w:hAnsi="Times New Roman" w:eastAsia="宋体" w:cs="Times New Roman"/>
                <w:color w:val="auto"/>
                <w:sz w:val="24"/>
                <w:szCs w:val="24"/>
                <w:highlight w:val="none"/>
                <w:lang w:val="zh-CN"/>
              </w:rPr>
              <w:t>）后委托资质单位处置，</w:t>
            </w:r>
            <w:r>
              <w:rPr>
                <w:rFonts w:hint="default" w:ascii="Times New Roman" w:hAnsi="Times New Roman" w:eastAsia="宋体" w:cs="Times New Roman"/>
                <w:color w:val="auto"/>
                <w:sz w:val="24"/>
                <w:szCs w:val="24"/>
                <w:highlight w:val="none"/>
              </w:rPr>
              <w:t>废物</w:t>
            </w:r>
            <w:r>
              <w:rPr>
                <w:rFonts w:hint="default" w:ascii="Times New Roman" w:hAnsi="Times New Roman" w:eastAsia="宋体" w:cs="Times New Roman"/>
                <w:color w:val="auto"/>
                <w:sz w:val="24"/>
                <w:szCs w:val="24"/>
                <w:highlight w:val="none"/>
                <w:lang w:val="zh-CN"/>
              </w:rPr>
              <w:t>代码900-039-49。</w:t>
            </w:r>
          </w:p>
          <w:p w14:paraId="4C5D9614">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⑦废印版：印刷过程中会产生废印版，根据建设单位提供资料，本项目废印版产生量约0.1t/a ，委托有资质单位处置。</w:t>
            </w:r>
          </w:p>
          <w:p w14:paraId="20836AEE">
            <w:pPr>
              <w:keepNext w:val="0"/>
              <w:keepLines w:val="0"/>
              <w:pageBreakBefore w:val="0"/>
              <w:widowControl/>
              <w:kinsoku/>
              <w:wordWrap/>
              <w:overflowPunct/>
              <w:topLinePunct w:val="0"/>
              <w:autoSpaceDE/>
              <w:autoSpaceDN/>
              <w:bidi w:val="0"/>
              <w:adjustRightInd w:val="0"/>
              <w:snapToGrid w:val="0"/>
              <w:spacing w:line="360" w:lineRule="auto"/>
              <w:ind w:left="0" w:right="0" w:firstLine="482" w:firstLineChars="200"/>
              <w:jc w:val="left"/>
              <w:textAlignment w:val="auto"/>
              <w:rPr>
                <w:rFonts w:ascii="Times New Roman" w:hAnsi="Times New Roman"/>
                <w:b/>
                <w:bCs/>
                <w:color w:val="auto"/>
                <w:szCs w:val="21"/>
                <w:highlight w:val="none"/>
              </w:rPr>
            </w:pPr>
            <w:r>
              <w:rPr>
                <w:rFonts w:hint="eastAsia" w:ascii="Times New Roman" w:hAnsi="Times New Roman"/>
                <w:b/>
                <w:color w:val="auto"/>
                <w:sz w:val="24"/>
                <w:szCs w:val="24"/>
                <w:highlight w:val="none"/>
              </w:rPr>
              <w:t>（3）生活垃圾</w:t>
            </w:r>
          </w:p>
          <w:p w14:paraId="4FC6F436">
            <w:pPr>
              <w:spacing w:line="360" w:lineRule="auto"/>
              <w:ind w:firstLine="470" w:firstLineChars="196"/>
              <w:rPr>
                <w:rFonts w:ascii="Times New Roman" w:hAnsi="Times New Roman"/>
                <w:color w:val="auto"/>
                <w:sz w:val="24"/>
                <w:szCs w:val="24"/>
                <w:highlight w:val="none"/>
              </w:rPr>
            </w:pPr>
            <w:r>
              <w:rPr>
                <w:rFonts w:ascii="Times New Roman" w:hAnsi="Times New Roman"/>
                <w:color w:val="auto"/>
                <w:sz w:val="24"/>
                <w:szCs w:val="24"/>
                <w:highlight w:val="none"/>
              </w:rPr>
              <w:t>本项目劳动定员</w:t>
            </w:r>
            <w:r>
              <w:rPr>
                <w:rFonts w:hint="eastAsia" w:ascii="Times New Roman" w:hAnsi="Times New Roman"/>
                <w:color w:val="auto"/>
                <w:sz w:val="24"/>
                <w:szCs w:val="24"/>
                <w:highlight w:val="none"/>
                <w:lang w:val="en-US" w:eastAsia="zh-CN"/>
              </w:rPr>
              <w:t>60</w:t>
            </w:r>
            <w:r>
              <w:rPr>
                <w:rFonts w:ascii="Times New Roman" w:hAnsi="Times New Roman"/>
                <w:color w:val="auto"/>
                <w:sz w:val="24"/>
                <w:szCs w:val="24"/>
                <w:highlight w:val="none"/>
              </w:rPr>
              <w:t>人，</w:t>
            </w:r>
            <w:r>
              <w:rPr>
                <w:rFonts w:ascii="Times New Roman"/>
                <w:color w:val="auto"/>
                <w:kern w:val="0"/>
                <w:sz w:val="24"/>
                <w:szCs w:val="24"/>
                <w:highlight w:val="none"/>
              </w:rPr>
              <w:t>员工每人每日排放生活垃圾按</w:t>
            </w:r>
            <w:r>
              <w:rPr>
                <w:rFonts w:ascii="Times New Roman" w:hAnsi="Times New Roman"/>
                <w:color w:val="auto"/>
                <w:kern w:val="0"/>
                <w:sz w:val="24"/>
                <w:szCs w:val="24"/>
                <w:highlight w:val="none"/>
              </w:rPr>
              <w:t>0.</w:t>
            </w:r>
            <w:r>
              <w:rPr>
                <w:rFonts w:hint="eastAsia" w:ascii="Times New Roman" w:hAnsi="Times New Roman"/>
                <w:color w:val="auto"/>
                <w:kern w:val="0"/>
                <w:sz w:val="24"/>
                <w:szCs w:val="24"/>
                <w:highlight w:val="none"/>
              </w:rPr>
              <w:t>5</w:t>
            </w:r>
            <w:r>
              <w:rPr>
                <w:rFonts w:ascii="Times New Roman" w:hAnsi="Times New Roman"/>
                <w:color w:val="auto"/>
                <w:kern w:val="0"/>
                <w:sz w:val="24"/>
                <w:szCs w:val="24"/>
                <w:highlight w:val="none"/>
              </w:rPr>
              <w:t>kg</w:t>
            </w:r>
            <w:r>
              <w:rPr>
                <w:rFonts w:ascii="Times New Roman"/>
                <w:color w:val="auto"/>
                <w:kern w:val="0"/>
                <w:sz w:val="24"/>
                <w:szCs w:val="24"/>
                <w:highlight w:val="none"/>
              </w:rPr>
              <w:t>计，</w:t>
            </w:r>
            <w:r>
              <w:rPr>
                <w:rFonts w:ascii="Times New Roman" w:hAnsi="Times New Roman"/>
                <w:color w:val="auto"/>
                <w:sz w:val="24"/>
                <w:szCs w:val="24"/>
                <w:highlight w:val="none"/>
              </w:rPr>
              <w:t>则生活垃圾产生</w:t>
            </w:r>
            <w:r>
              <w:rPr>
                <w:rFonts w:hint="eastAsia" w:ascii="Times New Roman" w:hAnsi="Times New Roman"/>
                <w:color w:val="auto"/>
                <w:sz w:val="24"/>
                <w:szCs w:val="24"/>
                <w:highlight w:val="none"/>
              </w:rPr>
              <w:t>量为</w:t>
            </w:r>
            <w:r>
              <w:rPr>
                <w:rFonts w:hint="eastAsia" w:ascii="Times New Roman" w:hAnsi="Times New Roman"/>
                <w:color w:val="auto"/>
                <w:sz w:val="24"/>
                <w:szCs w:val="24"/>
                <w:highlight w:val="none"/>
                <w:lang w:val="en-US" w:eastAsia="zh-CN"/>
              </w:rPr>
              <w:t>9</w:t>
            </w:r>
            <w:r>
              <w:rPr>
                <w:rFonts w:hint="eastAsia" w:ascii="Times New Roman" w:hAnsi="Times New Roman"/>
                <w:color w:val="auto"/>
                <w:sz w:val="24"/>
                <w:szCs w:val="24"/>
                <w:highlight w:val="none"/>
              </w:rPr>
              <w:t>t/a，集中收集后由当地环卫部门统一清运。</w:t>
            </w:r>
          </w:p>
          <w:p w14:paraId="42DE77C7">
            <w:pPr>
              <w:spacing w:line="360" w:lineRule="auto"/>
              <w:ind w:firstLine="470" w:firstLineChars="196"/>
              <w:rPr>
                <w:rFonts w:ascii="Times New Roman" w:hAnsi="Times New Roman"/>
                <w:color w:val="auto"/>
                <w:sz w:val="24"/>
                <w:szCs w:val="24"/>
                <w:highlight w:val="none"/>
              </w:rPr>
            </w:pPr>
            <w:r>
              <w:rPr>
                <w:rFonts w:hint="eastAsia" w:ascii="Times New Roman" w:hAnsi="Times New Roman"/>
                <w:color w:val="auto"/>
                <w:sz w:val="24"/>
                <w:szCs w:val="24"/>
                <w:highlight w:val="none"/>
              </w:rPr>
              <w:t>本项目固体废物产生情况见下表。</w:t>
            </w:r>
          </w:p>
          <w:p w14:paraId="1ECCAD31">
            <w:pPr>
              <w:spacing w:line="360" w:lineRule="auto"/>
              <w:jc w:val="center"/>
              <w:rPr>
                <w:rFonts w:ascii="Times New Roman" w:hAnsi="黑体" w:eastAsia="黑体"/>
                <w:color w:val="auto"/>
                <w:sz w:val="24"/>
                <w:szCs w:val="24"/>
                <w:highlight w:val="none"/>
              </w:rPr>
            </w:pPr>
            <w:r>
              <w:rPr>
                <w:rFonts w:ascii="Times New Roman" w:hAnsi="黑体" w:eastAsia="黑体"/>
                <w:color w:val="auto"/>
                <w:sz w:val="24"/>
                <w:szCs w:val="24"/>
                <w:highlight w:val="none"/>
              </w:rPr>
              <w:t>表</w:t>
            </w:r>
            <w:r>
              <w:rPr>
                <w:rFonts w:hint="eastAsia" w:ascii="Times New Roman" w:hAnsi="Times New Roman" w:eastAsia="黑体"/>
                <w:color w:val="auto"/>
                <w:sz w:val="24"/>
                <w:szCs w:val="24"/>
                <w:highlight w:val="none"/>
              </w:rPr>
              <w:t>4-1</w:t>
            </w:r>
            <w:r>
              <w:rPr>
                <w:rFonts w:hint="eastAsia" w:ascii="Times New Roman" w:hAnsi="Times New Roman" w:eastAsia="黑体"/>
                <w:color w:val="auto"/>
                <w:sz w:val="24"/>
                <w:szCs w:val="24"/>
                <w:highlight w:val="none"/>
                <w:lang w:val="en-US" w:eastAsia="zh-CN"/>
              </w:rPr>
              <w:t>5</w:t>
            </w:r>
            <w:r>
              <w:rPr>
                <w:rFonts w:hint="eastAsia" w:ascii="Times New Roman" w:hAnsi="Times New Roman" w:eastAsia="黑体"/>
                <w:color w:val="auto"/>
                <w:sz w:val="24"/>
                <w:szCs w:val="24"/>
                <w:highlight w:val="none"/>
              </w:rPr>
              <w:t xml:space="preserve">  </w:t>
            </w:r>
            <w:r>
              <w:rPr>
                <w:rFonts w:hint="eastAsia" w:ascii="Times New Roman" w:hAnsi="黑体" w:eastAsia="黑体"/>
                <w:color w:val="auto"/>
                <w:sz w:val="24"/>
                <w:szCs w:val="24"/>
                <w:highlight w:val="none"/>
              </w:rPr>
              <w:t>固体废物汇总表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2"/>
              <w:gridCol w:w="1208"/>
              <w:gridCol w:w="915"/>
              <w:gridCol w:w="1107"/>
              <w:gridCol w:w="719"/>
              <w:gridCol w:w="1028"/>
              <w:gridCol w:w="606"/>
              <w:gridCol w:w="1637"/>
            </w:tblGrid>
            <w:tr w14:paraId="2C8C20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8" w:space="0"/>
                    <w:left w:val="nil"/>
                    <w:bottom w:val="single" w:color="auto" w:sz="4" w:space="0"/>
                    <w:right w:val="single" w:color="auto" w:sz="4" w:space="0"/>
                  </w:tcBorders>
                  <w:noWrap w:val="0"/>
                  <w:vAlign w:val="center"/>
                </w:tcPr>
                <w:p w14:paraId="19BB426C">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序号</w:t>
                  </w:r>
                </w:p>
              </w:tc>
              <w:tc>
                <w:tcPr>
                  <w:tcW w:w="766" w:type="pct"/>
                  <w:tcBorders>
                    <w:top w:val="single" w:color="auto" w:sz="8" w:space="0"/>
                    <w:left w:val="single" w:color="auto" w:sz="4" w:space="0"/>
                    <w:bottom w:val="single" w:color="auto" w:sz="4" w:space="0"/>
                    <w:right w:val="single" w:color="auto" w:sz="4" w:space="0"/>
                  </w:tcBorders>
                  <w:noWrap w:val="0"/>
                  <w:vAlign w:val="center"/>
                </w:tcPr>
                <w:p w14:paraId="5CAC6131">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类别</w:t>
                  </w:r>
                </w:p>
              </w:tc>
              <w:tc>
                <w:tcPr>
                  <w:tcW w:w="580" w:type="pct"/>
                  <w:tcBorders>
                    <w:top w:val="single" w:color="auto" w:sz="8" w:space="0"/>
                    <w:left w:val="single" w:color="auto" w:sz="4" w:space="0"/>
                    <w:bottom w:val="single" w:color="auto" w:sz="4" w:space="0"/>
                    <w:right w:val="single" w:color="auto" w:sz="4" w:space="0"/>
                  </w:tcBorders>
                  <w:noWrap w:val="0"/>
                  <w:vAlign w:val="center"/>
                </w:tcPr>
                <w:p w14:paraId="540520B0">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产生量</w:t>
                  </w:r>
                  <w:r>
                    <w:rPr>
                      <w:rFonts w:hint="eastAsia" w:hAnsi="宋体"/>
                      <w:b/>
                      <w:color w:val="auto"/>
                      <w:sz w:val="21"/>
                      <w:szCs w:val="21"/>
                      <w:highlight w:val="none"/>
                      <w:lang w:val="en-US" w:eastAsia="zh-CN"/>
                    </w:rPr>
                    <w:t>（t/a）</w:t>
                  </w:r>
                </w:p>
              </w:tc>
              <w:tc>
                <w:tcPr>
                  <w:tcW w:w="702" w:type="pct"/>
                  <w:tcBorders>
                    <w:top w:val="single" w:color="auto" w:sz="8" w:space="0"/>
                    <w:left w:val="single" w:color="auto" w:sz="4" w:space="0"/>
                    <w:bottom w:val="single" w:color="auto" w:sz="4" w:space="0"/>
                    <w:right w:val="single" w:color="auto" w:sz="4" w:space="0"/>
                  </w:tcBorders>
                  <w:noWrap w:val="0"/>
                  <w:vAlign w:val="center"/>
                </w:tcPr>
                <w:p w14:paraId="2EF4573E">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产生工序</w:t>
                  </w:r>
                </w:p>
              </w:tc>
              <w:tc>
                <w:tcPr>
                  <w:tcW w:w="456" w:type="pct"/>
                  <w:tcBorders>
                    <w:top w:val="single" w:color="auto" w:sz="8" w:space="0"/>
                    <w:left w:val="single" w:color="auto" w:sz="4" w:space="0"/>
                    <w:bottom w:val="single" w:color="auto" w:sz="4" w:space="0"/>
                    <w:right w:val="single" w:color="auto" w:sz="4" w:space="0"/>
                  </w:tcBorders>
                  <w:noWrap w:val="0"/>
                  <w:vAlign w:val="center"/>
                </w:tcPr>
                <w:p w14:paraId="11EFF1D4">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形态</w:t>
                  </w:r>
                </w:p>
              </w:tc>
              <w:tc>
                <w:tcPr>
                  <w:tcW w:w="652" w:type="pct"/>
                  <w:tcBorders>
                    <w:top w:val="single" w:color="auto" w:sz="8" w:space="0"/>
                    <w:left w:val="single" w:color="auto" w:sz="4" w:space="0"/>
                    <w:bottom w:val="single" w:color="auto" w:sz="4" w:space="0"/>
                    <w:right w:val="single" w:color="auto" w:sz="4" w:space="0"/>
                  </w:tcBorders>
                  <w:noWrap w:val="0"/>
                  <w:vAlign w:val="center"/>
                </w:tcPr>
                <w:p w14:paraId="5528D520">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主要成分</w:t>
                  </w:r>
                </w:p>
              </w:tc>
              <w:tc>
                <w:tcPr>
                  <w:tcW w:w="384" w:type="pct"/>
                  <w:tcBorders>
                    <w:top w:val="single" w:color="auto" w:sz="8" w:space="0"/>
                    <w:left w:val="single" w:color="auto" w:sz="4" w:space="0"/>
                    <w:bottom w:val="single" w:color="auto" w:sz="4" w:space="0"/>
                    <w:right w:val="single" w:color="auto" w:sz="4" w:space="0"/>
                  </w:tcBorders>
                  <w:noWrap w:val="0"/>
                  <w:vAlign w:val="center"/>
                </w:tcPr>
                <w:p w14:paraId="3FDE86F3">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性质</w:t>
                  </w:r>
                </w:p>
              </w:tc>
              <w:tc>
                <w:tcPr>
                  <w:tcW w:w="1038" w:type="pct"/>
                  <w:tcBorders>
                    <w:top w:val="single" w:color="auto" w:sz="8" w:space="0"/>
                    <w:left w:val="single" w:color="auto" w:sz="4" w:space="0"/>
                    <w:bottom w:val="single" w:color="auto" w:sz="4" w:space="0"/>
                    <w:right w:val="nil"/>
                  </w:tcBorders>
                  <w:noWrap w:val="0"/>
                  <w:vAlign w:val="center"/>
                </w:tcPr>
                <w:p w14:paraId="28646C31">
                  <w:pPr>
                    <w:pStyle w:val="45"/>
                    <w:snapToGrid w:val="0"/>
                    <w:spacing w:line="276" w:lineRule="auto"/>
                    <w:rPr>
                      <w:b/>
                      <w:color w:val="auto"/>
                      <w:sz w:val="21"/>
                      <w:szCs w:val="21"/>
                      <w:highlight w:val="none"/>
                      <w:lang w:val="en-US" w:eastAsia="zh-CN"/>
                    </w:rPr>
                  </w:pPr>
                  <w:r>
                    <w:rPr>
                      <w:rFonts w:hAnsi="宋体"/>
                      <w:b/>
                      <w:color w:val="auto"/>
                      <w:sz w:val="21"/>
                      <w:szCs w:val="21"/>
                      <w:highlight w:val="none"/>
                      <w:lang w:val="en-US" w:eastAsia="zh-CN"/>
                    </w:rPr>
                    <w:t>处理方式</w:t>
                  </w:r>
                </w:p>
              </w:tc>
            </w:tr>
            <w:tr w14:paraId="7A0E4D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54574503">
                  <w:pPr>
                    <w:pStyle w:val="45"/>
                    <w:adjustRightInd w:val="0"/>
                    <w:snapToGrid w:val="0"/>
                    <w:spacing w:line="276" w:lineRule="auto"/>
                    <w:rPr>
                      <w:color w:val="auto"/>
                      <w:sz w:val="21"/>
                      <w:szCs w:val="21"/>
                      <w:highlight w:val="none"/>
                      <w:lang w:val="en-US" w:eastAsia="zh-CN"/>
                    </w:rPr>
                  </w:pPr>
                  <w:r>
                    <w:rPr>
                      <w:color w:val="auto"/>
                      <w:sz w:val="21"/>
                      <w:szCs w:val="21"/>
                      <w:highlight w:val="none"/>
                      <w:lang w:val="en-US" w:eastAsia="zh-CN"/>
                    </w:rPr>
                    <w:t>1</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42A67673">
                  <w:pPr>
                    <w:snapToGrid w:val="0"/>
                    <w:spacing w:line="276"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不合格品</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38BF100">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5</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71D99FD5">
                  <w:pPr>
                    <w:pStyle w:val="45"/>
                    <w:snapToGrid w:val="0"/>
                    <w:spacing w:line="276" w:lineRule="auto"/>
                    <w:rPr>
                      <w:color w:val="auto"/>
                      <w:sz w:val="21"/>
                      <w:szCs w:val="21"/>
                      <w:highlight w:val="none"/>
                      <w:lang w:val="en-US" w:eastAsia="zh-CN"/>
                    </w:rPr>
                  </w:pPr>
                  <w:r>
                    <w:rPr>
                      <w:rFonts w:hint="eastAsia"/>
                      <w:color w:val="auto"/>
                      <w:sz w:val="21"/>
                      <w:szCs w:val="21"/>
                      <w:highlight w:val="none"/>
                      <w:lang w:val="en-US" w:eastAsia="zh-CN"/>
                    </w:rPr>
                    <w:t>检验</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0D07F61">
                  <w:pPr>
                    <w:pStyle w:val="45"/>
                    <w:snapToGrid w:val="0"/>
                    <w:spacing w:line="276" w:lineRule="auto"/>
                    <w:rPr>
                      <w:color w:val="auto"/>
                      <w:kern w:val="2"/>
                      <w:sz w:val="21"/>
                      <w:szCs w:val="21"/>
                      <w:highlight w:val="none"/>
                      <w:lang w:val="en-US" w:eastAsia="zh-CN"/>
                    </w:rPr>
                  </w:pPr>
                  <w:r>
                    <w:rPr>
                      <w:rFonts w:hint="eastAsia" w:hAnsi="宋体"/>
                      <w:color w:val="auto"/>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5C8B3492">
                  <w:pPr>
                    <w:pStyle w:val="45"/>
                    <w:snapToGrid w:val="0"/>
                    <w:spacing w:line="276" w:lineRule="auto"/>
                    <w:rPr>
                      <w:color w:val="auto"/>
                      <w:kern w:val="2"/>
                      <w:sz w:val="21"/>
                      <w:szCs w:val="21"/>
                      <w:highlight w:val="none"/>
                      <w:lang w:val="en-US" w:eastAsia="zh-CN"/>
                    </w:rPr>
                  </w:pPr>
                  <w:r>
                    <w:rPr>
                      <w:rFonts w:hint="eastAsia"/>
                      <w:color w:val="auto"/>
                      <w:sz w:val="21"/>
                      <w:szCs w:val="21"/>
                      <w:highlight w:val="none"/>
                      <w:lang w:val="en-US" w:eastAsia="zh-CN"/>
                    </w:rPr>
                    <w:t>玻璃</w:t>
                  </w:r>
                </w:p>
              </w:tc>
              <w:tc>
                <w:tcPr>
                  <w:tcW w:w="384" w:type="pct"/>
                  <w:vMerge w:val="restart"/>
                  <w:tcBorders>
                    <w:top w:val="single" w:color="auto" w:sz="4" w:space="0"/>
                    <w:left w:val="single" w:color="auto" w:sz="4" w:space="0"/>
                    <w:right w:val="single" w:color="auto" w:sz="4" w:space="0"/>
                  </w:tcBorders>
                  <w:noWrap w:val="0"/>
                  <w:vAlign w:val="center"/>
                </w:tcPr>
                <w:p w14:paraId="6B4E0D16">
                  <w:pPr>
                    <w:pStyle w:val="45"/>
                    <w:adjustRightInd w:val="0"/>
                    <w:snapToGrid w:val="0"/>
                    <w:spacing w:line="276" w:lineRule="auto"/>
                    <w:rPr>
                      <w:rFonts w:hAnsi="宋体"/>
                      <w:color w:val="auto"/>
                      <w:kern w:val="2"/>
                      <w:sz w:val="21"/>
                      <w:szCs w:val="21"/>
                      <w:highlight w:val="none"/>
                      <w:lang w:val="en-US" w:eastAsia="zh-CN"/>
                    </w:rPr>
                  </w:pPr>
                  <w:r>
                    <w:rPr>
                      <w:rFonts w:hAnsi="宋体"/>
                      <w:color w:val="auto"/>
                      <w:kern w:val="2"/>
                      <w:sz w:val="21"/>
                      <w:szCs w:val="21"/>
                      <w:highlight w:val="none"/>
                      <w:lang w:val="en-US" w:eastAsia="zh-CN"/>
                    </w:rPr>
                    <w:t>一般固废</w:t>
                  </w:r>
                </w:p>
              </w:tc>
              <w:tc>
                <w:tcPr>
                  <w:tcW w:w="1038" w:type="pct"/>
                  <w:vMerge w:val="restart"/>
                  <w:tcBorders>
                    <w:top w:val="single" w:color="auto" w:sz="4" w:space="0"/>
                    <w:left w:val="single" w:color="auto" w:sz="4" w:space="0"/>
                    <w:right w:val="nil"/>
                  </w:tcBorders>
                  <w:noWrap w:val="0"/>
                  <w:vAlign w:val="center"/>
                </w:tcPr>
                <w:p w14:paraId="7F228397">
                  <w:pPr>
                    <w:pStyle w:val="45"/>
                    <w:snapToGrid w:val="0"/>
                    <w:spacing w:line="276" w:lineRule="auto"/>
                    <w:rPr>
                      <w:color w:val="auto"/>
                      <w:kern w:val="2"/>
                      <w:sz w:val="21"/>
                      <w:szCs w:val="21"/>
                      <w:highlight w:val="none"/>
                      <w:lang w:val="en-US" w:eastAsia="zh-CN"/>
                    </w:rPr>
                  </w:pPr>
                  <w:r>
                    <w:rPr>
                      <w:rFonts w:hint="eastAsia" w:hAnsi="宋体"/>
                      <w:color w:val="auto"/>
                      <w:kern w:val="2"/>
                      <w:sz w:val="21"/>
                      <w:szCs w:val="21"/>
                      <w:highlight w:val="none"/>
                      <w:lang w:val="en-US" w:eastAsia="zh-CN"/>
                    </w:rPr>
                    <w:t>统一收集后暂存于一般固废暂存间，</w:t>
                  </w:r>
                  <w:r>
                    <w:rPr>
                      <w:rFonts w:hint="eastAsia" w:hAnsi="宋体"/>
                      <w:bCs/>
                      <w:color w:val="auto"/>
                      <w:kern w:val="2"/>
                      <w:sz w:val="21"/>
                      <w:szCs w:val="21"/>
                      <w:highlight w:val="none"/>
                      <w:lang w:val="en-US" w:eastAsia="zh-CN"/>
                    </w:rPr>
                    <w:t>定期外售</w:t>
                  </w:r>
                </w:p>
              </w:tc>
            </w:tr>
            <w:tr w14:paraId="2F4860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01EEED4F">
                  <w:pPr>
                    <w:pStyle w:val="45"/>
                    <w:snapToGrid w:val="0"/>
                    <w:spacing w:line="276" w:lineRule="auto"/>
                    <w:rPr>
                      <w:color w:val="auto"/>
                      <w:sz w:val="21"/>
                      <w:szCs w:val="21"/>
                      <w:highlight w:val="none"/>
                      <w:lang w:val="en-US" w:eastAsia="zh-CN"/>
                    </w:rPr>
                  </w:pPr>
                  <w:r>
                    <w:rPr>
                      <w:color w:val="auto"/>
                      <w:sz w:val="21"/>
                      <w:szCs w:val="21"/>
                      <w:highlight w:val="none"/>
                      <w:lang w:val="en-US" w:eastAsia="zh-CN"/>
                    </w:rPr>
                    <w:t>2</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DD9E2BF">
                  <w:pPr>
                    <w:snapToGrid w:val="0"/>
                    <w:spacing w:line="276"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废</w:t>
                  </w:r>
                  <w:r>
                    <w:rPr>
                      <w:rFonts w:hint="eastAsia" w:ascii="宋体" w:hAnsi="宋体" w:eastAsia="宋体" w:cs="宋体"/>
                      <w:bCs/>
                      <w:color w:val="auto"/>
                      <w:sz w:val="21"/>
                      <w:szCs w:val="21"/>
                      <w:highlight w:val="none"/>
                      <w:lang w:val="en-US" w:eastAsia="zh-CN"/>
                    </w:rPr>
                    <w:t>玻璃屑</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127F6C32">
                  <w:pPr>
                    <w:snapToGrid w:val="0"/>
                    <w:spacing w:line="276"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30</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0EBECA1C">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磨边、倒角</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79A3C6D4">
                  <w:pPr>
                    <w:pStyle w:val="45"/>
                    <w:snapToGrid w:val="0"/>
                    <w:spacing w:line="276" w:lineRule="auto"/>
                    <w:rPr>
                      <w:color w:val="auto"/>
                      <w:kern w:val="2"/>
                      <w:sz w:val="21"/>
                      <w:szCs w:val="21"/>
                      <w:highlight w:val="none"/>
                      <w:lang w:val="en-US" w:eastAsia="zh-CN"/>
                    </w:rPr>
                  </w:pPr>
                  <w:r>
                    <w:rPr>
                      <w:rFonts w:hAnsi="宋体"/>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3DFED2A3">
                  <w:pPr>
                    <w:pStyle w:val="45"/>
                    <w:snapToGrid w:val="0"/>
                    <w:spacing w:line="276" w:lineRule="auto"/>
                    <w:rPr>
                      <w:color w:val="auto"/>
                      <w:kern w:val="2"/>
                      <w:sz w:val="21"/>
                      <w:szCs w:val="21"/>
                      <w:highlight w:val="none"/>
                      <w:lang w:val="en-US" w:eastAsia="zh-CN"/>
                    </w:rPr>
                  </w:pPr>
                  <w:r>
                    <w:rPr>
                      <w:rFonts w:hint="eastAsia"/>
                      <w:color w:val="auto"/>
                      <w:sz w:val="21"/>
                      <w:szCs w:val="21"/>
                      <w:highlight w:val="none"/>
                      <w:lang w:val="en-US" w:eastAsia="zh-CN"/>
                    </w:rPr>
                    <w:t>玻璃</w:t>
                  </w:r>
                </w:p>
              </w:tc>
              <w:tc>
                <w:tcPr>
                  <w:tcW w:w="384" w:type="pct"/>
                  <w:vMerge w:val="continue"/>
                  <w:tcBorders>
                    <w:left w:val="single" w:color="auto" w:sz="4" w:space="0"/>
                    <w:right w:val="single" w:color="auto" w:sz="4" w:space="0"/>
                  </w:tcBorders>
                  <w:noWrap w:val="0"/>
                  <w:vAlign w:val="center"/>
                </w:tcPr>
                <w:p w14:paraId="3D537688">
                  <w:pPr>
                    <w:pStyle w:val="45"/>
                    <w:snapToGrid w:val="0"/>
                    <w:spacing w:line="276" w:lineRule="auto"/>
                    <w:ind w:firstLine="360"/>
                    <w:rPr>
                      <w:color w:val="auto"/>
                      <w:kern w:val="2"/>
                      <w:sz w:val="21"/>
                      <w:szCs w:val="21"/>
                      <w:highlight w:val="none"/>
                      <w:lang w:val="en-US" w:eastAsia="zh-CN"/>
                    </w:rPr>
                  </w:pPr>
                </w:p>
              </w:tc>
              <w:tc>
                <w:tcPr>
                  <w:tcW w:w="1038" w:type="pct"/>
                  <w:vMerge w:val="continue"/>
                  <w:tcBorders>
                    <w:left w:val="single" w:color="auto" w:sz="4" w:space="0"/>
                    <w:right w:val="nil"/>
                  </w:tcBorders>
                  <w:noWrap w:val="0"/>
                  <w:vAlign w:val="center"/>
                </w:tcPr>
                <w:p w14:paraId="4B6C2912">
                  <w:pPr>
                    <w:pStyle w:val="45"/>
                    <w:snapToGrid w:val="0"/>
                    <w:spacing w:line="276" w:lineRule="auto"/>
                    <w:rPr>
                      <w:color w:val="auto"/>
                      <w:kern w:val="2"/>
                      <w:sz w:val="21"/>
                      <w:szCs w:val="21"/>
                      <w:highlight w:val="none"/>
                      <w:lang w:val="en-US" w:eastAsia="zh-CN"/>
                    </w:rPr>
                  </w:pPr>
                </w:p>
              </w:tc>
            </w:tr>
            <w:tr w14:paraId="36EC3C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25815E64">
                  <w:pPr>
                    <w:pStyle w:val="45"/>
                    <w:snapToGrid w:val="0"/>
                    <w:spacing w:line="276" w:lineRule="auto"/>
                    <w:rPr>
                      <w:color w:val="auto"/>
                      <w:sz w:val="21"/>
                      <w:szCs w:val="21"/>
                      <w:highlight w:val="none"/>
                      <w:lang w:val="en-US" w:eastAsia="zh-CN"/>
                    </w:rPr>
                  </w:pPr>
                  <w:r>
                    <w:rPr>
                      <w:rFonts w:hint="eastAsia"/>
                      <w:color w:val="auto"/>
                      <w:sz w:val="21"/>
                      <w:szCs w:val="21"/>
                      <w:highlight w:val="none"/>
                      <w:lang w:val="en-US" w:eastAsia="zh-CN"/>
                    </w:rPr>
                    <w:t>3</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5B3BFEAC">
                  <w:pPr>
                    <w:snapToGrid w:val="0"/>
                    <w:spacing w:line="276"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废包装材料</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30F93FD">
                  <w:pPr>
                    <w:snapToGrid w:val="0"/>
                    <w:spacing w:line="276" w:lineRule="auto"/>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349A917E">
                  <w:pPr>
                    <w:pStyle w:val="45"/>
                    <w:snapToGrid w:val="0"/>
                    <w:spacing w:line="276" w:lineRule="auto"/>
                    <w:rPr>
                      <w:color w:val="auto"/>
                      <w:sz w:val="21"/>
                      <w:szCs w:val="21"/>
                      <w:highlight w:val="none"/>
                      <w:lang w:val="en-US" w:eastAsia="zh-CN"/>
                    </w:rPr>
                  </w:pPr>
                  <w:r>
                    <w:rPr>
                      <w:rFonts w:hint="eastAsia"/>
                      <w:color w:val="auto"/>
                      <w:sz w:val="21"/>
                      <w:szCs w:val="21"/>
                      <w:highlight w:val="none"/>
                      <w:lang w:val="en-US" w:eastAsia="zh-CN"/>
                    </w:rPr>
                    <w:t>包装</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8E089E5">
                  <w:pPr>
                    <w:pStyle w:val="45"/>
                    <w:snapToGrid w:val="0"/>
                    <w:spacing w:line="276" w:lineRule="auto"/>
                    <w:rPr>
                      <w:rFonts w:hAnsi="宋体"/>
                      <w:color w:val="auto"/>
                      <w:sz w:val="21"/>
                      <w:szCs w:val="21"/>
                      <w:highlight w:val="none"/>
                      <w:lang w:val="en-US" w:eastAsia="zh-CN"/>
                    </w:rPr>
                  </w:pPr>
                  <w:r>
                    <w:rPr>
                      <w:rFonts w:hint="eastAsia" w:hAnsi="宋体"/>
                      <w:color w:val="auto"/>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6C627945">
                  <w:pPr>
                    <w:pStyle w:val="45"/>
                    <w:snapToGrid w:val="0"/>
                    <w:spacing w:line="276" w:lineRule="auto"/>
                    <w:rPr>
                      <w:color w:val="auto"/>
                      <w:sz w:val="21"/>
                      <w:szCs w:val="21"/>
                      <w:highlight w:val="none"/>
                      <w:lang w:val="en-US" w:eastAsia="zh-CN"/>
                    </w:rPr>
                  </w:pPr>
                  <w:r>
                    <w:rPr>
                      <w:rFonts w:hint="eastAsia"/>
                      <w:color w:val="auto"/>
                      <w:sz w:val="21"/>
                      <w:szCs w:val="21"/>
                      <w:highlight w:val="none"/>
                      <w:lang w:val="en-US" w:eastAsia="zh-CN"/>
                    </w:rPr>
                    <w:t>塑料</w:t>
                  </w:r>
                </w:p>
              </w:tc>
              <w:tc>
                <w:tcPr>
                  <w:tcW w:w="384" w:type="pct"/>
                  <w:vMerge w:val="continue"/>
                  <w:tcBorders>
                    <w:left w:val="single" w:color="auto" w:sz="4" w:space="0"/>
                    <w:right w:val="single" w:color="auto" w:sz="4" w:space="0"/>
                  </w:tcBorders>
                  <w:noWrap w:val="0"/>
                  <w:vAlign w:val="center"/>
                </w:tcPr>
                <w:p w14:paraId="0CB72AF0">
                  <w:pPr>
                    <w:pStyle w:val="45"/>
                    <w:snapToGrid w:val="0"/>
                    <w:spacing w:line="276" w:lineRule="auto"/>
                    <w:ind w:firstLine="360"/>
                    <w:rPr>
                      <w:color w:val="auto"/>
                      <w:kern w:val="2"/>
                      <w:sz w:val="21"/>
                      <w:szCs w:val="21"/>
                      <w:highlight w:val="none"/>
                      <w:lang w:val="en-US" w:eastAsia="zh-CN"/>
                    </w:rPr>
                  </w:pPr>
                </w:p>
              </w:tc>
              <w:tc>
                <w:tcPr>
                  <w:tcW w:w="1038" w:type="pct"/>
                  <w:vMerge w:val="continue"/>
                  <w:tcBorders>
                    <w:left w:val="single" w:color="auto" w:sz="4" w:space="0"/>
                    <w:right w:val="nil"/>
                  </w:tcBorders>
                  <w:noWrap w:val="0"/>
                  <w:vAlign w:val="center"/>
                </w:tcPr>
                <w:p w14:paraId="3320CEAF">
                  <w:pPr>
                    <w:pStyle w:val="45"/>
                    <w:snapToGrid w:val="0"/>
                    <w:spacing w:line="276" w:lineRule="auto"/>
                    <w:ind w:firstLine="360"/>
                    <w:rPr>
                      <w:color w:val="auto"/>
                      <w:kern w:val="2"/>
                      <w:sz w:val="21"/>
                      <w:szCs w:val="21"/>
                      <w:highlight w:val="none"/>
                      <w:lang w:val="en-US" w:eastAsia="zh-CN"/>
                    </w:rPr>
                  </w:pPr>
                </w:p>
              </w:tc>
            </w:tr>
            <w:tr w14:paraId="41CD2D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2719BF75">
                  <w:pPr>
                    <w:pStyle w:val="45"/>
                    <w:snapToGrid w:val="0"/>
                    <w:spacing w:line="276" w:lineRule="auto"/>
                    <w:rPr>
                      <w:rFonts w:hint="eastAsia"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4</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2F344603">
                  <w:pPr>
                    <w:snapToGrid w:val="0"/>
                    <w:spacing w:line="276"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废耗材</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17D09810">
                  <w:pPr>
                    <w:snapToGrid w:val="0"/>
                    <w:spacing w:line="276"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0.01</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7BD6F4B0">
                  <w:pPr>
                    <w:pStyle w:val="45"/>
                    <w:snapToGrid w:val="0"/>
                    <w:spacing w:line="276" w:lineRule="auto"/>
                    <w:rPr>
                      <w:rFonts w:hint="eastAsia"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废水处理</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901DE2E">
                  <w:pPr>
                    <w:pStyle w:val="45"/>
                    <w:snapToGrid w:val="0"/>
                    <w:spacing w:line="276" w:lineRule="auto"/>
                    <w:rPr>
                      <w:rFonts w:hint="eastAsia" w:ascii="Times New Roman" w:hAnsi="宋体"/>
                      <w:color w:val="auto"/>
                      <w:kern w:val="0"/>
                      <w:sz w:val="21"/>
                      <w:szCs w:val="21"/>
                      <w:highlight w:val="none"/>
                      <w:lang w:val="en-US" w:eastAsia="zh-CN" w:bidi="ar-SA"/>
                    </w:rPr>
                  </w:pPr>
                  <w:r>
                    <w:rPr>
                      <w:rFonts w:hint="eastAsia" w:hAnsi="宋体"/>
                      <w:color w:val="auto"/>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067EF8AF">
                  <w:pPr>
                    <w:pStyle w:val="45"/>
                    <w:snapToGrid w:val="0"/>
                    <w:spacing w:line="276" w:lineRule="auto"/>
                    <w:rPr>
                      <w:rFonts w:hint="eastAsia"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杂质</w:t>
                  </w:r>
                </w:p>
              </w:tc>
              <w:tc>
                <w:tcPr>
                  <w:tcW w:w="384" w:type="pct"/>
                  <w:vMerge w:val="continue"/>
                  <w:tcBorders>
                    <w:left w:val="single" w:color="auto" w:sz="4" w:space="0"/>
                    <w:right w:val="single" w:color="auto" w:sz="4" w:space="0"/>
                  </w:tcBorders>
                  <w:noWrap w:val="0"/>
                  <w:vAlign w:val="center"/>
                </w:tcPr>
                <w:p w14:paraId="749E5122">
                  <w:pPr>
                    <w:pStyle w:val="45"/>
                    <w:snapToGrid w:val="0"/>
                    <w:spacing w:line="276" w:lineRule="auto"/>
                    <w:ind w:firstLine="360"/>
                    <w:rPr>
                      <w:color w:val="auto"/>
                      <w:kern w:val="2"/>
                      <w:sz w:val="21"/>
                      <w:szCs w:val="21"/>
                      <w:highlight w:val="none"/>
                      <w:lang w:val="en-US" w:eastAsia="zh-CN"/>
                    </w:rPr>
                  </w:pPr>
                </w:p>
              </w:tc>
              <w:tc>
                <w:tcPr>
                  <w:tcW w:w="1038" w:type="pct"/>
                  <w:vMerge w:val="continue"/>
                  <w:tcBorders>
                    <w:left w:val="single" w:color="auto" w:sz="4" w:space="0"/>
                    <w:right w:val="nil"/>
                  </w:tcBorders>
                  <w:noWrap w:val="0"/>
                  <w:vAlign w:val="center"/>
                </w:tcPr>
                <w:p w14:paraId="6EF126EF">
                  <w:pPr>
                    <w:pStyle w:val="45"/>
                    <w:snapToGrid w:val="0"/>
                    <w:spacing w:line="276" w:lineRule="auto"/>
                    <w:ind w:firstLine="360"/>
                    <w:rPr>
                      <w:color w:val="auto"/>
                      <w:kern w:val="2"/>
                      <w:sz w:val="21"/>
                      <w:szCs w:val="21"/>
                      <w:highlight w:val="none"/>
                      <w:lang w:val="en-US" w:eastAsia="zh-CN"/>
                    </w:rPr>
                  </w:pPr>
                </w:p>
              </w:tc>
            </w:tr>
            <w:tr w14:paraId="103D8F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4AAA035D">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5</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EB97097">
                  <w:pPr>
                    <w:snapToGrid w:val="0"/>
                    <w:spacing w:line="27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污泥</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34C19685">
                  <w:pPr>
                    <w:tabs>
                      <w:tab w:val="center" w:pos="411"/>
                      <w:tab w:val="left" w:pos="577"/>
                    </w:tabs>
                    <w:snapToGrid w:val="0"/>
                    <w:spacing w:line="276"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260.3</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5EED509F">
                  <w:pPr>
                    <w:pStyle w:val="45"/>
                    <w:snapToGrid w:val="0"/>
                    <w:spacing w:line="276" w:lineRule="auto"/>
                    <w:rPr>
                      <w:rFonts w:hint="default" w:ascii="Times New Roman" w:hAnsi="宋体"/>
                      <w:color w:val="auto"/>
                      <w:kern w:val="0"/>
                      <w:sz w:val="21"/>
                      <w:szCs w:val="21"/>
                      <w:highlight w:val="none"/>
                      <w:lang w:val="en-US" w:eastAsia="zh-CN" w:bidi="ar-SA"/>
                    </w:rPr>
                  </w:pPr>
                  <w:r>
                    <w:rPr>
                      <w:rFonts w:hint="eastAsia" w:hAnsi="宋体"/>
                      <w:color w:val="auto"/>
                      <w:sz w:val="21"/>
                      <w:szCs w:val="21"/>
                      <w:highlight w:val="none"/>
                      <w:lang w:val="en-US" w:eastAsia="zh-CN"/>
                    </w:rPr>
                    <w:t>废水处理</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7C143FAA">
                  <w:pPr>
                    <w:pStyle w:val="45"/>
                    <w:snapToGrid w:val="0"/>
                    <w:spacing w:line="276" w:lineRule="auto"/>
                    <w:rPr>
                      <w:rFonts w:hint="default" w:ascii="Times New Roman" w:hAnsi="Times New Roman"/>
                      <w:color w:val="auto"/>
                      <w:kern w:val="2"/>
                      <w:sz w:val="21"/>
                      <w:szCs w:val="21"/>
                      <w:highlight w:val="none"/>
                      <w:lang w:val="en-US" w:eastAsia="zh-CN" w:bidi="ar-SA"/>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0C100C59">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污泥</w:t>
                  </w:r>
                </w:p>
              </w:tc>
              <w:tc>
                <w:tcPr>
                  <w:tcW w:w="384" w:type="pct"/>
                  <w:vMerge w:val="continue"/>
                  <w:tcBorders>
                    <w:left w:val="single" w:color="auto" w:sz="4" w:space="0"/>
                    <w:bottom w:val="single" w:color="auto" w:sz="4" w:space="0"/>
                    <w:right w:val="single" w:color="auto" w:sz="4" w:space="0"/>
                  </w:tcBorders>
                  <w:noWrap w:val="0"/>
                  <w:vAlign w:val="center"/>
                </w:tcPr>
                <w:p w14:paraId="50CBDC48">
                  <w:pPr>
                    <w:pStyle w:val="45"/>
                    <w:snapToGrid w:val="0"/>
                    <w:spacing w:line="276" w:lineRule="auto"/>
                    <w:ind w:firstLine="360"/>
                    <w:rPr>
                      <w:color w:val="auto"/>
                      <w:kern w:val="2"/>
                      <w:sz w:val="21"/>
                      <w:szCs w:val="21"/>
                      <w:highlight w:val="none"/>
                      <w:lang w:val="en-US" w:eastAsia="zh-CN"/>
                    </w:rPr>
                  </w:pPr>
                </w:p>
              </w:tc>
              <w:tc>
                <w:tcPr>
                  <w:tcW w:w="1038" w:type="pct"/>
                  <w:vMerge w:val="continue"/>
                  <w:tcBorders>
                    <w:left w:val="single" w:color="auto" w:sz="4" w:space="0"/>
                    <w:bottom w:val="single" w:color="auto" w:sz="4" w:space="0"/>
                    <w:right w:val="nil"/>
                  </w:tcBorders>
                  <w:noWrap w:val="0"/>
                  <w:vAlign w:val="center"/>
                </w:tcPr>
                <w:p w14:paraId="6E04808F">
                  <w:pPr>
                    <w:pStyle w:val="45"/>
                    <w:snapToGrid w:val="0"/>
                    <w:spacing w:line="276" w:lineRule="auto"/>
                    <w:ind w:firstLine="360"/>
                    <w:rPr>
                      <w:color w:val="auto"/>
                      <w:kern w:val="2"/>
                      <w:sz w:val="21"/>
                      <w:szCs w:val="21"/>
                      <w:highlight w:val="none"/>
                      <w:lang w:val="en-US" w:eastAsia="zh-CN"/>
                    </w:rPr>
                  </w:pPr>
                </w:p>
              </w:tc>
            </w:tr>
            <w:tr w14:paraId="5653CA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38EE54D1">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6</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383EC8EB">
                  <w:pPr>
                    <w:snapToGrid w:val="0"/>
                    <w:spacing w:line="276"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废</w:t>
                  </w:r>
                  <w:r>
                    <w:rPr>
                      <w:rFonts w:hint="eastAsia" w:ascii="宋体" w:hAnsi="宋体" w:eastAsia="宋体" w:cs="宋体"/>
                      <w:color w:val="auto"/>
                      <w:sz w:val="21"/>
                      <w:szCs w:val="21"/>
                      <w:highlight w:val="none"/>
                      <w:lang w:eastAsia="zh-CN"/>
                    </w:rPr>
                    <w:t>润滑油</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63813713">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65763D17">
                  <w:pPr>
                    <w:pStyle w:val="45"/>
                    <w:snapToGrid w:val="0"/>
                    <w:spacing w:line="276" w:lineRule="auto"/>
                    <w:rPr>
                      <w:color w:val="auto"/>
                      <w:sz w:val="21"/>
                      <w:szCs w:val="21"/>
                      <w:highlight w:val="none"/>
                      <w:lang w:val="en-US" w:eastAsia="zh-CN"/>
                    </w:rPr>
                  </w:pPr>
                  <w:r>
                    <w:rPr>
                      <w:rFonts w:hint="eastAsia" w:hAnsi="宋体"/>
                      <w:color w:val="auto"/>
                      <w:sz w:val="21"/>
                      <w:szCs w:val="21"/>
                      <w:highlight w:val="none"/>
                      <w:lang w:val="en-US" w:eastAsia="zh-CN"/>
                    </w:rPr>
                    <w:t>设备维修</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41CC7FD">
                  <w:pPr>
                    <w:pStyle w:val="45"/>
                    <w:snapToGrid w:val="0"/>
                    <w:spacing w:line="276" w:lineRule="auto"/>
                    <w:rPr>
                      <w:color w:val="auto"/>
                      <w:kern w:val="2"/>
                      <w:sz w:val="21"/>
                      <w:szCs w:val="21"/>
                      <w:highlight w:val="none"/>
                      <w:lang w:val="en-US" w:eastAsia="zh-CN"/>
                    </w:rPr>
                  </w:pPr>
                  <w:r>
                    <w:rPr>
                      <w:rFonts w:hint="eastAsia"/>
                      <w:color w:val="auto"/>
                      <w:kern w:val="2"/>
                      <w:sz w:val="21"/>
                      <w:szCs w:val="21"/>
                      <w:highlight w:val="none"/>
                      <w:lang w:val="en-US" w:eastAsia="zh-CN"/>
                    </w:rPr>
                    <w:t>液态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7A9C69A7">
                  <w:pPr>
                    <w:pStyle w:val="45"/>
                    <w:snapToGrid w:val="0"/>
                    <w:spacing w:line="276" w:lineRule="auto"/>
                    <w:rPr>
                      <w:color w:val="auto"/>
                      <w:sz w:val="21"/>
                      <w:szCs w:val="21"/>
                      <w:highlight w:val="none"/>
                      <w:lang w:val="en-US" w:eastAsia="zh-CN"/>
                    </w:rPr>
                  </w:pPr>
                  <w:r>
                    <w:rPr>
                      <w:rFonts w:hint="eastAsia"/>
                      <w:color w:val="auto"/>
                      <w:sz w:val="21"/>
                      <w:szCs w:val="21"/>
                      <w:highlight w:val="none"/>
                      <w:lang w:val="en-US" w:eastAsia="zh-CN"/>
                    </w:rPr>
                    <w:t>矿物油</w:t>
                  </w:r>
                </w:p>
              </w:tc>
              <w:tc>
                <w:tcPr>
                  <w:tcW w:w="384" w:type="pct"/>
                  <w:vMerge w:val="restart"/>
                  <w:tcBorders>
                    <w:top w:val="single" w:color="auto" w:sz="4" w:space="0"/>
                    <w:left w:val="single" w:color="auto" w:sz="4" w:space="0"/>
                    <w:bottom w:val="single" w:color="auto" w:sz="4" w:space="0"/>
                    <w:right w:val="single" w:color="auto" w:sz="4" w:space="0"/>
                  </w:tcBorders>
                  <w:noWrap w:val="0"/>
                  <w:vAlign w:val="center"/>
                </w:tcPr>
                <w:p w14:paraId="6FD1E09E">
                  <w:pPr>
                    <w:pStyle w:val="45"/>
                    <w:snapToGrid w:val="0"/>
                    <w:spacing w:line="276" w:lineRule="auto"/>
                    <w:rPr>
                      <w:color w:val="auto"/>
                      <w:kern w:val="2"/>
                      <w:sz w:val="21"/>
                      <w:szCs w:val="21"/>
                      <w:highlight w:val="none"/>
                      <w:lang w:val="en-US" w:eastAsia="zh-CN"/>
                    </w:rPr>
                  </w:pPr>
                  <w:r>
                    <w:rPr>
                      <w:rFonts w:hint="eastAsia"/>
                      <w:color w:val="auto"/>
                      <w:kern w:val="2"/>
                      <w:sz w:val="21"/>
                      <w:szCs w:val="21"/>
                      <w:highlight w:val="none"/>
                      <w:lang w:val="en-US" w:eastAsia="zh-CN"/>
                    </w:rPr>
                    <w:t>危险废物</w:t>
                  </w:r>
                </w:p>
              </w:tc>
              <w:tc>
                <w:tcPr>
                  <w:tcW w:w="1038" w:type="pct"/>
                  <w:vMerge w:val="restart"/>
                  <w:tcBorders>
                    <w:top w:val="single" w:color="auto" w:sz="4" w:space="0"/>
                    <w:left w:val="single" w:color="auto" w:sz="4" w:space="0"/>
                    <w:bottom w:val="single" w:color="auto" w:sz="4" w:space="0"/>
                    <w:right w:val="nil"/>
                  </w:tcBorders>
                  <w:noWrap w:val="0"/>
                  <w:vAlign w:val="center"/>
                </w:tcPr>
                <w:p w14:paraId="2037D763">
                  <w:pPr>
                    <w:pStyle w:val="45"/>
                    <w:snapToGrid w:val="0"/>
                    <w:spacing w:line="276" w:lineRule="auto"/>
                    <w:rPr>
                      <w:color w:val="auto"/>
                      <w:kern w:val="2"/>
                      <w:sz w:val="21"/>
                      <w:szCs w:val="21"/>
                      <w:highlight w:val="none"/>
                      <w:lang w:val="en-US" w:eastAsia="zh-CN"/>
                    </w:rPr>
                  </w:pPr>
                  <w:r>
                    <w:rPr>
                      <w:rFonts w:hAnsi="宋体"/>
                      <w:color w:val="auto"/>
                      <w:kern w:val="2"/>
                      <w:sz w:val="21"/>
                      <w:szCs w:val="21"/>
                      <w:highlight w:val="none"/>
                      <w:lang w:val="en-US" w:eastAsia="zh-CN"/>
                    </w:rPr>
                    <w:t>暂存于</w:t>
                  </w:r>
                  <w:r>
                    <w:rPr>
                      <w:rFonts w:hint="eastAsia" w:hAnsi="宋体"/>
                      <w:color w:val="auto"/>
                      <w:kern w:val="2"/>
                      <w:sz w:val="21"/>
                      <w:szCs w:val="21"/>
                      <w:highlight w:val="none"/>
                      <w:lang w:val="en-US" w:eastAsia="zh-CN"/>
                    </w:rPr>
                    <w:t>危废库</w:t>
                  </w:r>
                  <w:r>
                    <w:rPr>
                      <w:rFonts w:hAnsi="宋体"/>
                      <w:color w:val="auto"/>
                      <w:kern w:val="2"/>
                      <w:sz w:val="21"/>
                      <w:szCs w:val="21"/>
                      <w:highlight w:val="none"/>
                      <w:lang w:val="en-US" w:eastAsia="zh-CN"/>
                    </w:rPr>
                    <w:t>，定期委托有资质的单位处置</w:t>
                  </w:r>
                </w:p>
              </w:tc>
            </w:tr>
            <w:tr w14:paraId="62BA7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150C01D3">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7</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93079CF">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w:t>
                  </w:r>
                  <w:r>
                    <w:rPr>
                      <w:rFonts w:hint="eastAsia" w:ascii="宋体" w:hAnsi="宋体" w:eastAsia="宋体" w:cs="宋体"/>
                      <w:color w:val="auto"/>
                      <w:sz w:val="21"/>
                      <w:szCs w:val="21"/>
                      <w:highlight w:val="none"/>
                      <w:lang w:eastAsia="zh-CN"/>
                    </w:rPr>
                    <w:t>润滑油</w:t>
                  </w:r>
                  <w:r>
                    <w:rPr>
                      <w:rFonts w:hint="eastAsia" w:ascii="宋体" w:hAnsi="宋体" w:eastAsia="宋体" w:cs="宋体"/>
                      <w:color w:val="auto"/>
                      <w:sz w:val="21"/>
                      <w:szCs w:val="21"/>
                      <w:highlight w:val="none"/>
                    </w:rPr>
                    <w:t>桶</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54CD5293">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0.02</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73760B02">
                  <w:pPr>
                    <w:pStyle w:val="45"/>
                    <w:snapToGrid w:val="0"/>
                    <w:spacing w:line="276" w:lineRule="auto"/>
                    <w:rPr>
                      <w:rFonts w:hAnsi="宋体"/>
                      <w:color w:val="auto"/>
                      <w:sz w:val="21"/>
                      <w:szCs w:val="21"/>
                      <w:highlight w:val="none"/>
                      <w:lang w:val="en-US" w:eastAsia="zh-CN"/>
                    </w:rPr>
                  </w:pPr>
                  <w:r>
                    <w:rPr>
                      <w:rFonts w:hAnsi="宋体"/>
                      <w:color w:val="auto"/>
                      <w:sz w:val="21"/>
                      <w:szCs w:val="21"/>
                      <w:highlight w:val="none"/>
                      <w:lang w:val="en-US" w:eastAsia="zh-CN"/>
                    </w:rPr>
                    <w:t>包装</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E293A4A">
                  <w:pPr>
                    <w:pStyle w:val="45"/>
                    <w:snapToGrid w:val="0"/>
                    <w:spacing w:line="276" w:lineRule="auto"/>
                    <w:rPr>
                      <w:color w:val="auto"/>
                      <w:kern w:val="2"/>
                      <w:sz w:val="21"/>
                      <w:szCs w:val="21"/>
                      <w:highlight w:val="none"/>
                      <w:lang w:val="en-US" w:eastAsia="zh-CN"/>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38CECB93">
                  <w:pPr>
                    <w:pStyle w:val="45"/>
                    <w:snapToGrid w:val="0"/>
                    <w:spacing w:line="276" w:lineRule="auto"/>
                    <w:rPr>
                      <w:color w:val="auto"/>
                      <w:sz w:val="21"/>
                      <w:szCs w:val="21"/>
                      <w:highlight w:val="none"/>
                      <w:lang w:val="en-US" w:eastAsia="zh-CN"/>
                    </w:rPr>
                  </w:pPr>
                  <w:r>
                    <w:rPr>
                      <w:color w:val="auto"/>
                      <w:sz w:val="21"/>
                      <w:szCs w:val="21"/>
                      <w:highlight w:val="none"/>
                      <w:lang w:val="en-US" w:eastAsia="zh-CN"/>
                    </w:rPr>
                    <w:t>包装桶</w:t>
                  </w: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3143ACF3">
                  <w:pPr>
                    <w:pStyle w:val="45"/>
                    <w:snapToGrid w:val="0"/>
                    <w:spacing w:line="276" w:lineRule="auto"/>
                    <w:ind w:firstLine="360"/>
                    <w:rPr>
                      <w:rFonts w:hAnsi="宋体"/>
                      <w:color w:val="auto"/>
                      <w:kern w:val="2"/>
                      <w:sz w:val="21"/>
                      <w:szCs w:val="21"/>
                      <w:highlight w:val="none"/>
                      <w:lang w:val="en-US" w:eastAsia="zh-CN"/>
                    </w:rPr>
                  </w:pPr>
                </w:p>
              </w:tc>
              <w:tc>
                <w:tcPr>
                  <w:tcW w:w="1038" w:type="pct"/>
                  <w:vMerge w:val="continue"/>
                  <w:tcBorders>
                    <w:top w:val="single" w:color="auto" w:sz="4" w:space="0"/>
                    <w:left w:val="single" w:color="auto" w:sz="4" w:space="0"/>
                    <w:bottom w:val="single" w:color="auto" w:sz="4" w:space="0"/>
                    <w:right w:val="nil"/>
                  </w:tcBorders>
                  <w:noWrap w:val="0"/>
                  <w:vAlign w:val="center"/>
                </w:tcPr>
                <w:p w14:paraId="5A69CAE6">
                  <w:pPr>
                    <w:pStyle w:val="45"/>
                    <w:snapToGrid w:val="0"/>
                    <w:spacing w:line="276" w:lineRule="auto"/>
                    <w:ind w:firstLine="360"/>
                    <w:rPr>
                      <w:rFonts w:hAnsi="宋体"/>
                      <w:color w:val="auto"/>
                      <w:kern w:val="2"/>
                      <w:sz w:val="21"/>
                      <w:szCs w:val="21"/>
                      <w:highlight w:val="none"/>
                      <w:lang w:val="en-US" w:eastAsia="zh-CN"/>
                    </w:rPr>
                  </w:pPr>
                </w:p>
              </w:tc>
            </w:tr>
            <w:tr w14:paraId="1DBBAD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388AC0CC">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8</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15A6A419">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含润滑油抹布</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E09AF15">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0.05</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34EAEEF0">
                  <w:pPr>
                    <w:pStyle w:val="45"/>
                    <w:snapToGrid w:val="0"/>
                    <w:spacing w:line="276" w:lineRule="auto"/>
                    <w:rPr>
                      <w:rFonts w:hint="default" w:hAnsi="宋体"/>
                      <w:color w:val="auto"/>
                      <w:sz w:val="21"/>
                      <w:szCs w:val="21"/>
                      <w:highlight w:val="none"/>
                      <w:lang w:val="en-US" w:eastAsia="zh-CN"/>
                    </w:rPr>
                  </w:pPr>
                  <w:r>
                    <w:rPr>
                      <w:rFonts w:hint="eastAsia" w:hAnsi="宋体"/>
                      <w:color w:val="auto"/>
                      <w:sz w:val="21"/>
                      <w:szCs w:val="21"/>
                      <w:highlight w:val="none"/>
                      <w:lang w:val="en-US" w:eastAsia="zh-CN"/>
                    </w:rPr>
                    <w:t>设备检修</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109390A4">
                  <w:pPr>
                    <w:pStyle w:val="45"/>
                    <w:snapToGrid w:val="0"/>
                    <w:spacing w:line="276" w:lineRule="auto"/>
                    <w:rPr>
                      <w:color w:val="auto"/>
                      <w:kern w:val="2"/>
                      <w:sz w:val="21"/>
                      <w:szCs w:val="21"/>
                      <w:highlight w:val="none"/>
                      <w:lang w:val="en-US" w:eastAsia="zh-CN"/>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564E86EB">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润滑油</w:t>
                  </w: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37DBD7A5">
                  <w:pPr>
                    <w:pStyle w:val="45"/>
                    <w:snapToGrid w:val="0"/>
                    <w:spacing w:line="276" w:lineRule="auto"/>
                    <w:ind w:firstLine="360"/>
                    <w:rPr>
                      <w:rFonts w:hAnsi="宋体"/>
                      <w:color w:val="auto"/>
                      <w:kern w:val="2"/>
                      <w:sz w:val="21"/>
                      <w:szCs w:val="21"/>
                      <w:highlight w:val="none"/>
                      <w:lang w:val="en-US" w:eastAsia="zh-CN"/>
                    </w:rPr>
                  </w:pPr>
                </w:p>
              </w:tc>
              <w:tc>
                <w:tcPr>
                  <w:tcW w:w="1038" w:type="pct"/>
                  <w:vMerge w:val="continue"/>
                  <w:tcBorders>
                    <w:top w:val="single" w:color="auto" w:sz="4" w:space="0"/>
                    <w:left w:val="single" w:color="auto" w:sz="4" w:space="0"/>
                    <w:bottom w:val="single" w:color="auto" w:sz="4" w:space="0"/>
                    <w:right w:val="nil"/>
                  </w:tcBorders>
                  <w:noWrap w:val="0"/>
                  <w:vAlign w:val="center"/>
                </w:tcPr>
                <w:p w14:paraId="25372D0F">
                  <w:pPr>
                    <w:pStyle w:val="45"/>
                    <w:snapToGrid w:val="0"/>
                    <w:spacing w:line="276" w:lineRule="auto"/>
                    <w:ind w:firstLine="360"/>
                    <w:rPr>
                      <w:rFonts w:hAnsi="宋体"/>
                      <w:color w:val="auto"/>
                      <w:kern w:val="2"/>
                      <w:sz w:val="21"/>
                      <w:szCs w:val="21"/>
                      <w:highlight w:val="none"/>
                      <w:lang w:val="en-US" w:eastAsia="zh-CN"/>
                    </w:rPr>
                  </w:pPr>
                </w:p>
              </w:tc>
            </w:tr>
            <w:tr w14:paraId="5130FC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5C57CF37">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9</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235176A">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废</w:t>
                  </w:r>
                  <w:r>
                    <w:rPr>
                      <w:rFonts w:hint="eastAsia" w:ascii="宋体" w:hAnsi="宋体" w:eastAsia="宋体" w:cs="宋体"/>
                      <w:bCs/>
                      <w:color w:val="auto"/>
                      <w:sz w:val="21"/>
                      <w:szCs w:val="21"/>
                      <w:highlight w:val="none"/>
                      <w:lang w:eastAsia="zh-CN"/>
                    </w:rPr>
                    <w:t>高反射膜材料</w:t>
                  </w:r>
                  <w:r>
                    <w:rPr>
                      <w:rFonts w:hint="eastAsia" w:ascii="宋体" w:hAnsi="宋体" w:eastAsia="宋体" w:cs="宋体"/>
                      <w:bCs/>
                      <w:color w:val="auto"/>
                      <w:sz w:val="21"/>
                      <w:szCs w:val="21"/>
                      <w:highlight w:val="none"/>
                    </w:rPr>
                    <w:t>桶</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6C389D5C">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2.5</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3567C2BE">
                  <w:pPr>
                    <w:pStyle w:val="45"/>
                    <w:snapToGrid w:val="0"/>
                    <w:spacing w:line="276" w:lineRule="auto"/>
                    <w:rPr>
                      <w:rFonts w:hint="default" w:hAnsi="宋体"/>
                      <w:color w:val="auto"/>
                      <w:sz w:val="21"/>
                      <w:szCs w:val="21"/>
                      <w:highlight w:val="none"/>
                      <w:lang w:val="en-US" w:eastAsia="zh-CN"/>
                    </w:rPr>
                  </w:pPr>
                  <w:r>
                    <w:rPr>
                      <w:rFonts w:hint="eastAsia" w:hAnsi="宋体"/>
                      <w:color w:val="auto"/>
                      <w:sz w:val="21"/>
                      <w:szCs w:val="21"/>
                      <w:highlight w:val="none"/>
                      <w:lang w:val="en-US" w:eastAsia="zh-CN"/>
                    </w:rPr>
                    <w:t>包装</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47F4A70">
                  <w:pPr>
                    <w:pStyle w:val="45"/>
                    <w:snapToGrid w:val="0"/>
                    <w:spacing w:line="276" w:lineRule="auto"/>
                    <w:rPr>
                      <w:rFonts w:hint="eastAsia"/>
                      <w:color w:val="auto"/>
                      <w:kern w:val="2"/>
                      <w:sz w:val="21"/>
                      <w:szCs w:val="21"/>
                      <w:highlight w:val="none"/>
                      <w:lang w:val="en-US" w:eastAsia="zh-CN"/>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1CBFBD71">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塑料</w:t>
                  </w: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4B8C6792">
                  <w:pPr>
                    <w:pStyle w:val="45"/>
                    <w:snapToGrid w:val="0"/>
                    <w:spacing w:line="276" w:lineRule="auto"/>
                    <w:ind w:firstLine="360"/>
                    <w:rPr>
                      <w:rFonts w:hAnsi="宋体"/>
                      <w:color w:val="auto"/>
                      <w:kern w:val="2"/>
                      <w:sz w:val="21"/>
                      <w:szCs w:val="21"/>
                      <w:highlight w:val="none"/>
                      <w:lang w:val="en-US" w:eastAsia="zh-CN"/>
                    </w:rPr>
                  </w:pPr>
                </w:p>
              </w:tc>
              <w:tc>
                <w:tcPr>
                  <w:tcW w:w="1038" w:type="pct"/>
                  <w:vMerge w:val="continue"/>
                  <w:tcBorders>
                    <w:top w:val="single" w:color="auto" w:sz="4" w:space="0"/>
                    <w:left w:val="single" w:color="auto" w:sz="4" w:space="0"/>
                    <w:bottom w:val="single" w:color="auto" w:sz="4" w:space="0"/>
                    <w:right w:val="nil"/>
                  </w:tcBorders>
                  <w:noWrap w:val="0"/>
                  <w:vAlign w:val="center"/>
                </w:tcPr>
                <w:p w14:paraId="7E64A2AD">
                  <w:pPr>
                    <w:pStyle w:val="45"/>
                    <w:snapToGrid w:val="0"/>
                    <w:spacing w:line="276" w:lineRule="auto"/>
                    <w:ind w:firstLine="360"/>
                    <w:rPr>
                      <w:rFonts w:hAnsi="宋体"/>
                      <w:color w:val="auto"/>
                      <w:kern w:val="2"/>
                      <w:sz w:val="21"/>
                      <w:szCs w:val="21"/>
                      <w:highlight w:val="none"/>
                      <w:lang w:val="en-US" w:eastAsia="zh-CN"/>
                    </w:rPr>
                  </w:pPr>
                </w:p>
              </w:tc>
            </w:tr>
            <w:tr w14:paraId="611B3B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2D9029EE">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10</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0216F378">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含</w:t>
                  </w:r>
                  <w:r>
                    <w:rPr>
                      <w:rFonts w:hint="eastAsia" w:ascii="宋体" w:hAnsi="宋体" w:eastAsia="宋体" w:cs="宋体"/>
                      <w:color w:val="auto"/>
                      <w:spacing w:val="-2"/>
                      <w:sz w:val="21"/>
                      <w:szCs w:val="21"/>
                      <w:highlight w:val="none"/>
                      <w:lang w:eastAsia="zh-CN"/>
                    </w:rPr>
                    <w:t>高反射膜材料</w:t>
                  </w:r>
                  <w:r>
                    <w:rPr>
                      <w:rFonts w:hint="eastAsia" w:ascii="宋体" w:hAnsi="宋体" w:eastAsia="宋体" w:cs="宋体"/>
                      <w:color w:val="auto"/>
                      <w:spacing w:val="-2"/>
                      <w:sz w:val="21"/>
                      <w:szCs w:val="21"/>
                      <w:highlight w:val="none"/>
                    </w:rPr>
                    <w:t>抹布</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3C7CD8BD">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51E23825">
                  <w:pPr>
                    <w:pStyle w:val="45"/>
                    <w:snapToGrid w:val="0"/>
                    <w:spacing w:line="276" w:lineRule="auto"/>
                    <w:rPr>
                      <w:rFonts w:hint="default" w:hAnsi="宋体"/>
                      <w:color w:val="auto"/>
                      <w:sz w:val="21"/>
                      <w:szCs w:val="21"/>
                      <w:highlight w:val="none"/>
                      <w:lang w:val="en-US" w:eastAsia="zh-CN"/>
                    </w:rPr>
                  </w:pPr>
                  <w:r>
                    <w:rPr>
                      <w:rFonts w:hint="eastAsia" w:hAnsi="宋体"/>
                      <w:color w:val="auto"/>
                      <w:sz w:val="21"/>
                      <w:szCs w:val="21"/>
                      <w:highlight w:val="none"/>
                      <w:lang w:val="en-US" w:eastAsia="zh-CN"/>
                    </w:rPr>
                    <w:t>设备清洁</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0BE9030D">
                  <w:pPr>
                    <w:pStyle w:val="45"/>
                    <w:snapToGrid w:val="0"/>
                    <w:spacing w:line="276" w:lineRule="auto"/>
                    <w:rPr>
                      <w:rFonts w:hint="eastAsia"/>
                      <w:color w:val="auto"/>
                      <w:kern w:val="2"/>
                      <w:sz w:val="21"/>
                      <w:szCs w:val="21"/>
                      <w:highlight w:val="none"/>
                      <w:lang w:val="en-US" w:eastAsia="zh-CN"/>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4A7BB8C6">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高反射膜材料</w:t>
                  </w: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2EBC7BB0">
                  <w:pPr>
                    <w:pStyle w:val="45"/>
                    <w:snapToGrid w:val="0"/>
                    <w:spacing w:line="276" w:lineRule="auto"/>
                    <w:ind w:firstLine="360"/>
                    <w:rPr>
                      <w:rFonts w:hAnsi="宋体"/>
                      <w:color w:val="auto"/>
                      <w:kern w:val="2"/>
                      <w:sz w:val="21"/>
                      <w:szCs w:val="21"/>
                      <w:highlight w:val="none"/>
                      <w:lang w:val="en-US" w:eastAsia="zh-CN"/>
                    </w:rPr>
                  </w:pPr>
                </w:p>
              </w:tc>
              <w:tc>
                <w:tcPr>
                  <w:tcW w:w="1038" w:type="pct"/>
                  <w:vMerge w:val="continue"/>
                  <w:tcBorders>
                    <w:top w:val="single" w:color="auto" w:sz="4" w:space="0"/>
                    <w:left w:val="single" w:color="auto" w:sz="4" w:space="0"/>
                    <w:bottom w:val="single" w:color="auto" w:sz="4" w:space="0"/>
                    <w:right w:val="nil"/>
                  </w:tcBorders>
                  <w:noWrap w:val="0"/>
                  <w:vAlign w:val="center"/>
                </w:tcPr>
                <w:p w14:paraId="2F14B25E">
                  <w:pPr>
                    <w:pStyle w:val="45"/>
                    <w:snapToGrid w:val="0"/>
                    <w:spacing w:line="276" w:lineRule="auto"/>
                    <w:ind w:firstLine="360"/>
                    <w:rPr>
                      <w:rFonts w:hAnsi="宋体"/>
                      <w:color w:val="auto"/>
                      <w:kern w:val="2"/>
                      <w:sz w:val="21"/>
                      <w:szCs w:val="21"/>
                      <w:highlight w:val="none"/>
                      <w:lang w:val="en-US" w:eastAsia="zh-CN"/>
                    </w:rPr>
                  </w:pPr>
                </w:p>
              </w:tc>
            </w:tr>
            <w:tr w14:paraId="302A45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28321577">
                  <w:pPr>
                    <w:pStyle w:val="45"/>
                    <w:snapToGrid w:val="0"/>
                    <w:spacing w:line="276" w:lineRule="auto"/>
                    <w:rPr>
                      <w:rFonts w:hint="default" w:ascii="Times New Roman" w:hAnsi="Times New Roman"/>
                      <w:color w:val="auto"/>
                      <w:kern w:val="0"/>
                      <w:sz w:val="21"/>
                      <w:szCs w:val="21"/>
                      <w:highlight w:val="none"/>
                      <w:lang w:val="en-US" w:eastAsia="zh-CN" w:bidi="ar-SA"/>
                    </w:rPr>
                  </w:pPr>
                  <w:r>
                    <w:rPr>
                      <w:rFonts w:hint="eastAsia"/>
                      <w:color w:val="auto"/>
                      <w:sz w:val="21"/>
                      <w:szCs w:val="21"/>
                      <w:highlight w:val="none"/>
                      <w:lang w:val="en-US" w:eastAsia="zh-CN"/>
                    </w:rPr>
                    <w:t>11</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D9DA02E">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废活性炭</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2E55B5C2">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olor w:val="auto"/>
                      <w:szCs w:val="21"/>
                      <w:highlight w:val="none"/>
                      <w:lang w:val="en-US" w:eastAsia="zh-CN"/>
                    </w:rPr>
                    <w:t>17.3</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6441AECD">
                  <w:pPr>
                    <w:pStyle w:val="45"/>
                    <w:snapToGrid w:val="0"/>
                    <w:spacing w:line="276" w:lineRule="auto"/>
                    <w:rPr>
                      <w:rFonts w:hint="eastAsia"/>
                      <w:color w:val="auto"/>
                      <w:sz w:val="21"/>
                      <w:szCs w:val="21"/>
                      <w:highlight w:val="none"/>
                      <w:lang w:val="en-US" w:eastAsia="zh-CN"/>
                    </w:rPr>
                  </w:pPr>
                  <w:r>
                    <w:rPr>
                      <w:rFonts w:hint="eastAsia"/>
                      <w:color w:val="auto"/>
                      <w:sz w:val="21"/>
                      <w:szCs w:val="21"/>
                      <w:highlight w:val="none"/>
                      <w:lang w:val="en-US" w:eastAsia="zh-CN"/>
                    </w:rPr>
                    <w:t>废气治理</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395AA5AB">
                  <w:pPr>
                    <w:pStyle w:val="45"/>
                    <w:snapToGrid w:val="0"/>
                    <w:spacing w:line="276" w:lineRule="auto"/>
                    <w:rPr>
                      <w:rFonts w:hint="eastAsia"/>
                      <w:color w:val="auto"/>
                      <w:kern w:val="2"/>
                      <w:sz w:val="21"/>
                      <w:szCs w:val="21"/>
                      <w:highlight w:val="none"/>
                      <w:lang w:val="en-US" w:eastAsia="zh-CN"/>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2BB0C92E">
                  <w:pPr>
                    <w:pStyle w:val="45"/>
                    <w:snapToGrid w:val="0"/>
                    <w:spacing w:line="276" w:lineRule="auto"/>
                    <w:rPr>
                      <w:rFonts w:hint="eastAsia"/>
                      <w:color w:val="auto"/>
                      <w:sz w:val="21"/>
                      <w:szCs w:val="21"/>
                      <w:highlight w:val="none"/>
                      <w:lang w:val="en-US" w:eastAsia="zh-CN"/>
                    </w:rPr>
                  </w:pPr>
                  <w:r>
                    <w:rPr>
                      <w:rFonts w:hint="eastAsia"/>
                      <w:color w:val="auto"/>
                      <w:sz w:val="21"/>
                      <w:szCs w:val="21"/>
                      <w:highlight w:val="none"/>
                      <w:lang w:val="en-US" w:eastAsia="zh-CN"/>
                    </w:rPr>
                    <w:t>有机物</w:t>
                  </w: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5EC254E1">
                  <w:pPr>
                    <w:pStyle w:val="45"/>
                    <w:snapToGrid w:val="0"/>
                    <w:spacing w:line="276" w:lineRule="auto"/>
                    <w:ind w:firstLine="360"/>
                    <w:rPr>
                      <w:rFonts w:hAnsi="宋体"/>
                      <w:color w:val="auto"/>
                      <w:kern w:val="2"/>
                      <w:sz w:val="21"/>
                      <w:szCs w:val="21"/>
                      <w:highlight w:val="none"/>
                      <w:lang w:val="en-US" w:eastAsia="zh-CN"/>
                    </w:rPr>
                  </w:pPr>
                </w:p>
              </w:tc>
              <w:tc>
                <w:tcPr>
                  <w:tcW w:w="1038" w:type="pct"/>
                  <w:vMerge w:val="continue"/>
                  <w:tcBorders>
                    <w:top w:val="single" w:color="auto" w:sz="4" w:space="0"/>
                    <w:left w:val="single" w:color="auto" w:sz="4" w:space="0"/>
                    <w:bottom w:val="single" w:color="auto" w:sz="4" w:space="0"/>
                    <w:right w:val="nil"/>
                  </w:tcBorders>
                  <w:noWrap w:val="0"/>
                  <w:vAlign w:val="center"/>
                </w:tcPr>
                <w:p w14:paraId="7895FAC2">
                  <w:pPr>
                    <w:pStyle w:val="45"/>
                    <w:snapToGrid w:val="0"/>
                    <w:spacing w:line="276" w:lineRule="auto"/>
                    <w:ind w:firstLine="360"/>
                    <w:rPr>
                      <w:rFonts w:hAnsi="宋体"/>
                      <w:color w:val="auto"/>
                      <w:kern w:val="2"/>
                      <w:sz w:val="21"/>
                      <w:szCs w:val="21"/>
                      <w:highlight w:val="none"/>
                      <w:lang w:val="en-US" w:eastAsia="zh-CN"/>
                    </w:rPr>
                  </w:pPr>
                </w:p>
              </w:tc>
            </w:tr>
            <w:tr w14:paraId="5A4171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4" w:space="0"/>
                    <w:right w:val="single" w:color="auto" w:sz="4" w:space="0"/>
                  </w:tcBorders>
                  <w:noWrap w:val="0"/>
                  <w:vAlign w:val="center"/>
                </w:tcPr>
                <w:p w14:paraId="515A28D8">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766" w:type="pct"/>
                  <w:tcBorders>
                    <w:top w:val="single" w:color="auto" w:sz="4" w:space="0"/>
                    <w:left w:val="single" w:color="auto" w:sz="4" w:space="0"/>
                    <w:bottom w:val="single" w:color="auto" w:sz="4" w:space="0"/>
                    <w:right w:val="single" w:color="auto" w:sz="4" w:space="0"/>
                  </w:tcBorders>
                  <w:noWrap w:val="0"/>
                  <w:vAlign w:val="center"/>
                </w:tcPr>
                <w:p w14:paraId="78E2B762">
                  <w:pPr>
                    <w:snapToGrid w:val="0"/>
                    <w:spacing w:line="276"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废印版</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30A3B662">
                  <w:pPr>
                    <w:snapToGrid w:val="0"/>
                    <w:spacing w:line="276"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4F5C0F72">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丝印</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E06C41E">
                  <w:pPr>
                    <w:pStyle w:val="45"/>
                    <w:snapToGrid w:val="0"/>
                    <w:spacing w:line="276" w:lineRule="auto"/>
                    <w:rPr>
                      <w:rFonts w:hint="eastAsia"/>
                      <w:color w:val="auto"/>
                      <w:kern w:val="2"/>
                      <w:sz w:val="21"/>
                      <w:szCs w:val="21"/>
                      <w:highlight w:val="none"/>
                      <w:lang w:val="en-US" w:eastAsia="zh-CN"/>
                    </w:rPr>
                  </w:pPr>
                  <w:r>
                    <w:rPr>
                      <w:rFonts w:hint="eastAsia"/>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4" w:space="0"/>
                    <w:right w:val="single" w:color="auto" w:sz="4" w:space="0"/>
                  </w:tcBorders>
                  <w:noWrap w:val="0"/>
                  <w:vAlign w:val="center"/>
                </w:tcPr>
                <w:p w14:paraId="098CBEF0">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印版</w:t>
                  </w: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14:paraId="1561ADF0">
                  <w:pPr>
                    <w:pStyle w:val="45"/>
                    <w:snapToGrid w:val="0"/>
                    <w:spacing w:line="276" w:lineRule="auto"/>
                    <w:ind w:firstLine="360"/>
                    <w:rPr>
                      <w:rFonts w:hAnsi="宋体"/>
                      <w:color w:val="auto"/>
                      <w:kern w:val="2"/>
                      <w:sz w:val="21"/>
                      <w:szCs w:val="21"/>
                      <w:highlight w:val="none"/>
                      <w:lang w:val="en-US" w:eastAsia="zh-CN"/>
                    </w:rPr>
                  </w:pPr>
                </w:p>
              </w:tc>
              <w:tc>
                <w:tcPr>
                  <w:tcW w:w="1038" w:type="pct"/>
                  <w:vMerge w:val="continue"/>
                  <w:tcBorders>
                    <w:top w:val="single" w:color="auto" w:sz="4" w:space="0"/>
                    <w:left w:val="single" w:color="auto" w:sz="4" w:space="0"/>
                    <w:bottom w:val="single" w:color="auto" w:sz="4" w:space="0"/>
                    <w:right w:val="nil"/>
                  </w:tcBorders>
                  <w:noWrap w:val="0"/>
                  <w:vAlign w:val="center"/>
                </w:tcPr>
                <w:p w14:paraId="0584FF44">
                  <w:pPr>
                    <w:pStyle w:val="45"/>
                    <w:snapToGrid w:val="0"/>
                    <w:spacing w:line="276" w:lineRule="auto"/>
                    <w:ind w:firstLine="360"/>
                    <w:rPr>
                      <w:rFonts w:hAnsi="宋体"/>
                      <w:color w:val="auto"/>
                      <w:kern w:val="2"/>
                      <w:sz w:val="21"/>
                      <w:szCs w:val="21"/>
                      <w:highlight w:val="none"/>
                      <w:lang w:val="en-US" w:eastAsia="zh-CN"/>
                    </w:rPr>
                  </w:pPr>
                </w:p>
              </w:tc>
            </w:tr>
            <w:tr w14:paraId="3B5884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4" w:space="0"/>
                    <w:left w:val="nil"/>
                    <w:bottom w:val="single" w:color="auto" w:sz="8" w:space="0"/>
                    <w:right w:val="single" w:color="auto" w:sz="4" w:space="0"/>
                  </w:tcBorders>
                  <w:noWrap w:val="0"/>
                  <w:vAlign w:val="center"/>
                </w:tcPr>
                <w:p w14:paraId="79CED35D">
                  <w:pPr>
                    <w:pStyle w:val="45"/>
                    <w:snapToGrid w:val="0"/>
                    <w:spacing w:line="276" w:lineRule="auto"/>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766" w:type="pct"/>
                  <w:tcBorders>
                    <w:top w:val="single" w:color="auto" w:sz="4" w:space="0"/>
                    <w:left w:val="single" w:color="auto" w:sz="4" w:space="0"/>
                    <w:bottom w:val="single" w:color="auto" w:sz="8" w:space="0"/>
                    <w:right w:val="single" w:color="auto" w:sz="4" w:space="0"/>
                  </w:tcBorders>
                  <w:noWrap w:val="0"/>
                  <w:vAlign w:val="center"/>
                </w:tcPr>
                <w:p w14:paraId="74086E2B">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生活垃圾</w:t>
                  </w:r>
                </w:p>
              </w:tc>
              <w:tc>
                <w:tcPr>
                  <w:tcW w:w="580" w:type="pct"/>
                  <w:tcBorders>
                    <w:top w:val="single" w:color="auto" w:sz="4" w:space="0"/>
                    <w:left w:val="single" w:color="auto" w:sz="4" w:space="0"/>
                    <w:bottom w:val="single" w:color="auto" w:sz="8" w:space="0"/>
                    <w:right w:val="single" w:color="auto" w:sz="4" w:space="0"/>
                  </w:tcBorders>
                  <w:noWrap w:val="0"/>
                  <w:vAlign w:val="center"/>
                </w:tcPr>
                <w:p w14:paraId="4DE51262">
                  <w:pPr>
                    <w:snapToGrid w:val="0"/>
                    <w:spacing w:line="276"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9</w:t>
                  </w:r>
                </w:p>
              </w:tc>
              <w:tc>
                <w:tcPr>
                  <w:tcW w:w="702" w:type="pct"/>
                  <w:tcBorders>
                    <w:top w:val="single" w:color="auto" w:sz="4" w:space="0"/>
                    <w:left w:val="single" w:color="auto" w:sz="4" w:space="0"/>
                    <w:bottom w:val="single" w:color="auto" w:sz="8" w:space="0"/>
                    <w:right w:val="single" w:color="auto" w:sz="4" w:space="0"/>
                  </w:tcBorders>
                  <w:noWrap w:val="0"/>
                  <w:vAlign w:val="center"/>
                </w:tcPr>
                <w:p w14:paraId="0B91D357">
                  <w:pPr>
                    <w:pStyle w:val="45"/>
                    <w:snapToGrid w:val="0"/>
                    <w:spacing w:line="276" w:lineRule="auto"/>
                    <w:rPr>
                      <w:color w:val="auto"/>
                      <w:sz w:val="21"/>
                      <w:szCs w:val="21"/>
                      <w:highlight w:val="none"/>
                      <w:lang w:val="en-US" w:eastAsia="zh-CN"/>
                    </w:rPr>
                  </w:pPr>
                  <w:r>
                    <w:rPr>
                      <w:rFonts w:hAnsi="宋体"/>
                      <w:color w:val="auto"/>
                      <w:sz w:val="21"/>
                      <w:szCs w:val="21"/>
                      <w:highlight w:val="none"/>
                      <w:lang w:val="en-US" w:eastAsia="zh-CN"/>
                    </w:rPr>
                    <w:t>员工生活</w:t>
                  </w:r>
                </w:p>
              </w:tc>
              <w:tc>
                <w:tcPr>
                  <w:tcW w:w="456" w:type="pct"/>
                  <w:tcBorders>
                    <w:top w:val="single" w:color="auto" w:sz="4" w:space="0"/>
                    <w:left w:val="single" w:color="auto" w:sz="4" w:space="0"/>
                    <w:bottom w:val="single" w:color="auto" w:sz="8" w:space="0"/>
                    <w:right w:val="single" w:color="auto" w:sz="4" w:space="0"/>
                  </w:tcBorders>
                  <w:noWrap w:val="0"/>
                  <w:vAlign w:val="center"/>
                </w:tcPr>
                <w:p w14:paraId="4E0A2761">
                  <w:pPr>
                    <w:pStyle w:val="45"/>
                    <w:snapToGrid w:val="0"/>
                    <w:spacing w:line="276" w:lineRule="auto"/>
                    <w:rPr>
                      <w:color w:val="auto"/>
                      <w:sz w:val="21"/>
                      <w:szCs w:val="21"/>
                      <w:highlight w:val="none"/>
                      <w:lang w:val="en-US" w:eastAsia="zh-CN"/>
                    </w:rPr>
                  </w:pPr>
                  <w:r>
                    <w:rPr>
                      <w:rFonts w:hAnsi="宋体"/>
                      <w:color w:val="auto"/>
                      <w:kern w:val="2"/>
                      <w:sz w:val="21"/>
                      <w:szCs w:val="21"/>
                      <w:highlight w:val="none"/>
                      <w:lang w:val="en-US" w:eastAsia="zh-CN"/>
                    </w:rPr>
                    <w:t>固态</w:t>
                  </w:r>
                </w:p>
              </w:tc>
              <w:tc>
                <w:tcPr>
                  <w:tcW w:w="652" w:type="pct"/>
                  <w:tcBorders>
                    <w:top w:val="single" w:color="auto" w:sz="4" w:space="0"/>
                    <w:left w:val="single" w:color="auto" w:sz="4" w:space="0"/>
                    <w:bottom w:val="single" w:color="auto" w:sz="8" w:space="0"/>
                    <w:right w:val="single" w:color="auto" w:sz="4" w:space="0"/>
                  </w:tcBorders>
                  <w:noWrap w:val="0"/>
                  <w:vAlign w:val="center"/>
                </w:tcPr>
                <w:p w14:paraId="636B6D4D">
                  <w:pPr>
                    <w:pStyle w:val="45"/>
                    <w:snapToGrid w:val="0"/>
                    <w:spacing w:line="276" w:lineRule="auto"/>
                    <w:rPr>
                      <w:color w:val="auto"/>
                      <w:sz w:val="21"/>
                      <w:szCs w:val="21"/>
                      <w:highlight w:val="none"/>
                      <w:lang w:val="en-US" w:eastAsia="zh-CN"/>
                    </w:rPr>
                  </w:pPr>
                  <w:r>
                    <w:rPr>
                      <w:rFonts w:hint="eastAsia"/>
                      <w:color w:val="auto"/>
                      <w:sz w:val="21"/>
                      <w:szCs w:val="21"/>
                      <w:highlight w:val="none"/>
                      <w:lang w:val="en-US" w:eastAsia="zh-CN"/>
                    </w:rPr>
                    <w:t>/</w:t>
                  </w:r>
                </w:p>
              </w:tc>
              <w:tc>
                <w:tcPr>
                  <w:tcW w:w="384" w:type="pct"/>
                  <w:tcBorders>
                    <w:top w:val="single" w:color="auto" w:sz="4" w:space="0"/>
                    <w:left w:val="single" w:color="auto" w:sz="4" w:space="0"/>
                    <w:bottom w:val="single" w:color="auto" w:sz="8" w:space="0"/>
                    <w:right w:val="single" w:color="auto" w:sz="4" w:space="0"/>
                  </w:tcBorders>
                  <w:noWrap w:val="0"/>
                  <w:vAlign w:val="center"/>
                </w:tcPr>
                <w:p w14:paraId="16D1D9E2">
                  <w:pPr>
                    <w:pStyle w:val="45"/>
                    <w:snapToGrid w:val="0"/>
                    <w:spacing w:line="276" w:lineRule="auto"/>
                    <w:rPr>
                      <w:color w:val="auto"/>
                      <w:sz w:val="21"/>
                      <w:szCs w:val="21"/>
                      <w:highlight w:val="none"/>
                      <w:lang w:val="en-US" w:eastAsia="zh-CN"/>
                    </w:rPr>
                  </w:pPr>
                  <w:r>
                    <w:rPr>
                      <w:color w:val="auto"/>
                      <w:sz w:val="21"/>
                      <w:szCs w:val="21"/>
                      <w:highlight w:val="none"/>
                      <w:lang w:val="en-US" w:eastAsia="zh-CN"/>
                    </w:rPr>
                    <w:t>/</w:t>
                  </w:r>
                </w:p>
              </w:tc>
              <w:tc>
                <w:tcPr>
                  <w:tcW w:w="1038" w:type="pct"/>
                  <w:tcBorders>
                    <w:top w:val="single" w:color="auto" w:sz="4" w:space="0"/>
                    <w:left w:val="single" w:color="auto" w:sz="4" w:space="0"/>
                    <w:bottom w:val="single" w:color="auto" w:sz="8" w:space="0"/>
                    <w:right w:val="nil"/>
                  </w:tcBorders>
                  <w:noWrap w:val="0"/>
                  <w:vAlign w:val="center"/>
                </w:tcPr>
                <w:p w14:paraId="2BA4AA7A">
                  <w:pPr>
                    <w:pStyle w:val="45"/>
                    <w:snapToGrid w:val="0"/>
                    <w:spacing w:line="276" w:lineRule="auto"/>
                    <w:rPr>
                      <w:color w:val="auto"/>
                      <w:sz w:val="21"/>
                      <w:szCs w:val="21"/>
                      <w:highlight w:val="none"/>
                      <w:lang w:val="en-US" w:eastAsia="zh-CN"/>
                    </w:rPr>
                  </w:pPr>
                  <w:r>
                    <w:rPr>
                      <w:rFonts w:hAnsi="宋体"/>
                      <w:color w:val="auto"/>
                      <w:sz w:val="21"/>
                      <w:szCs w:val="21"/>
                      <w:highlight w:val="none"/>
                      <w:lang w:val="en-US" w:eastAsia="zh-CN"/>
                    </w:rPr>
                    <w:t>环卫部门清运</w:t>
                  </w:r>
                </w:p>
              </w:tc>
            </w:tr>
          </w:tbl>
          <w:p w14:paraId="5C229CEE">
            <w:pPr>
              <w:spacing w:line="360" w:lineRule="auto"/>
              <w:jc w:val="center"/>
              <w:rPr>
                <w:rFonts w:ascii="Times New Roman" w:hAnsi="Times New Roman" w:eastAsia="黑体"/>
                <w:color w:val="auto"/>
                <w:sz w:val="24"/>
                <w:szCs w:val="24"/>
                <w:highlight w:val="none"/>
              </w:rPr>
            </w:pPr>
            <w:r>
              <w:rPr>
                <w:rFonts w:ascii="Times New Roman" w:hAnsi="黑体" w:eastAsia="黑体"/>
                <w:color w:val="auto"/>
                <w:sz w:val="24"/>
                <w:szCs w:val="24"/>
                <w:highlight w:val="none"/>
              </w:rPr>
              <w:t>表</w:t>
            </w:r>
            <w:r>
              <w:rPr>
                <w:rFonts w:hint="eastAsia" w:ascii="Times New Roman" w:hAnsi="Times New Roman" w:eastAsia="黑体"/>
                <w:color w:val="auto"/>
                <w:sz w:val="24"/>
                <w:szCs w:val="24"/>
                <w:highlight w:val="none"/>
              </w:rPr>
              <w:t>4-1</w:t>
            </w:r>
            <w:r>
              <w:rPr>
                <w:rFonts w:hint="eastAsia" w:ascii="Times New Roman" w:hAnsi="Times New Roman" w:eastAsia="黑体"/>
                <w:color w:val="auto"/>
                <w:sz w:val="24"/>
                <w:szCs w:val="24"/>
                <w:highlight w:val="none"/>
                <w:lang w:val="en-US" w:eastAsia="zh-CN"/>
              </w:rPr>
              <w:t>6</w:t>
            </w:r>
            <w:r>
              <w:rPr>
                <w:rFonts w:hint="eastAsia" w:ascii="Times New Roman" w:hAnsi="Times New Roman" w:eastAsia="黑体"/>
                <w:color w:val="auto"/>
                <w:sz w:val="24"/>
                <w:szCs w:val="24"/>
                <w:highlight w:val="none"/>
              </w:rPr>
              <w:t xml:space="preserve">  </w:t>
            </w:r>
            <w:r>
              <w:rPr>
                <w:rFonts w:ascii="Times New Roman" w:hAnsi="黑体" w:eastAsia="黑体"/>
                <w:color w:val="auto"/>
                <w:sz w:val="24"/>
                <w:szCs w:val="24"/>
                <w:highlight w:val="none"/>
              </w:rPr>
              <w:t>项目</w:t>
            </w:r>
            <w:r>
              <w:rPr>
                <w:rFonts w:hint="eastAsia" w:ascii="Times New Roman" w:hAnsi="黑体" w:eastAsia="黑体"/>
                <w:color w:val="auto"/>
                <w:sz w:val="24"/>
                <w:szCs w:val="24"/>
                <w:highlight w:val="none"/>
              </w:rPr>
              <w:t>危险废物汇总表</w:t>
            </w:r>
          </w:p>
          <w:tbl>
            <w:tblPr>
              <w:tblStyle w:val="20"/>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56"/>
              <w:gridCol w:w="1075"/>
              <w:gridCol w:w="1564"/>
              <w:gridCol w:w="933"/>
              <w:gridCol w:w="846"/>
              <w:gridCol w:w="567"/>
              <w:gridCol w:w="718"/>
              <w:gridCol w:w="768"/>
            </w:tblGrid>
            <w:tr w14:paraId="03D04D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62A7ED0A">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序号</w:t>
                  </w:r>
                </w:p>
              </w:tc>
              <w:tc>
                <w:tcPr>
                  <w:tcW w:w="606" w:type="pct"/>
                  <w:tcBorders>
                    <w:tl2br w:val="nil"/>
                    <w:tr2bl w:val="nil"/>
                  </w:tcBorders>
                  <w:noWrap w:val="0"/>
                  <w:vAlign w:val="center"/>
                </w:tcPr>
                <w:p w14:paraId="33EA3ECA">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危险废物名称</w:t>
                  </w:r>
                </w:p>
              </w:tc>
              <w:tc>
                <w:tcPr>
                  <w:tcW w:w="681" w:type="pct"/>
                  <w:tcBorders>
                    <w:tl2br w:val="nil"/>
                    <w:tr2bl w:val="nil"/>
                  </w:tcBorders>
                  <w:noWrap w:val="0"/>
                  <w:vAlign w:val="center"/>
                </w:tcPr>
                <w:p w14:paraId="3B65319A">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废物类别</w:t>
                  </w:r>
                </w:p>
              </w:tc>
              <w:tc>
                <w:tcPr>
                  <w:tcW w:w="992" w:type="pct"/>
                  <w:tcBorders>
                    <w:tl2br w:val="nil"/>
                    <w:tr2bl w:val="nil"/>
                  </w:tcBorders>
                  <w:noWrap w:val="0"/>
                  <w:vAlign w:val="center"/>
                </w:tcPr>
                <w:p w14:paraId="4890D634">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废物代码</w:t>
                  </w:r>
                </w:p>
              </w:tc>
              <w:tc>
                <w:tcPr>
                  <w:tcW w:w="591" w:type="pct"/>
                  <w:tcBorders>
                    <w:tl2br w:val="nil"/>
                    <w:tr2bl w:val="nil"/>
                  </w:tcBorders>
                  <w:noWrap w:val="0"/>
                  <w:vAlign w:val="center"/>
                </w:tcPr>
                <w:p w14:paraId="4F0EB167">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产生量</w:t>
                  </w:r>
                </w:p>
              </w:tc>
              <w:tc>
                <w:tcPr>
                  <w:tcW w:w="536" w:type="pct"/>
                  <w:tcBorders>
                    <w:tl2br w:val="nil"/>
                    <w:tr2bl w:val="nil"/>
                  </w:tcBorders>
                  <w:noWrap w:val="0"/>
                  <w:vAlign w:val="center"/>
                </w:tcPr>
                <w:p w14:paraId="45875024">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贮存场所</w:t>
                  </w:r>
                  <w:r>
                    <w:rPr>
                      <w:rFonts w:hint="eastAsia" w:cs="宋体"/>
                      <w:b/>
                      <w:bCs/>
                      <w:color w:val="auto"/>
                      <w:sz w:val="21"/>
                      <w:szCs w:val="21"/>
                      <w:highlight w:val="none"/>
                      <w:lang w:val="en-US" w:eastAsia="zh-CN"/>
                    </w:rPr>
                    <w:t>（设施）名称</w:t>
                  </w:r>
                </w:p>
              </w:tc>
              <w:tc>
                <w:tcPr>
                  <w:tcW w:w="359" w:type="pct"/>
                  <w:tcBorders>
                    <w:tl2br w:val="nil"/>
                    <w:tr2bl w:val="nil"/>
                  </w:tcBorders>
                  <w:noWrap w:val="0"/>
                  <w:vAlign w:val="center"/>
                </w:tcPr>
                <w:p w14:paraId="1051FAA0">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贮存能力</w:t>
                  </w:r>
                </w:p>
              </w:tc>
              <w:tc>
                <w:tcPr>
                  <w:tcW w:w="455" w:type="pct"/>
                  <w:tcBorders>
                    <w:tl2br w:val="nil"/>
                    <w:tr2bl w:val="nil"/>
                  </w:tcBorders>
                  <w:noWrap w:val="0"/>
                  <w:vAlign w:val="center"/>
                </w:tcPr>
                <w:p w14:paraId="0BA3102D">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贮存周期</w:t>
                  </w:r>
                </w:p>
              </w:tc>
              <w:tc>
                <w:tcPr>
                  <w:tcW w:w="487" w:type="pct"/>
                  <w:tcBorders>
                    <w:tl2br w:val="nil"/>
                    <w:tr2bl w:val="nil"/>
                  </w:tcBorders>
                  <w:noWrap w:val="0"/>
                  <w:vAlign w:val="center"/>
                </w:tcPr>
                <w:p w14:paraId="12CC7354">
                  <w:pPr>
                    <w:pStyle w:val="49"/>
                    <w:spacing w:before="0"/>
                    <w:rPr>
                      <w:rFonts w:cs="宋体"/>
                      <w:b/>
                      <w:bCs/>
                      <w:color w:val="auto"/>
                      <w:sz w:val="21"/>
                      <w:szCs w:val="21"/>
                      <w:highlight w:val="none"/>
                      <w:lang w:val="en-US" w:eastAsia="zh-CN"/>
                    </w:rPr>
                  </w:pPr>
                  <w:r>
                    <w:rPr>
                      <w:rFonts w:cs="宋体"/>
                      <w:b/>
                      <w:bCs/>
                      <w:color w:val="auto"/>
                      <w:sz w:val="21"/>
                      <w:szCs w:val="21"/>
                      <w:highlight w:val="none"/>
                      <w:lang w:val="en-US" w:eastAsia="zh-CN"/>
                    </w:rPr>
                    <w:t>污染防治措施</w:t>
                  </w:r>
                </w:p>
              </w:tc>
            </w:tr>
            <w:tr w14:paraId="50F139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2B553610">
                  <w:pPr>
                    <w:pStyle w:val="49"/>
                    <w:spacing w:before="0"/>
                    <w:rPr>
                      <w:rFonts w:cs="宋体"/>
                      <w:color w:val="auto"/>
                      <w:sz w:val="21"/>
                      <w:szCs w:val="21"/>
                      <w:highlight w:val="none"/>
                      <w:lang w:val="en-US" w:eastAsia="zh-CN"/>
                    </w:rPr>
                  </w:pPr>
                  <w:r>
                    <w:rPr>
                      <w:rFonts w:hint="eastAsia" w:cs="宋体"/>
                      <w:color w:val="auto"/>
                      <w:sz w:val="21"/>
                      <w:szCs w:val="21"/>
                      <w:highlight w:val="none"/>
                      <w:lang w:val="en-US" w:eastAsia="zh-CN"/>
                    </w:rPr>
                    <w:t>1</w:t>
                  </w:r>
                </w:p>
              </w:tc>
              <w:tc>
                <w:tcPr>
                  <w:tcW w:w="606" w:type="pct"/>
                  <w:tcBorders>
                    <w:tl2br w:val="nil"/>
                    <w:tr2bl w:val="nil"/>
                  </w:tcBorders>
                  <w:noWrap w:val="0"/>
                  <w:vAlign w:val="center"/>
                </w:tcPr>
                <w:p w14:paraId="18C8F7D7">
                  <w:pPr>
                    <w:snapToGrid w:val="0"/>
                    <w:spacing w:line="276" w:lineRule="auto"/>
                    <w:jc w:val="center"/>
                    <w:rPr>
                      <w:color w:val="auto"/>
                      <w:sz w:val="21"/>
                      <w:szCs w:val="21"/>
                      <w:highlight w:val="none"/>
                      <w:lang w:val="en-US" w:eastAsia="zh-CN"/>
                    </w:rPr>
                  </w:pPr>
                  <w:r>
                    <w:rPr>
                      <w:rFonts w:hint="eastAsia" w:ascii="Times New Roman" w:hAnsi="Times New Roman"/>
                      <w:color w:val="auto"/>
                      <w:sz w:val="21"/>
                      <w:szCs w:val="21"/>
                      <w:highlight w:val="none"/>
                    </w:rPr>
                    <w:t>废</w:t>
                  </w:r>
                  <w:r>
                    <w:rPr>
                      <w:rFonts w:hint="eastAsia" w:ascii="Times New Roman" w:hAnsi="Times New Roman"/>
                      <w:color w:val="auto"/>
                      <w:sz w:val="21"/>
                      <w:szCs w:val="21"/>
                      <w:highlight w:val="none"/>
                      <w:lang w:eastAsia="zh-CN"/>
                    </w:rPr>
                    <w:t>润滑油</w:t>
                  </w:r>
                </w:p>
              </w:tc>
              <w:tc>
                <w:tcPr>
                  <w:tcW w:w="681" w:type="pct"/>
                  <w:tcBorders>
                    <w:tl2br w:val="nil"/>
                    <w:tr2bl w:val="nil"/>
                  </w:tcBorders>
                  <w:noWrap w:val="0"/>
                  <w:vAlign w:val="center"/>
                </w:tcPr>
                <w:p w14:paraId="2C8A2322">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HW08</w:t>
                  </w:r>
                </w:p>
              </w:tc>
              <w:tc>
                <w:tcPr>
                  <w:tcW w:w="992" w:type="pct"/>
                  <w:tcBorders>
                    <w:tl2br w:val="nil"/>
                    <w:tr2bl w:val="nil"/>
                  </w:tcBorders>
                  <w:noWrap w:val="0"/>
                  <w:vAlign w:val="center"/>
                </w:tcPr>
                <w:p w14:paraId="32404E11">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900-2</w:t>
                  </w:r>
                  <w:r>
                    <w:rPr>
                      <w:rFonts w:hint="eastAsia" w:ascii="Times New Roman" w:hAnsi="Times New Roman"/>
                      <w:color w:val="auto"/>
                      <w:szCs w:val="21"/>
                      <w:highlight w:val="none"/>
                      <w:lang w:val="en-US" w:eastAsia="zh-CN"/>
                    </w:rPr>
                    <w:t>14</w:t>
                  </w:r>
                  <w:r>
                    <w:rPr>
                      <w:rFonts w:ascii="Times New Roman" w:hAnsi="Times New Roman"/>
                      <w:color w:val="auto"/>
                      <w:szCs w:val="21"/>
                      <w:highlight w:val="none"/>
                    </w:rPr>
                    <w:t>-08</w:t>
                  </w:r>
                </w:p>
              </w:tc>
              <w:tc>
                <w:tcPr>
                  <w:tcW w:w="591" w:type="pct"/>
                  <w:tcBorders>
                    <w:tl2br w:val="nil"/>
                    <w:tr2bl w:val="nil"/>
                  </w:tcBorders>
                  <w:noWrap w:val="0"/>
                  <w:vAlign w:val="center"/>
                </w:tcPr>
                <w:p w14:paraId="76920DF6">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0.1</w:t>
                  </w:r>
                </w:p>
              </w:tc>
              <w:tc>
                <w:tcPr>
                  <w:tcW w:w="536" w:type="pct"/>
                  <w:vMerge w:val="restart"/>
                  <w:tcBorders>
                    <w:tl2br w:val="nil"/>
                    <w:tr2bl w:val="nil"/>
                  </w:tcBorders>
                  <w:noWrap w:val="0"/>
                  <w:vAlign w:val="center"/>
                </w:tcPr>
                <w:p w14:paraId="5E1D79DF">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危废库</w:t>
                  </w:r>
                </w:p>
              </w:tc>
              <w:tc>
                <w:tcPr>
                  <w:tcW w:w="359" w:type="pct"/>
                  <w:tcBorders>
                    <w:tl2br w:val="nil"/>
                    <w:tr2bl w:val="nil"/>
                  </w:tcBorders>
                  <w:noWrap w:val="0"/>
                  <w:vAlign w:val="center"/>
                </w:tcPr>
                <w:p w14:paraId="55C3788B">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455" w:type="pct"/>
                  <w:tcBorders>
                    <w:tl2br w:val="nil"/>
                    <w:tr2bl w:val="nil"/>
                  </w:tcBorders>
                  <w:noWrap w:val="0"/>
                  <w:vAlign w:val="center"/>
                </w:tcPr>
                <w:p w14:paraId="7A005EBC">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1年</w:t>
                  </w:r>
                </w:p>
              </w:tc>
              <w:tc>
                <w:tcPr>
                  <w:tcW w:w="487" w:type="pct"/>
                  <w:vMerge w:val="restart"/>
                  <w:tcBorders>
                    <w:tl2br w:val="nil"/>
                    <w:tr2bl w:val="nil"/>
                  </w:tcBorders>
                  <w:noWrap w:val="0"/>
                  <w:vAlign w:val="center"/>
                </w:tcPr>
                <w:p w14:paraId="1BA35AD1">
                  <w:pPr>
                    <w:pStyle w:val="49"/>
                    <w:spacing w:before="0"/>
                    <w:rPr>
                      <w:rFonts w:cs="宋体"/>
                      <w:color w:val="auto"/>
                      <w:sz w:val="21"/>
                      <w:szCs w:val="21"/>
                      <w:highlight w:val="none"/>
                      <w:lang w:val="en-US" w:eastAsia="zh-CN"/>
                    </w:rPr>
                  </w:pPr>
                  <w:r>
                    <w:rPr>
                      <w:rFonts w:cs="宋体"/>
                      <w:color w:val="auto"/>
                      <w:sz w:val="21"/>
                      <w:szCs w:val="21"/>
                      <w:highlight w:val="none"/>
                      <w:lang w:val="en-US" w:eastAsia="zh-CN"/>
                    </w:rPr>
                    <w:t>定期委托有资质的单位处置</w:t>
                  </w:r>
                </w:p>
              </w:tc>
            </w:tr>
            <w:tr w14:paraId="0F5DBE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6703A4E8">
                  <w:pPr>
                    <w:pStyle w:val="49"/>
                    <w:spacing w:before="0"/>
                    <w:rPr>
                      <w:rFonts w:cs="宋体"/>
                      <w:color w:val="auto"/>
                      <w:sz w:val="21"/>
                      <w:szCs w:val="21"/>
                      <w:highlight w:val="none"/>
                      <w:lang w:val="en-US" w:eastAsia="zh-CN"/>
                    </w:rPr>
                  </w:pPr>
                  <w:r>
                    <w:rPr>
                      <w:rFonts w:hint="eastAsia" w:cs="宋体"/>
                      <w:color w:val="auto"/>
                      <w:sz w:val="21"/>
                      <w:szCs w:val="21"/>
                      <w:highlight w:val="none"/>
                      <w:lang w:val="en-US" w:eastAsia="zh-CN"/>
                    </w:rPr>
                    <w:t>2</w:t>
                  </w:r>
                </w:p>
              </w:tc>
              <w:tc>
                <w:tcPr>
                  <w:tcW w:w="606" w:type="pct"/>
                  <w:tcBorders>
                    <w:tl2br w:val="nil"/>
                    <w:tr2bl w:val="nil"/>
                  </w:tcBorders>
                  <w:noWrap w:val="0"/>
                  <w:vAlign w:val="center"/>
                </w:tcPr>
                <w:p w14:paraId="3F11EE4B">
                  <w:pPr>
                    <w:snapToGrid w:val="0"/>
                    <w:spacing w:line="276" w:lineRule="auto"/>
                    <w:jc w:val="center"/>
                    <w:rPr>
                      <w:color w:val="auto"/>
                      <w:sz w:val="21"/>
                      <w:szCs w:val="21"/>
                      <w:highlight w:val="none"/>
                      <w:lang w:val="en-US" w:eastAsia="zh-CN"/>
                    </w:rPr>
                  </w:pPr>
                  <w:r>
                    <w:rPr>
                      <w:rFonts w:ascii="Times New Roman" w:hAnsi="Times New Roman"/>
                      <w:color w:val="auto"/>
                      <w:sz w:val="21"/>
                      <w:szCs w:val="21"/>
                      <w:highlight w:val="none"/>
                    </w:rPr>
                    <w:t>废</w:t>
                  </w:r>
                  <w:r>
                    <w:rPr>
                      <w:rFonts w:hint="eastAsia" w:ascii="Times New Roman" w:hAnsi="Times New Roman"/>
                      <w:color w:val="auto"/>
                      <w:sz w:val="21"/>
                      <w:szCs w:val="21"/>
                      <w:highlight w:val="none"/>
                      <w:lang w:eastAsia="zh-CN"/>
                    </w:rPr>
                    <w:t>润滑油</w:t>
                  </w:r>
                  <w:r>
                    <w:rPr>
                      <w:rFonts w:ascii="Times New Roman" w:hAnsi="Times New Roman"/>
                      <w:color w:val="auto"/>
                      <w:sz w:val="21"/>
                      <w:szCs w:val="21"/>
                      <w:highlight w:val="none"/>
                    </w:rPr>
                    <w:t>桶</w:t>
                  </w:r>
                </w:p>
              </w:tc>
              <w:tc>
                <w:tcPr>
                  <w:tcW w:w="1075" w:type="dxa"/>
                  <w:tcBorders>
                    <w:tl2br w:val="nil"/>
                    <w:tr2bl w:val="nil"/>
                  </w:tcBorders>
                  <w:noWrap w:val="0"/>
                  <w:vAlign w:val="center"/>
                </w:tcPr>
                <w:p w14:paraId="75ECED02">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HW08</w:t>
                  </w:r>
                </w:p>
              </w:tc>
              <w:tc>
                <w:tcPr>
                  <w:tcW w:w="1564" w:type="dxa"/>
                  <w:tcBorders>
                    <w:tl2br w:val="nil"/>
                    <w:tr2bl w:val="nil"/>
                  </w:tcBorders>
                  <w:noWrap w:val="0"/>
                  <w:vAlign w:val="center"/>
                </w:tcPr>
                <w:p w14:paraId="2814D631">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900-249-08</w:t>
                  </w:r>
                </w:p>
              </w:tc>
              <w:tc>
                <w:tcPr>
                  <w:tcW w:w="591" w:type="pct"/>
                  <w:tcBorders>
                    <w:tl2br w:val="nil"/>
                    <w:tr2bl w:val="nil"/>
                  </w:tcBorders>
                  <w:noWrap w:val="0"/>
                  <w:vAlign w:val="center"/>
                </w:tcPr>
                <w:p w14:paraId="1F3DD8C2">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0.02</w:t>
                  </w:r>
                </w:p>
              </w:tc>
              <w:tc>
                <w:tcPr>
                  <w:tcW w:w="536" w:type="pct"/>
                  <w:vMerge w:val="continue"/>
                  <w:tcBorders>
                    <w:tl2br w:val="nil"/>
                    <w:tr2bl w:val="nil"/>
                  </w:tcBorders>
                  <w:noWrap w:val="0"/>
                  <w:vAlign w:val="center"/>
                </w:tcPr>
                <w:p w14:paraId="399A009C">
                  <w:pPr>
                    <w:pStyle w:val="49"/>
                    <w:spacing w:before="0"/>
                    <w:ind w:firstLine="360"/>
                    <w:rPr>
                      <w:rFonts w:hint="default" w:ascii="Times New Roman" w:hAnsi="Times New Roman" w:cs="Times New Roman"/>
                      <w:color w:val="auto"/>
                      <w:sz w:val="21"/>
                      <w:szCs w:val="21"/>
                      <w:highlight w:val="none"/>
                      <w:lang w:val="en-US" w:eastAsia="zh-CN"/>
                    </w:rPr>
                  </w:pPr>
                </w:p>
              </w:tc>
              <w:tc>
                <w:tcPr>
                  <w:tcW w:w="359" w:type="pct"/>
                  <w:tcBorders>
                    <w:tl2br w:val="nil"/>
                    <w:tr2bl w:val="nil"/>
                  </w:tcBorders>
                  <w:noWrap w:val="0"/>
                  <w:vAlign w:val="center"/>
                </w:tcPr>
                <w:p w14:paraId="0128A775">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455" w:type="pct"/>
                  <w:tcBorders>
                    <w:tl2br w:val="nil"/>
                    <w:tr2bl w:val="nil"/>
                  </w:tcBorders>
                  <w:noWrap w:val="0"/>
                  <w:vAlign w:val="center"/>
                </w:tcPr>
                <w:p w14:paraId="055DF7AF">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1年</w:t>
                  </w:r>
                </w:p>
              </w:tc>
              <w:tc>
                <w:tcPr>
                  <w:tcW w:w="487" w:type="pct"/>
                  <w:vMerge w:val="continue"/>
                  <w:tcBorders>
                    <w:tl2br w:val="nil"/>
                    <w:tr2bl w:val="nil"/>
                  </w:tcBorders>
                  <w:noWrap w:val="0"/>
                  <w:vAlign w:val="center"/>
                </w:tcPr>
                <w:p w14:paraId="0E7F596E">
                  <w:pPr>
                    <w:pStyle w:val="49"/>
                    <w:spacing w:before="0"/>
                    <w:ind w:firstLine="360"/>
                    <w:rPr>
                      <w:rFonts w:cs="宋体"/>
                      <w:color w:val="auto"/>
                      <w:sz w:val="21"/>
                      <w:szCs w:val="21"/>
                      <w:highlight w:val="none"/>
                      <w:lang w:val="en-US" w:eastAsia="zh-CN"/>
                    </w:rPr>
                  </w:pPr>
                </w:p>
              </w:tc>
            </w:tr>
            <w:tr w14:paraId="60D16F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7B564874">
                  <w:pPr>
                    <w:pStyle w:val="49"/>
                    <w:spacing w:before="0"/>
                    <w:rPr>
                      <w:rFonts w:cs="宋体"/>
                      <w:color w:val="auto"/>
                      <w:sz w:val="21"/>
                      <w:szCs w:val="21"/>
                      <w:highlight w:val="none"/>
                      <w:lang w:val="en-US" w:eastAsia="zh-CN"/>
                    </w:rPr>
                  </w:pPr>
                  <w:r>
                    <w:rPr>
                      <w:rFonts w:hint="eastAsia" w:cs="宋体"/>
                      <w:color w:val="auto"/>
                      <w:sz w:val="21"/>
                      <w:szCs w:val="21"/>
                      <w:highlight w:val="none"/>
                      <w:lang w:val="en-US" w:eastAsia="zh-CN"/>
                    </w:rPr>
                    <w:t>3</w:t>
                  </w:r>
                </w:p>
              </w:tc>
              <w:tc>
                <w:tcPr>
                  <w:tcW w:w="606" w:type="pct"/>
                  <w:tcBorders>
                    <w:tl2br w:val="nil"/>
                    <w:tr2bl w:val="nil"/>
                  </w:tcBorders>
                  <w:noWrap w:val="0"/>
                  <w:vAlign w:val="center"/>
                </w:tcPr>
                <w:p w14:paraId="3175E884">
                  <w:pPr>
                    <w:snapToGrid w:val="0"/>
                    <w:spacing w:line="276" w:lineRule="auto"/>
                    <w:jc w:val="center"/>
                    <w:rPr>
                      <w:rFonts w:ascii="Times New Roman" w:hAnsi="Times New Roman"/>
                      <w:color w:val="auto"/>
                      <w:kern w:val="0"/>
                      <w:sz w:val="21"/>
                      <w:szCs w:val="21"/>
                      <w:highlight w:val="none"/>
                    </w:rPr>
                  </w:pPr>
                  <w:r>
                    <w:rPr>
                      <w:rFonts w:hint="default" w:ascii="Times New Roman" w:hAnsi="Times New Roman"/>
                      <w:color w:val="auto"/>
                      <w:sz w:val="21"/>
                      <w:szCs w:val="21"/>
                      <w:highlight w:val="none"/>
                    </w:rPr>
                    <w:t>含润滑油抹布</w:t>
                  </w:r>
                </w:p>
              </w:tc>
              <w:tc>
                <w:tcPr>
                  <w:tcW w:w="1075" w:type="dxa"/>
                  <w:tcBorders>
                    <w:tl2br w:val="nil"/>
                    <w:tr2bl w:val="nil"/>
                  </w:tcBorders>
                  <w:noWrap w:val="0"/>
                  <w:vAlign w:val="center"/>
                </w:tcPr>
                <w:p w14:paraId="0AB74AD1">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HW49</w:t>
                  </w:r>
                </w:p>
              </w:tc>
              <w:tc>
                <w:tcPr>
                  <w:tcW w:w="1564" w:type="dxa"/>
                  <w:tcBorders>
                    <w:tl2br w:val="nil"/>
                    <w:tr2bl w:val="nil"/>
                  </w:tcBorders>
                  <w:noWrap w:val="0"/>
                  <w:vAlign w:val="center"/>
                </w:tcPr>
                <w:p w14:paraId="00762B71">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900-041-49</w:t>
                  </w:r>
                </w:p>
              </w:tc>
              <w:tc>
                <w:tcPr>
                  <w:tcW w:w="591" w:type="pct"/>
                  <w:tcBorders>
                    <w:tl2br w:val="nil"/>
                    <w:tr2bl w:val="nil"/>
                  </w:tcBorders>
                  <w:noWrap w:val="0"/>
                  <w:vAlign w:val="center"/>
                </w:tcPr>
                <w:p w14:paraId="2DC6905E">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0.05</w:t>
                  </w:r>
                </w:p>
              </w:tc>
              <w:tc>
                <w:tcPr>
                  <w:tcW w:w="536" w:type="pct"/>
                  <w:vMerge w:val="continue"/>
                  <w:tcBorders>
                    <w:tl2br w:val="nil"/>
                    <w:tr2bl w:val="nil"/>
                  </w:tcBorders>
                  <w:noWrap w:val="0"/>
                  <w:vAlign w:val="center"/>
                </w:tcPr>
                <w:p w14:paraId="098914C2">
                  <w:pPr>
                    <w:pStyle w:val="49"/>
                    <w:spacing w:before="0"/>
                    <w:ind w:firstLine="360"/>
                    <w:rPr>
                      <w:rFonts w:hint="default" w:ascii="Times New Roman" w:hAnsi="Times New Roman" w:cs="Times New Roman"/>
                      <w:color w:val="auto"/>
                      <w:sz w:val="21"/>
                      <w:szCs w:val="21"/>
                      <w:highlight w:val="none"/>
                      <w:lang w:val="en-US" w:eastAsia="zh-CN"/>
                    </w:rPr>
                  </w:pPr>
                </w:p>
              </w:tc>
              <w:tc>
                <w:tcPr>
                  <w:tcW w:w="359" w:type="pct"/>
                  <w:tcBorders>
                    <w:tl2br w:val="nil"/>
                    <w:tr2bl w:val="nil"/>
                  </w:tcBorders>
                  <w:noWrap w:val="0"/>
                  <w:vAlign w:val="center"/>
                </w:tcPr>
                <w:p w14:paraId="1A0124D8">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455" w:type="pct"/>
                  <w:tcBorders>
                    <w:tl2br w:val="nil"/>
                    <w:tr2bl w:val="nil"/>
                  </w:tcBorders>
                  <w:noWrap w:val="0"/>
                  <w:vAlign w:val="center"/>
                </w:tcPr>
                <w:p w14:paraId="0F59AD37">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2个月</w:t>
                  </w:r>
                </w:p>
              </w:tc>
              <w:tc>
                <w:tcPr>
                  <w:tcW w:w="487" w:type="pct"/>
                  <w:vMerge w:val="continue"/>
                  <w:tcBorders>
                    <w:tl2br w:val="nil"/>
                    <w:tr2bl w:val="nil"/>
                  </w:tcBorders>
                  <w:noWrap w:val="0"/>
                  <w:vAlign w:val="center"/>
                </w:tcPr>
                <w:p w14:paraId="147CBA55">
                  <w:pPr>
                    <w:pStyle w:val="49"/>
                    <w:spacing w:before="0"/>
                    <w:ind w:firstLine="360"/>
                    <w:rPr>
                      <w:rFonts w:cs="宋体"/>
                      <w:color w:val="auto"/>
                      <w:sz w:val="21"/>
                      <w:szCs w:val="21"/>
                      <w:highlight w:val="none"/>
                      <w:lang w:val="en-US" w:eastAsia="zh-CN"/>
                    </w:rPr>
                  </w:pPr>
                </w:p>
              </w:tc>
            </w:tr>
            <w:tr w14:paraId="54A5E2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708AD780">
                  <w:pPr>
                    <w:pStyle w:val="49"/>
                    <w:spacing w:before="0"/>
                    <w:rPr>
                      <w:rFonts w:cs="宋体"/>
                      <w:color w:val="auto"/>
                      <w:sz w:val="21"/>
                      <w:szCs w:val="21"/>
                      <w:highlight w:val="none"/>
                      <w:lang w:val="en-US" w:eastAsia="zh-CN"/>
                    </w:rPr>
                  </w:pPr>
                  <w:r>
                    <w:rPr>
                      <w:rFonts w:hint="eastAsia" w:cs="宋体"/>
                      <w:color w:val="auto"/>
                      <w:sz w:val="21"/>
                      <w:szCs w:val="21"/>
                      <w:highlight w:val="none"/>
                      <w:lang w:val="en-US" w:eastAsia="zh-CN"/>
                    </w:rPr>
                    <w:t>4</w:t>
                  </w:r>
                </w:p>
              </w:tc>
              <w:tc>
                <w:tcPr>
                  <w:tcW w:w="606" w:type="pct"/>
                  <w:tcBorders>
                    <w:tl2br w:val="nil"/>
                    <w:tr2bl w:val="nil"/>
                  </w:tcBorders>
                  <w:noWrap w:val="0"/>
                  <w:vAlign w:val="center"/>
                </w:tcPr>
                <w:p w14:paraId="1D28352B">
                  <w:pPr>
                    <w:snapToGrid w:val="0"/>
                    <w:spacing w:line="276" w:lineRule="auto"/>
                    <w:jc w:val="center"/>
                    <w:rPr>
                      <w:rFonts w:ascii="Times New Roman" w:hAnsi="Times New Roman"/>
                      <w:color w:val="auto"/>
                      <w:sz w:val="21"/>
                      <w:szCs w:val="21"/>
                      <w:highlight w:val="none"/>
                    </w:rPr>
                  </w:pPr>
                  <w:r>
                    <w:rPr>
                      <w:rFonts w:hint="default" w:ascii="Times New Roman" w:hAnsi="Times New Roman" w:eastAsia="宋体" w:cs="Times New Roman"/>
                      <w:bCs/>
                      <w:color w:val="auto"/>
                      <w:sz w:val="21"/>
                      <w:szCs w:val="21"/>
                      <w:highlight w:val="none"/>
                    </w:rPr>
                    <w:t>废</w:t>
                  </w:r>
                  <w:r>
                    <w:rPr>
                      <w:rFonts w:hint="eastAsia" w:ascii="Times New Roman" w:hAnsi="Times New Roman" w:eastAsia="宋体" w:cs="Times New Roman"/>
                      <w:bCs/>
                      <w:color w:val="auto"/>
                      <w:sz w:val="21"/>
                      <w:szCs w:val="21"/>
                      <w:highlight w:val="none"/>
                      <w:lang w:eastAsia="zh-CN"/>
                    </w:rPr>
                    <w:t>高反射膜材料</w:t>
                  </w:r>
                  <w:r>
                    <w:rPr>
                      <w:rFonts w:hint="default" w:ascii="Times New Roman" w:hAnsi="Times New Roman" w:eastAsia="宋体" w:cs="Times New Roman"/>
                      <w:bCs/>
                      <w:color w:val="auto"/>
                      <w:sz w:val="21"/>
                      <w:szCs w:val="21"/>
                      <w:highlight w:val="none"/>
                    </w:rPr>
                    <w:t>桶</w:t>
                  </w:r>
                </w:p>
              </w:tc>
              <w:tc>
                <w:tcPr>
                  <w:tcW w:w="1075" w:type="dxa"/>
                  <w:tcBorders>
                    <w:tl2br w:val="nil"/>
                    <w:tr2bl w:val="nil"/>
                  </w:tcBorders>
                  <w:noWrap w:val="0"/>
                  <w:vAlign w:val="center"/>
                </w:tcPr>
                <w:p w14:paraId="60F6ACD2">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HW49</w:t>
                  </w:r>
                </w:p>
              </w:tc>
              <w:tc>
                <w:tcPr>
                  <w:tcW w:w="1564" w:type="dxa"/>
                  <w:tcBorders>
                    <w:tl2br w:val="nil"/>
                    <w:tr2bl w:val="nil"/>
                  </w:tcBorders>
                  <w:noWrap w:val="0"/>
                  <w:vAlign w:val="center"/>
                </w:tcPr>
                <w:p w14:paraId="1E82ADAE">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900-041-49</w:t>
                  </w:r>
                </w:p>
              </w:tc>
              <w:tc>
                <w:tcPr>
                  <w:tcW w:w="591" w:type="pct"/>
                  <w:tcBorders>
                    <w:tl2br w:val="nil"/>
                    <w:tr2bl w:val="nil"/>
                  </w:tcBorders>
                  <w:noWrap w:val="0"/>
                  <w:vAlign w:val="center"/>
                </w:tcPr>
                <w:p w14:paraId="584BAF90">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2.5</w:t>
                  </w:r>
                </w:p>
              </w:tc>
              <w:tc>
                <w:tcPr>
                  <w:tcW w:w="536" w:type="pct"/>
                  <w:vMerge w:val="continue"/>
                  <w:tcBorders>
                    <w:tl2br w:val="nil"/>
                    <w:tr2bl w:val="nil"/>
                  </w:tcBorders>
                  <w:noWrap w:val="0"/>
                  <w:vAlign w:val="center"/>
                </w:tcPr>
                <w:p w14:paraId="450A8292">
                  <w:pPr>
                    <w:pStyle w:val="49"/>
                    <w:spacing w:before="0"/>
                    <w:ind w:firstLine="360"/>
                    <w:rPr>
                      <w:rFonts w:hint="default" w:ascii="Times New Roman" w:hAnsi="Times New Roman" w:cs="Times New Roman"/>
                      <w:color w:val="auto"/>
                      <w:sz w:val="21"/>
                      <w:szCs w:val="21"/>
                      <w:highlight w:val="none"/>
                      <w:lang w:val="en-US" w:eastAsia="zh-CN"/>
                    </w:rPr>
                  </w:pPr>
                </w:p>
              </w:tc>
              <w:tc>
                <w:tcPr>
                  <w:tcW w:w="359" w:type="pct"/>
                  <w:tcBorders>
                    <w:tl2br w:val="nil"/>
                    <w:tr2bl w:val="nil"/>
                  </w:tcBorders>
                  <w:noWrap w:val="0"/>
                  <w:vAlign w:val="center"/>
                </w:tcPr>
                <w:p w14:paraId="4452B7E1">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55" w:type="pct"/>
                  <w:tcBorders>
                    <w:tl2br w:val="nil"/>
                    <w:tr2bl w:val="nil"/>
                  </w:tcBorders>
                  <w:noWrap w:val="0"/>
                  <w:vAlign w:val="center"/>
                </w:tcPr>
                <w:p w14:paraId="2EA99714">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4个月</w:t>
                  </w:r>
                </w:p>
              </w:tc>
              <w:tc>
                <w:tcPr>
                  <w:tcW w:w="487" w:type="pct"/>
                  <w:vMerge w:val="continue"/>
                  <w:tcBorders>
                    <w:tl2br w:val="nil"/>
                    <w:tr2bl w:val="nil"/>
                  </w:tcBorders>
                  <w:noWrap w:val="0"/>
                  <w:vAlign w:val="center"/>
                </w:tcPr>
                <w:p w14:paraId="7FBD0600">
                  <w:pPr>
                    <w:pStyle w:val="49"/>
                    <w:spacing w:before="0"/>
                    <w:ind w:firstLine="360"/>
                    <w:rPr>
                      <w:rFonts w:cs="宋体"/>
                      <w:color w:val="auto"/>
                      <w:sz w:val="21"/>
                      <w:szCs w:val="21"/>
                      <w:highlight w:val="none"/>
                      <w:lang w:val="en-US" w:eastAsia="zh-CN"/>
                    </w:rPr>
                  </w:pPr>
                </w:p>
              </w:tc>
            </w:tr>
            <w:tr w14:paraId="71A712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21F61263">
                  <w:pPr>
                    <w:pStyle w:val="49"/>
                    <w:spacing w:before="0"/>
                    <w:rPr>
                      <w:rFonts w:cs="宋体"/>
                      <w:color w:val="auto"/>
                      <w:sz w:val="21"/>
                      <w:szCs w:val="21"/>
                      <w:highlight w:val="none"/>
                      <w:lang w:val="en-US" w:eastAsia="zh-CN"/>
                    </w:rPr>
                  </w:pPr>
                  <w:r>
                    <w:rPr>
                      <w:rFonts w:hint="eastAsia" w:cs="宋体"/>
                      <w:color w:val="auto"/>
                      <w:sz w:val="21"/>
                      <w:szCs w:val="21"/>
                      <w:highlight w:val="none"/>
                      <w:lang w:val="en-US" w:eastAsia="zh-CN"/>
                    </w:rPr>
                    <w:t>5</w:t>
                  </w:r>
                </w:p>
              </w:tc>
              <w:tc>
                <w:tcPr>
                  <w:tcW w:w="606" w:type="pct"/>
                  <w:tcBorders>
                    <w:tl2br w:val="nil"/>
                    <w:tr2bl w:val="nil"/>
                  </w:tcBorders>
                  <w:noWrap w:val="0"/>
                  <w:vAlign w:val="center"/>
                </w:tcPr>
                <w:p w14:paraId="4B32FBF3">
                  <w:pPr>
                    <w:snapToGrid w:val="0"/>
                    <w:spacing w:line="276" w:lineRule="auto"/>
                    <w:jc w:val="center"/>
                    <w:rPr>
                      <w:rFonts w:ascii="Times New Roman" w:hAnsi="Times New Roman"/>
                      <w:color w:val="auto"/>
                      <w:kern w:val="0"/>
                      <w:sz w:val="21"/>
                      <w:szCs w:val="21"/>
                      <w:highlight w:val="none"/>
                    </w:rPr>
                  </w:pPr>
                  <w:r>
                    <w:rPr>
                      <w:rFonts w:hint="default" w:ascii="Times New Roman" w:hAnsi="Times New Roman" w:eastAsia="宋体" w:cs="Times New Roman"/>
                      <w:color w:val="auto"/>
                      <w:spacing w:val="-2"/>
                      <w:sz w:val="21"/>
                      <w:szCs w:val="21"/>
                      <w:highlight w:val="none"/>
                    </w:rPr>
                    <w:t>含</w:t>
                  </w:r>
                  <w:r>
                    <w:rPr>
                      <w:rFonts w:hint="eastAsia" w:ascii="Times New Roman" w:hAnsi="Times New Roman" w:eastAsia="宋体" w:cs="Times New Roman"/>
                      <w:color w:val="auto"/>
                      <w:spacing w:val="-2"/>
                      <w:sz w:val="21"/>
                      <w:szCs w:val="21"/>
                      <w:highlight w:val="none"/>
                      <w:lang w:eastAsia="zh-CN"/>
                    </w:rPr>
                    <w:t>高反射膜材料</w:t>
                  </w:r>
                  <w:r>
                    <w:rPr>
                      <w:rFonts w:hint="default" w:ascii="Times New Roman" w:hAnsi="Times New Roman" w:eastAsia="宋体" w:cs="Times New Roman"/>
                      <w:color w:val="auto"/>
                      <w:spacing w:val="-2"/>
                      <w:sz w:val="21"/>
                      <w:szCs w:val="21"/>
                      <w:highlight w:val="none"/>
                    </w:rPr>
                    <w:t>抹布</w:t>
                  </w:r>
                </w:p>
              </w:tc>
              <w:tc>
                <w:tcPr>
                  <w:tcW w:w="681" w:type="pct"/>
                  <w:tcBorders>
                    <w:tl2br w:val="nil"/>
                    <w:tr2bl w:val="nil"/>
                  </w:tcBorders>
                  <w:noWrap w:val="0"/>
                  <w:vAlign w:val="center"/>
                </w:tcPr>
                <w:p w14:paraId="5F62BBEB">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HW49</w:t>
                  </w:r>
                </w:p>
              </w:tc>
              <w:tc>
                <w:tcPr>
                  <w:tcW w:w="992" w:type="pct"/>
                  <w:tcBorders>
                    <w:tl2br w:val="nil"/>
                    <w:tr2bl w:val="nil"/>
                  </w:tcBorders>
                  <w:noWrap w:val="0"/>
                  <w:vAlign w:val="center"/>
                </w:tcPr>
                <w:p w14:paraId="10247D93">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900-0</w:t>
                  </w:r>
                  <w:r>
                    <w:rPr>
                      <w:rFonts w:hint="eastAsia" w:ascii="Times New Roman" w:hAnsi="Times New Roman"/>
                      <w:color w:val="auto"/>
                      <w:szCs w:val="21"/>
                      <w:highlight w:val="none"/>
                    </w:rPr>
                    <w:t>39</w:t>
                  </w:r>
                  <w:r>
                    <w:rPr>
                      <w:rFonts w:ascii="Times New Roman" w:hAnsi="Times New Roman"/>
                      <w:color w:val="auto"/>
                      <w:szCs w:val="21"/>
                      <w:highlight w:val="none"/>
                    </w:rPr>
                    <w:t>-49</w:t>
                  </w:r>
                </w:p>
              </w:tc>
              <w:tc>
                <w:tcPr>
                  <w:tcW w:w="591" w:type="pct"/>
                  <w:tcBorders>
                    <w:tl2br w:val="nil"/>
                    <w:tr2bl w:val="nil"/>
                  </w:tcBorders>
                  <w:noWrap w:val="0"/>
                  <w:vAlign w:val="center"/>
                </w:tcPr>
                <w:p w14:paraId="7E36211A">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536" w:type="pct"/>
                  <w:vMerge w:val="continue"/>
                  <w:tcBorders>
                    <w:tl2br w:val="nil"/>
                    <w:tr2bl w:val="nil"/>
                  </w:tcBorders>
                  <w:noWrap w:val="0"/>
                  <w:vAlign w:val="center"/>
                </w:tcPr>
                <w:p w14:paraId="36169DB4">
                  <w:pPr>
                    <w:pStyle w:val="49"/>
                    <w:spacing w:before="0"/>
                    <w:ind w:firstLine="360"/>
                    <w:rPr>
                      <w:rFonts w:hint="default" w:ascii="Times New Roman" w:hAnsi="Times New Roman" w:cs="Times New Roman"/>
                      <w:color w:val="auto"/>
                      <w:sz w:val="21"/>
                      <w:szCs w:val="21"/>
                      <w:highlight w:val="none"/>
                      <w:lang w:val="en-US" w:eastAsia="zh-CN"/>
                    </w:rPr>
                  </w:pPr>
                </w:p>
              </w:tc>
              <w:tc>
                <w:tcPr>
                  <w:tcW w:w="359" w:type="pct"/>
                  <w:tcBorders>
                    <w:tl2br w:val="nil"/>
                    <w:tr2bl w:val="nil"/>
                  </w:tcBorders>
                  <w:noWrap w:val="0"/>
                  <w:vAlign w:val="center"/>
                </w:tcPr>
                <w:p w14:paraId="1A89C6B5">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55" w:type="pct"/>
                  <w:tcBorders>
                    <w:tl2br w:val="nil"/>
                    <w:tr2bl w:val="nil"/>
                  </w:tcBorders>
                  <w:noWrap w:val="0"/>
                  <w:vAlign w:val="center"/>
                </w:tcPr>
                <w:p w14:paraId="18E05578">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1年</w:t>
                  </w:r>
                </w:p>
              </w:tc>
              <w:tc>
                <w:tcPr>
                  <w:tcW w:w="487" w:type="pct"/>
                  <w:vMerge w:val="continue"/>
                  <w:tcBorders>
                    <w:tl2br w:val="nil"/>
                    <w:tr2bl w:val="nil"/>
                  </w:tcBorders>
                  <w:noWrap w:val="0"/>
                  <w:vAlign w:val="center"/>
                </w:tcPr>
                <w:p w14:paraId="2AB0209C">
                  <w:pPr>
                    <w:pStyle w:val="49"/>
                    <w:spacing w:before="0"/>
                    <w:ind w:firstLine="360"/>
                    <w:rPr>
                      <w:rFonts w:cs="宋体"/>
                      <w:color w:val="auto"/>
                      <w:sz w:val="21"/>
                      <w:szCs w:val="21"/>
                      <w:highlight w:val="none"/>
                      <w:lang w:val="en-US" w:eastAsia="zh-CN"/>
                    </w:rPr>
                  </w:pPr>
                </w:p>
              </w:tc>
            </w:tr>
            <w:tr w14:paraId="610446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4FBD4450">
                  <w:pPr>
                    <w:pStyle w:val="49"/>
                    <w:spacing w:before="0"/>
                    <w:rPr>
                      <w:rFonts w:hint="default" w:cs="宋体"/>
                      <w:color w:val="auto"/>
                      <w:sz w:val="21"/>
                      <w:szCs w:val="21"/>
                      <w:highlight w:val="none"/>
                      <w:lang w:val="en-US" w:eastAsia="zh-CN"/>
                    </w:rPr>
                  </w:pPr>
                  <w:r>
                    <w:rPr>
                      <w:rFonts w:hint="eastAsia" w:cs="宋体"/>
                      <w:color w:val="auto"/>
                      <w:sz w:val="21"/>
                      <w:szCs w:val="21"/>
                      <w:highlight w:val="none"/>
                      <w:lang w:val="en-US" w:eastAsia="zh-CN"/>
                    </w:rPr>
                    <w:t>6</w:t>
                  </w:r>
                </w:p>
              </w:tc>
              <w:tc>
                <w:tcPr>
                  <w:tcW w:w="606" w:type="pct"/>
                  <w:tcBorders>
                    <w:tl2br w:val="nil"/>
                    <w:tr2bl w:val="nil"/>
                  </w:tcBorders>
                  <w:noWrap w:val="0"/>
                  <w:vAlign w:val="center"/>
                </w:tcPr>
                <w:p w14:paraId="57730497">
                  <w:pPr>
                    <w:snapToGrid w:val="0"/>
                    <w:spacing w:line="276"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废活性炭</w:t>
                  </w:r>
                </w:p>
              </w:tc>
              <w:tc>
                <w:tcPr>
                  <w:tcW w:w="681" w:type="pct"/>
                  <w:tcBorders>
                    <w:tl2br w:val="nil"/>
                    <w:tr2bl w:val="nil"/>
                  </w:tcBorders>
                  <w:noWrap w:val="0"/>
                  <w:vAlign w:val="center"/>
                </w:tcPr>
                <w:p w14:paraId="3D656080">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HW49</w:t>
                  </w:r>
                </w:p>
              </w:tc>
              <w:tc>
                <w:tcPr>
                  <w:tcW w:w="992" w:type="pct"/>
                  <w:tcBorders>
                    <w:tl2br w:val="nil"/>
                    <w:tr2bl w:val="nil"/>
                  </w:tcBorders>
                  <w:noWrap w:val="0"/>
                  <w:vAlign w:val="center"/>
                </w:tcPr>
                <w:p w14:paraId="61C21E77">
                  <w:pPr>
                    <w:adjustRightInd w:val="0"/>
                    <w:snapToGrid w:val="0"/>
                    <w:jc w:val="center"/>
                    <w:rPr>
                      <w:rFonts w:ascii="Times New Roman" w:hAnsi="Times New Roman"/>
                      <w:color w:val="auto"/>
                      <w:szCs w:val="21"/>
                      <w:highlight w:val="none"/>
                    </w:rPr>
                  </w:pPr>
                  <w:r>
                    <w:rPr>
                      <w:rFonts w:hint="default" w:ascii="Times New Roman" w:hAnsi="Times New Roman" w:eastAsia="宋体" w:cs="Times New Roman"/>
                      <w:color w:val="auto"/>
                      <w:sz w:val="24"/>
                      <w:szCs w:val="24"/>
                      <w:highlight w:val="none"/>
                    </w:rPr>
                    <w:t>900-039-49</w:t>
                  </w:r>
                </w:p>
              </w:tc>
              <w:tc>
                <w:tcPr>
                  <w:tcW w:w="591" w:type="pct"/>
                  <w:tcBorders>
                    <w:tl2br w:val="nil"/>
                    <w:tr2bl w:val="nil"/>
                  </w:tcBorders>
                  <w:noWrap w:val="0"/>
                  <w:vAlign w:val="center"/>
                </w:tcPr>
                <w:p w14:paraId="6B93D72F">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Cs w:val="21"/>
                      <w:highlight w:val="none"/>
                      <w:lang w:val="en-US" w:eastAsia="zh-CN"/>
                    </w:rPr>
                    <w:t>17.3</w:t>
                  </w:r>
                </w:p>
              </w:tc>
              <w:tc>
                <w:tcPr>
                  <w:tcW w:w="536" w:type="pct"/>
                  <w:vMerge w:val="continue"/>
                  <w:tcBorders>
                    <w:tl2br w:val="nil"/>
                    <w:tr2bl w:val="nil"/>
                  </w:tcBorders>
                  <w:noWrap w:val="0"/>
                  <w:vAlign w:val="center"/>
                </w:tcPr>
                <w:p w14:paraId="08BE0088">
                  <w:pPr>
                    <w:pStyle w:val="49"/>
                    <w:spacing w:before="0"/>
                    <w:ind w:firstLine="360"/>
                    <w:rPr>
                      <w:rFonts w:hint="default" w:ascii="Times New Roman" w:hAnsi="Times New Roman" w:cs="Times New Roman"/>
                      <w:color w:val="auto"/>
                      <w:sz w:val="21"/>
                      <w:szCs w:val="21"/>
                      <w:highlight w:val="none"/>
                      <w:lang w:val="en-US" w:eastAsia="zh-CN"/>
                    </w:rPr>
                  </w:pPr>
                </w:p>
              </w:tc>
              <w:tc>
                <w:tcPr>
                  <w:tcW w:w="359" w:type="pct"/>
                  <w:tcBorders>
                    <w:tl2br w:val="nil"/>
                    <w:tr2bl w:val="nil"/>
                  </w:tcBorders>
                  <w:noWrap w:val="0"/>
                  <w:vAlign w:val="center"/>
                </w:tcPr>
                <w:p w14:paraId="7E106DA5">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455" w:type="pct"/>
                  <w:tcBorders>
                    <w:tl2br w:val="nil"/>
                    <w:tr2bl w:val="nil"/>
                  </w:tcBorders>
                  <w:noWrap w:val="0"/>
                  <w:vAlign w:val="center"/>
                </w:tcPr>
                <w:p w14:paraId="0EBA00F1">
                  <w:pPr>
                    <w:pStyle w:val="49"/>
                    <w:spacing w:before="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个月</w:t>
                  </w:r>
                </w:p>
              </w:tc>
              <w:tc>
                <w:tcPr>
                  <w:tcW w:w="487" w:type="pct"/>
                  <w:vMerge w:val="continue"/>
                  <w:tcBorders>
                    <w:tl2br w:val="nil"/>
                    <w:tr2bl w:val="nil"/>
                  </w:tcBorders>
                  <w:noWrap w:val="0"/>
                  <w:vAlign w:val="center"/>
                </w:tcPr>
                <w:p w14:paraId="5BC5F385">
                  <w:pPr>
                    <w:pStyle w:val="49"/>
                    <w:spacing w:before="0"/>
                    <w:ind w:firstLine="360"/>
                    <w:rPr>
                      <w:rFonts w:cs="宋体"/>
                      <w:color w:val="auto"/>
                      <w:sz w:val="21"/>
                      <w:szCs w:val="21"/>
                      <w:highlight w:val="none"/>
                      <w:lang w:val="en-US" w:eastAsia="zh-CN"/>
                    </w:rPr>
                  </w:pPr>
                </w:p>
              </w:tc>
            </w:tr>
            <w:tr w14:paraId="4C0DB1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339116E4">
                  <w:pPr>
                    <w:pStyle w:val="49"/>
                    <w:spacing w:before="0"/>
                    <w:rPr>
                      <w:rFonts w:hint="default" w:cs="宋体"/>
                      <w:color w:val="auto"/>
                      <w:sz w:val="21"/>
                      <w:szCs w:val="21"/>
                      <w:highlight w:val="none"/>
                      <w:lang w:val="en-US" w:eastAsia="zh-CN"/>
                    </w:rPr>
                  </w:pPr>
                  <w:r>
                    <w:rPr>
                      <w:rFonts w:hint="eastAsia" w:cs="宋体"/>
                      <w:color w:val="auto"/>
                      <w:sz w:val="21"/>
                      <w:szCs w:val="21"/>
                      <w:highlight w:val="none"/>
                      <w:lang w:val="en-US" w:eastAsia="zh-CN"/>
                    </w:rPr>
                    <w:t>7</w:t>
                  </w:r>
                </w:p>
              </w:tc>
              <w:tc>
                <w:tcPr>
                  <w:tcW w:w="606" w:type="pct"/>
                  <w:tcBorders>
                    <w:tl2br w:val="nil"/>
                    <w:tr2bl w:val="nil"/>
                  </w:tcBorders>
                  <w:noWrap w:val="0"/>
                  <w:vAlign w:val="center"/>
                </w:tcPr>
                <w:p w14:paraId="66802412">
                  <w:pPr>
                    <w:snapToGrid w:val="0"/>
                    <w:spacing w:line="276"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废印版</w:t>
                  </w:r>
                </w:p>
              </w:tc>
              <w:tc>
                <w:tcPr>
                  <w:tcW w:w="681" w:type="pct"/>
                  <w:tcBorders>
                    <w:tl2br w:val="nil"/>
                    <w:tr2bl w:val="nil"/>
                  </w:tcBorders>
                  <w:noWrap w:val="0"/>
                  <w:vAlign w:val="center"/>
                </w:tcPr>
                <w:p w14:paraId="651D6FFF">
                  <w:pPr>
                    <w:adjustRightInd w:val="0"/>
                    <w:snapToGrid w:val="0"/>
                    <w:jc w:val="center"/>
                    <w:rPr>
                      <w:rFonts w:ascii="Times New Roman" w:hAnsi="Times New Roman"/>
                      <w:color w:val="auto"/>
                      <w:kern w:val="2"/>
                      <w:sz w:val="21"/>
                      <w:szCs w:val="21"/>
                      <w:highlight w:val="none"/>
                      <w:lang w:val="en-US" w:eastAsia="zh-CN" w:bidi="ar-SA"/>
                    </w:rPr>
                  </w:pPr>
                  <w:r>
                    <w:rPr>
                      <w:rFonts w:ascii="Times New Roman" w:hAnsi="Times New Roman"/>
                      <w:color w:val="auto"/>
                      <w:szCs w:val="21"/>
                      <w:highlight w:val="none"/>
                    </w:rPr>
                    <w:t>HW</w:t>
                  </w:r>
                  <w:r>
                    <w:rPr>
                      <w:rFonts w:hint="eastAsia" w:ascii="Times New Roman" w:hAnsi="Times New Roman"/>
                      <w:color w:val="auto"/>
                      <w:szCs w:val="21"/>
                      <w:highlight w:val="none"/>
                    </w:rPr>
                    <w:t>09</w:t>
                  </w:r>
                </w:p>
              </w:tc>
              <w:tc>
                <w:tcPr>
                  <w:tcW w:w="992" w:type="pct"/>
                  <w:tcBorders>
                    <w:tl2br w:val="nil"/>
                    <w:tr2bl w:val="nil"/>
                  </w:tcBorders>
                  <w:noWrap w:val="0"/>
                  <w:vAlign w:val="center"/>
                </w:tcPr>
                <w:p w14:paraId="2AF1210E">
                  <w:pPr>
                    <w:adjustRightInd w:val="0"/>
                    <w:snapToGrid w:val="0"/>
                    <w:jc w:val="center"/>
                    <w:rPr>
                      <w:rFonts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rPr>
                    <w:t>900-006-09</w:t>
                  </w:r>
                </w:p>
              </w:tc>
              <w:tc>
                <w:tcPr>
                  <w:tcW w:w="591" w:type="pct"/>
                  <w:tcBorders>
                    <w:tl2br w:val="nil"/>
                    <w:tr2bl w:val="nil"/>
                  </w:tcBorders>
                  <w:noWrap w:val="0"/>
                  <w:vAlign w:val="center"/>
                </w:tcPr>
                <w:p w14:paraId="6338D38A">
                  <w:pPr>
                    <w:snapToGrid w:val="0"/>
                    <w:spacing w:line="276"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0.1</w:t>
                  </w:r>
                </w:p>
              </w:tc>
              <w:tc>
                <w:tcPr>
                  <w:tcW w:w="536" w:type="pct"/>
                  <w:vMerge w:val="continue"/>
                  <w:tcBorders>
                    <w:tl2br w:val="nil"/>
                    <w:tr2bl w:val="nil"/>
                  </w:tcBorders>
                  <w:noWrap w:val="0"/>
                  <w:vAlign w:val="center"/>
                </w:tcPr>
                <w:p w14:paraId="2509EAED">
                  <w:pPr>
                    <w:pStyle w:val="49"/>
                    <w:spacing w:before="0"/>
                    <w:ind w:firstLine="360"/>
                    <w:rPr>
                      <w:rFonts w:hint="default" w:ascii="Times New Roman" w:hAnsi="Times New Roman" w:cs="Times New Roman"/>
                      <w:color w:val="auto"/>
                      <w:sz w:val="21"/>
                      <w:szCs w:val="21"/>
                      <w:highlight w:val="none"/>
                      <w:lang w:val="en-US" w:eastAsia="zh-CN"/>
                    </w:rPr>
                  </w:pPr>
                </w:p>
              </w:tc>
              <w:tc>
                <w:tcPr>
                  <w:tcW w:w="359" w:type="pct"/>
                  <w:tcBorders>
                    <w:tl2br w:val="nil"/>
                    <w:tr2bl w:val="nil"/>
                  </w:tcBorders>
                  <w:noWrap w:val="0"/>
                  <w:vAlign w:val="center"/>
                </w:tcPr>
                <w:p w14:paraId="205F2F96">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c>
                <w:tcPr>
                  <w:tcW w:w="455" w:type="pct"/>
                  <w:tcBorders>
                    <w:tl2br w:val="nil"/>
                    <w:tr2bl w:val="nil"/>
                  </w:tcBorders>
                  <w:noWrap w:val="0"/>
                  <w:vAlign w:val="center"/>
                </w:tcPr>
                <w:p w14:paraId="651EC4DA">
                  <w:pPr>
                    <w:pStyle w:val="49"/>
                    <w:spacing w:before="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1年</w:t>
                  </w:r>
                </w:p>
              </w:tc>
              <w:tc>
                <w:tcPr>
                  <w:tcW w:w="487" w:type="pct"/>
                  <w:vMerge w:val="continue"/>
                  <w:tcBorders>
                    <w:tl2br w:val="nil"/>
                    <w:tr2bl w:val="nil"/>
                  </w:tcBorders>
                  <w:noWrap w:val="0"/>
                  <w:vAlign w:val="center"/>
                </w:tcPr>
                <w:p w14:paraId="399AC3A2">
                  <w:pPr>
                    <w:pStyle w:val="49"/>
                    <w:spacing w:before="0"/>
                    <w:ind w:firstLine="360"/>
                    <w:rPr>
                      <w:rFonts w:cs="宋体"/>
                      <w:color w:val="auto"/>
                      <w:sz w:val="21"/>
                      <w:szCs w:val="21"/>
                      <w:highlight w:val="none"/>
                      <w:lang w:val="en-US" w:eastAsia="zh-CN"/>
                    </w:rPr>
                  </w:pPr>
                </w:p>
              </w:tc>
            </w:tr>
          </w:tbl>
          <w:p w14:paraId="497839A3">
            <w:pPr>
              <w:spacing w:line="360" w:lineRule="auto"/>
              <w:ind w:firstLine="482" w:firstLineChars="200"/>
              <w:rPr>
                <w:rFonts w:ascii="Times New Roman" w:hAnsi="Times New Roman"/>
                <w:color w:val="auto"/>
                <w:sz w:val="24"/>
                <w:szCs w:val="24"/>
                <w:highlight w:val="none"/>
              </w:rPr>
            </w:pPr>
            <w:r>
              <w:rPr>
                <w:rFonts w:ascii="Times New Roman" w:hAnsi="宋体"/>
                <w:b/>
                <w:bCs/>
                <w:color w:val="auto"/>
                <w:sz w:val="24"/>
                <w:szCs w:val="24"/>
                <w:highlight w:val="none"/>
              </w:rPr>
              <w:t>运营期固废环境保护措施</w:t>
            </w:r>
          </w:p>
          <w:p w14:paraId="1D0CB653">
            <w:pPr>
              <w:spacing w:line="360" w:lineRule="auto"/>
              <w:ind w:firstLine="480" w:firstLineChars="200"/>
              <w:rPr>
                <w:rFonts w:ascii="Times New Roman" w:hAnsi="Times New Roman"/>
                <w:color w:val="auto"/>
                <w:sz w:val="24"/>
                <w:szCs w:val="24"/>
                <w:highlight w:val="none"/>
              </w:rPr>
            </w:pPr>
            <w:r>
              <w:rPr>
                <w:rFonts w:ascii="Times New Roman" w:hAnsi="宋体"/>
                <w:color w:val="auto"/>
                <w:sz w:val="24"/>
                <w:szCs w:val="24"/>
                <w:highlight w:val="none"/>
              </w:rPr>
              <w:t>（</w:t>
            </w:r>
            <w:r>
              <w:rPr>
                <w:rFonts w:ascii="Times New Roman" w:hAnsi="Times New Roman"/>
                <w:color w:val="auto"/>
                <w:sz w:val="24"/>
                <w:szCs w:val="24"/>
                <w:highlight w:val="none"/>
              </w:rPr>
              <w:t>1</w:t>
            </w:r>
            <w:r>
              <w:rPr>
                <w:rFonts w:ascii="Times New Roman" w:hAnsi="宋体"/>
                <w:color w:val="auto"/>
                <w:sz w:val="24"/>
                <w:szCs w:val="24"/>
                <w:highlight w:val="none"/>
              </w:rPr>
              <w:t>）贮存场所（设施）污染防治设施</w:t>
            </w:r>
          </w:p>
          <w:p w14:paraId="0F2BF196">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所有纳入危险废物范畴的固体废物在企业内的存放地设置符合《危险废物贮存污染控制标准》（</w:t>
            </w:r>
            <w:r>
              <w:rPr>
                <w:rFonts w:ascii="Times New Roman" w:hAnsi="Times New Roman"/>
                <w:color w:val="auto"/>
                <w:sz w:val="24"/>
                <w:highlight w:val="none"/>
              </w:rPr>
              <w:t>GB18597-20</w:t>
            </w:r>
            <w:r>
              <w:rPr>
                <w:rFonts w:hint="eastAsia" w:ascii="Times New Roman" w:hAnsi="Times New Roman"/>
                <w:color w:val="auto"/>
                <w:sz w:val="24"/>
                <w:highlight w:val="none"/>
              </w:rPr>
              <w:t>23</w:t>
            </w:r>
            <w:r>
              <w:rPr>
                <w:rFonts w:ascii="Times New Roman" w:hAnsi="宋体"/>
                <w:color w:val="auto"/>
                <w:sz w:val="24"/>
                <w:highlight w:val="none"/>
              </w:rPr>
              <w:t>）的专用标志。危险废物必须使用专用的容器贮存，除非在常温常压下不水解、不挥发的固体危险废物可在贮存设施内分别堆放。贮存容器应有明显标志，并且标明废物的特性，是否具有耐腐蚀、与所贮存的废物发生反应等特性。贮存场所严格按照</w:t>
            </w:r>
            <w:r>
              <w:rPr>
                <w:rFonts w:ascii="Times New Roman" w:hAnsi="Times New Roman"/>
                <w:color w:val="auto"/>
                <w:sz w:val="24"/>
                <w:highlight w:val="none"/>
              </w:rPr>
              <w:t>“</w:t>
            </w:r>
            <w:r>
              <w:rPr>
                <w:rFonts w:ascii="Times New Roman" w:hAnsi="宋体"/>
                <w:color w:val="auto"/>
                <w:sz w:val="24"/>
                <w:highlight w:val="none"/>
              </w:rPr>
              <w:t>四防</w:t>
            </w:r>
            <w:r>
              <w:rPr>
                <w:rFonts w:ascii="Times New Roman" w:hAnsi="Times New Roman"/>
                <w:color w:val="auto"/>
                <w:sz w:val="24"/>
                <w:highlight w:val="none"/>
              </w:rPr>
              <w:t>”</w:t>
            </w:r>
            <w:r>
              <w:rPr>
                <w:rFonts w:ascii="Times New Roman" w:hAnsi="宋体"/>
                <w:color w:val="auto"/>
                <w:sz w:val="24"/>
                <w:highlight w:val="none"/>
              </w:rPr>
              <w:t>（防风、防雨、防晒、防渗漏）要求进行设置，有集排水设施且贮存场所符合消防要求，贮存场所内采用安全照明设施，并设置观察窗口。</w:t>
            </w:r>
          </w:p>
          <w:p w14:paraId="6F571AEF">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①</w:t>
            </w:r>
            <w:r>
              <w:rPr>
                <w:rFonts w:ascii="Times New Roman" w:hAnsi="宋体"/>
                <w:color w:val="auto"/>
                <w:sz w:val="24"/>
                <w:highlight w:val="none"/>
              </w:rPr>
              <w:t>一般固废暂存</w:t>
            </w:r>
            <w:r>
              <w:rPr>
                <w:rFonts w:hint="eastAsia" w:ascii="Times New Roman" w:hAnsi="宋体"/>
                <w:color w:val="auto"/>
                <w:sz w:val="24"/>
                <w:highlight w:val="none"/>
              </w:rPr>
              <w:t>间</w:t>
            </w:r>
          </w:p>
          <w:p w14:paraId="0D7ABC79">
            <w:pPr>
              <w:spacing w:line="360" w:lineRule="auto"/>
              <w:ind w:firstLine="480" w:firstLineChars="200"/>
              <w:rPr>
                <w:rFonts w:ascii="Times New Roman" w:hAnsi="宋体"/>
                <w:color w:val="auto"/>
                <w:sz w:val="24"/>
                <w:highlight w:val="none"/>
              </w:rPr>
            </w:pPr>
            <w:r>
              <w:rPr>
                <w:rFonts w:hint="eastAsia" w:ascii="Times New Roman" w:hAnsi="宋体"/>
                <w:color w:val="auto"/>
                <w:sz w:val="24"/>
                <w:highlight w:val="none"/>
              </w:rPr>
              <w:t>一般固废暂存间参照《一般工业固体废物贮存和填埋污染控制标准》</w:t>
            </w:r>
            <w:r>
              <w:rPr>
                <w:rFonts w:hint="eastAsia" w:ascii="Times New Roman" w:hAnsi="宋体"/>
                <w:color w:val="auto"/>
                <w:sz w:val="24"/>
                <w:highlight w:val="none"/>
                <w:lang w:eastAsia="zh-CN"/>
              </w:rPr>
              <w:t>（</w:t>
            </w:r>
            <w:r>
              <w:rPr>
                <w:rFonts w:hint="eastAsia" w:ascii="Times New Roman" w:hAnsi="宋体"/>
                <w:color w:val="auto"/>
                <w:sz w:val="24"/>
                <w:highlight w:val="none"/>
              </w:rPr>
              <w:t>GB18599-2020</w:t>
            </w:r>
            <w:r>
              <w:rPr>
                <w:rFonts w:hint="eastAsia" w:ascii="Times New Roman" w:hAnsi="宋体"/>
                <w:color w:val="auto"/>
                <w:sz w:val="24"/>
                <w:highlight w:val="none"/>
                <w:lang w:eastAsia="zh-CN"/>
              </w:rPr>
              <w:t>）</w:t>
            </w:r>
            <w:r>
              <w:rPr>
                <w:rFonts w:hint="eastAsia" w:ascii="Times New Roman" w:hAnsi="宋体"/>
                <w:color w:val="auto"/>
                <w:sz w:val="24"/>
                <w:highlight w:val="none"/>
              </w:rPr>
              <w:t>要求设置，一般工业固体废物不得露天堆放，应做好防风、防雨、防晒设施，防外水入侵要求。</w:t>
            </w:r>
          </w:p>
          <w:p w14:paraId="086783D4">
            <w:pPr>
              <w:spacing w:line="360" w:lineRule="auto"/>
              <w:ind w:firstLine="480" w:firstLineChars="200"/>
              <w:rPr>
                <w:rFonts w:hint="eastAsia" w:ascii="Times New Roman" w:hAnsi="Times New Roman" w:eastAsia="宋体"/>
                <w:color w:val="auto"/>
                <w:sz w:val="24"/>
                <w:highlight w:val="none"/>
                <w:lang w:eastAsia="zh-CN"/>
              </w:rPr>
            </w:pPr>
            <w:r>
              <w:rPr>
                <w:rFonts w:hint="eastAsia" w:ascii="宋体" w:hAnsi="宋体" w:cs="宋体"/>
                <w:color w:val="auto"/>
                <w:sz w:val="24"/>
                <w:highlight w:val="none"/>
              </w:rPr>
              <w:t>②</w:t>
            </w:r>
            <w:r>
              <w:rPr>
                <w:rFonts w:hint="eastAsia" w:ascii="Times New Roman" w:hAnsi="宋体"/>
                <w:color w:val="auto"/>
                <w:sz w:val="24"/>
                <w:highlight w:val="none"/>
                <w:lang w:eastAsia="zh-CN"/>
              </w:rPr>
              <w:t>危废库</w:t>
            </w:r>
          </w:p>
          <w:p w14:paraId="060913DB">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a</w:t>
            </w:r>
            <w:r>
              <w:rPr>
                <w:rFonts w:ascii="Times New Roman" w:hAnsi="宋体"/>
                <w:color w:val="auto"/>
                <w:sz w:val="24"/>
                <w:highlight w:val="none"/>
              </w:rPr>
              <w:t>、库房内部各类危废划区堆放；同时应建有堵截泄漏的裙脚；地面与裙脚要用坚固防渗的材料建造；应有隔离设施、报警装置和防风、防晒、防雨设施。</w:t>
            </w:r>
          </w:p>
          <w:p w14:paraId="40D3E5F5">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b</w:t>
            </w:r>
            <w:r>
              <w:rPr>
                <w:rFonts w:ascii="Times New Roman" w:hAnsi="宋体"/>
                <w:color w:val="auto"/>
                <w:sz w:val="24"/>
                <w:highlight w:val="none"/>
              </w:rPr>
              <w:t>、各类危废干湿分区，不同种类危废存放区域贴</w:t>
            </w:r>
            <w:r>
              <w:rPr>
                <w:rFonts w:ascii="Times New Roman" w:hAnsi="Times New Roman"/>
                <w:color w:val="auto"/>
                <w:sz w:val="24"/>
                <w:highlight w:val="none"/>
              </w:rPr>
              <w:t>/</w:t>
            </w:r>
            <w:r>
              <w:rPr>
                <w:rFonts w:ascii="Times New Roman" w:hAnsi="宋体"/>
                <w:color w:val="auto"/>
                <w:sz w:val="24"/>
                <w:highlight w:val="none"/>
              </w:rPr>
              <w:t>挂</w:t>
            </w:r>
            <w:r>
              <w:rPr>
                <w:rFonts w:hint="eastAsia" w:ascii="Times New Roman" w:hAnsi="宋体"/>
                <w:color w:val="auto"/>
                <w:sz w:val="24"/>
                <w:highlight w:val="none"/>
              </w:rPr>
              <w:t>标识</w:t>
            </w:r>
            <w:r>
              <w:rPr>
                <w:rFonts w:ascii="Times New Roman" w:hAnsi="宋体"/>
                <w:color w:val="auto"/>
                <w:sz w:val="24"/>
                <w:highlight w:val="none"/>
              </w:rPr>
              <w:t>标牌。</w:t>
            </w:r>
          </w:p>
          <w:p w14:paraId="7A3CFE75">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c</w:t>
            </w:r>
            <w:r>
              <w:rPr>
                <w:rFonts w:ascii="Times New Roman" w:hAnsi="宋体"/>
                <w:color w:val="auto"/>
                <w:sz w:val="24"/>
                <w:highlight w:val="none"/>
              </w:rPr>
              <w:t>、干区进行地面硬化；湿区地面进行防腐、防渗处理，参照《危险废物贮存污染控制标准》（</w:t>
            </w:r>
            <w:r>
              <w:rPr>
                <w:rFonts w:ascii="Times New Roman" w:hAnsi="Times New Roman"/>
                <w:color w:val="auto"/>
                <w:sz w:val="24"/>
                <w:highlight w:val="none"/>
              </w:rPr>
              <w:t>GB18597-20</w:t>
            </w:r>
            <w:r>
              <w:rPr>
                <w:rFonts w:hint="eastAsia" w:ascii="Times New Roman" w:hAnsi="Times New Roman"/>
                <w:color w:val="auto"/>
                <w:sz w:val="24"/>
                <w:highlight w:val="none"/>
              </w:rPr>
              <w:t>23</w:t>
            </w:r>
            <w:r>
              <w:rPr>
                <w:rFonts w:ascii="Times New Roman" w:hAnsi="宋体"/>
                <w:color w:val="auto"/>
                <w:sz w:val="24"/>
                <w:highlight w:val="none"/>
              </w:rPr>
              <w:t>）相关要求，基础防渗层为黏土层时，其厚度应达</w:t>
            </w:r>
            <w:r>
              <w:rPr>
                <w:rFonts w:ascii="Times New Roman" w:hAnsi="Times New Roman"/>
                <w:color w:val="auto"/>
                <w:sz w:val="24"/>
                <w:highlight w:val="none"/>
              </w:rPr>
              <w:t>1m</w:t>
            </w:r>
            <w:r>
              <w:rPr>
                <w:rFonts w:ascii="Times New Roman" w:hAnsi="宋体"/>
                <w:color w:val="auto"/>
                <w:sz w:val="24"/>
                <w:highlight w:val="none"/>
              </w:rPr>
              <w:t>以上，渗透系数应小于</w:t>
            </w:r>
            <w:r>
              <w:rPr>
                <w:rFonts w:ascii="Times New Roman" w:hAnsi="Times New Roman"/>
                <w:color w:val="auto"/>
                <w:sz w:val="24"/>
                <w:highlight w:val="none"/>
              </w:rPr>
              <w:t>10</w:t>
            </w:r>
            <w:r>
              <w:rPr>
                <w:rFonts w:ascii="Times New Roman" w:hAnsi="Times New Roman"/>
                <w:color w:val="auto"/>
                <w:sz w:val="24"/>
                <w:highlight w:val="none"/>
                <w:vertAlign w:val="superscript"/>
              </w:rPr>
              <w:t>-7</w:t>
            </w:r>
            <w:r>
              <w:rPr>
                <w:rFonts w:ascii="Times New Roman" w:hAnsi="Times New Roman"/>
                <w:color w:val="auto"/>
                <w:sz w:val="24"/>
                <w:highlight w:val="none"/>
              </w:rPr>
              <w:t>cm/s</w:t>
            </w:r>
            <w:r>
              <w:rPr>
                <w:rFonts w:ascii="Times New Roman" w:hAnsi="宋体"/>
                <w:color w:val="auto"/>
                <w:sz w:val="24"/>
                <w:highlight w:val="none"/>
              </w:rPr>
              <w:t>；基础防渗层亦可用厚度</w:t>
            </w:r>
            <w:r>
              <w:rPr>
                <w:rFonts w:ascii="Times New Roman" w:hAnsi="Times New Roman"/>
                <w:color w:val="auto"/>
                <w:sz w:val="24"/>
                <w:highlight w:val="none"/>
              </w:rPr>
              <w:t>2mm</w:t>
            </w:r>
            <w:r>
              <w:rPr>
                <w:rFonts w:ascii="Times New Roman" w:hAnsi="宋体"/>
                <w:color w:val="auto"/>
                <w:sz w:val="24"/>
                <w:highlight w:val="none"/>
              </w:rPr>
              <w:t>以上的高密度聚乙烯和其他人工防渗材料组成，渗透系数应小于</w:t>
            </w:r>
            <w:r>
              <w:rPr>
                <w:rFonts w:ascii="Times New Roman" w:hAnsi="Times New Roman"/>
                <w:color w:val="auto"/>
                <w:sz w:val="24"/>
                <w:highlight w:val="none"/>
              </w:rPr>
              <w:t>10</w:t>
            </w:r>
            <w:r>
              <w:rPr>
                <w:rFonts w:ascii="Times New Roman" w:hAnsi="Times New Roman"/>
                <w:color w:val="auto"/>
                <w:sz w:val="24"/>
                <w:highlight w:val="none"/>
                <w:vertAlign w:val="superscript"/>
              </w:rPr>
              <w:t>-1</w:t>
            </w:r>
            <w:r>
              <w:rPr>
                <w:rFonts w:hint="eastAsia" w:ascii="Times New Roman" w:hAnsi="Times New Roman"/>
                <w:color w:val="auto"/>
                <w:sz w:val="24"/>
                <w:highlight w:val="none"/>
                <w:vertAlign w:val="superscript"/>
              </w:rPr>
              <w:t>0</w:t>
            </w:r>
            <w:r>
              <w:rPr>
                <w:rFonts w:ascii="Times New Roman" w:hAnsi="Times New Roman"/>
                <w:color w:val="auto"/>
                <w:sz w:val="24"/>
                <w:highlight w:val="none"/>
              </w:rPr>
              <w:t>cm/s</w:t>
            </w:r>
            <w:r>
              <w:rPr>
                <w:rFonts w:ascii="Times New Roman" w:hAnsi="宋体"/>
                <w:color w:val="auto"/>
                <w:sz w:val="24"/>
                <w:highlight w:val="none"/>
              </w:rPr>
              <w:t>。</w:t>
            </w:r>
          </w:p>
          <w:p w14:paraId="598EBF0E">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d</w:t>
            </w:r>
            <w:r>
              <w:rPr>
                <w:rFonts w:ascii="Times New Roman" w:hAnsi="宋体"/>
                <w:color w:val="auto"/>
                <w:sz w:val="24"/>
                <w:highlight w:val="none"/>
              </w:rPr>
              <w:t>、湿区出入口设置围挡，内部地面四周设渗滤液收集沟并汇流于一处收集槽，内置空桶，用于收集日常产生的少量渗滤液，收集后做危废处置。</w:t>
            </w:r>
          </w:p>
          <w:p w14:paraId="6525ACE7">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e</w:t>
            </w:r>
            <w:r>
              <w:rPr>
                <w:rFonts w:ascii="Times New Roman" w:hAnsi="宋体"/>
                <w:color w:val="auto"/>
                <w:sz w:val="24"/>
                <w:highlight w:val="none"/>
              </w:rPr>
              <w:t>、暂存区外围周边贴挂明显的</w:t>
            </w:r>
            <w:r>
              <w:rPr>
                <w:rFonts w:hint="eastAsia" w:ascii="Times New Roman" w:hAnsi="宋体"/>
                <w:color w:val="auto"/>
                <w:sz w:val="24"/>
                <w:highlight w:val="none"/>
              </w:rPr>
              <w:t>标识</w:t>
            </w:r>
            <w:r>
              <w:rPr>
                <w:rFonts w:ascii="Times New Roman" w:hAnsi="宋体"/>
                <w:color w:val="auto"/>
                <w:sz w:val="24"/>
                <w:highlight w:val="none"/>
              </w:rPr>
              <w:t>标牌，注明主要暂存危废的种类、数量、危废编号等信息。</w:t>
            </w:r>
          </w:p>
          <w:p w14:paraId="2E719A8A">
            <w:pPr>
              <w:spacing w:line="360" w:lineRule="auto"/>
              <w:ind w:firstLine="480" w:firstLineChars="200"/>
              <w:rPr>
                <w:rFonts w:ascii="Times New Roman" w:hAnsi="Times New Roman"/>
                <w:color w:val="auto"/>
                <w:sz w:val="24"/>
                <w:highlight w:val="none"/>
              </w:rPr>
            </w:pPr>
            <w:r>
              <w:rPr>
                <w:rFonts w:hint="eastAsia" w:ascii="Times New Roman" w:hAnsi="宋体"/>
                <w:color w:val="auto"/>
                <w:sz w:val="24"/>
                <w:highlight w:val="none"/>
              </w:rPr>
              <w:t>f</w:t>
            </w:r>
            <w:r>
              <w:rPr>
                <w:rFonts w:ascii="Times New Roman" w:hAnsi="宋体"/>
                <w:color w:val="auto"/>
                <w:sz w:val="24"/>
                <w:highlight w:val="none"/>
              </w:rPr>
              <w:t>、合理选择危废包装物。危废贮存容器、材质满足相应的强度要求，日常确保完好无损；容器材质和衬里与危险废物相容；盛装液体废物的桶开孔直径应不超过</w:t>
            </w:r>
            <w:r>
              <w:rPr>
                <w:rFonts w:ascii="Times New Roman" w:hAnsi="Times New Roman"/>
                <w:color w:val="auto"/>
                <w:sz w:val="24"/>
                <w:highlight w:val="none"/>
              </w:rPr>
              <w:t>70mm</w:t>
            </w:r>
            <w:r>
              <w:rPr>
                <w:rFonts w:ascii="Times New Roman" w:hAnsi="宋体"/>
                <w:color w:val="auto"/>
                <w:sz w:val="24"/>
                <w:highlight w:val="none"/>
              </w:rPr>
              <w:t>，并有放气孔。</w:t>
            </w:r>
          </w:p>
          <w:p w14:paraId="3BD7BFCD">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w:t>
            </w:r>
            <w:r>
              <w:rPr>
                <w:rFonts w:ascii="Times New Roman" w:hAnsi="Times New Roman"/>
                <w:color w:val="auto"/>
                <w:sz w:val="24"/>
                <w:highlight w:val="none"/>
              </w:rPr>
              <w:t>2</w:t>
            </w:r>
            <w:r>
              <w:rPr>
                <w:rFonts w:ascii="Times New Roman" w:hAnsi="宋体"/>
                <w:color w:val="auto"/>
                <w:sz w:val="24"/>
                <w:highlight w:val="none"/>
              </w:rPr>
              <w:t>）运输过程污染防治措施</w:t>
            </w:r>
          </w:p>
          <w:p w14:paraId="730604D2">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项目所处理的危险废物采用专门的车辆，密闭运输，严格禁止抛洒滴漏，杜绝在运输过程中造成环境的二次污染。在危险废物的运输中执行《危险废物转移联单管理办法》中有关的规定和要求。</w:t>
            </w:r>
          </w:p>
          <w:p w14:paraId="039D5808">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w:t>
            </w:r>
            <w:r>
              <w:rPr>
                <w:rFonts w:ascii="Times New Roman" w:hAnsi="Times New Roman"/>
                <w:color w:val="auto"/>
                <w:sz w:val="24"/>
                <w:highlight w:val="none"/>
              </w:rPr>
              <w:t>3</w:t>
            </w:r>
            <w:r>
              <w:rPr>
                <w:rFonts w:ascii="Times New Roman" w:hAnsi="宋体"/>
                <w:color w:val="auto"/>
                <w:sz w:val="24"/>
                <w:highlight w:val="none"/>
              </w:rPr>
              <w:t>）日常管理要求</w:t>
            </w:r>
          </w:p>
          <w:p w14:paraId="60E78FF3">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项目固废处置时，尽可能采用减量化、资源化利用措施。委托处置的应与处置单位签订委托处理合同，报</w:t>
            </w:r>
            <w:r>
              <w:rPr>
                <w:rFonts w:hint="eastAsia" w:ascii="Times New Roman" w:hAnsi="宋体"/>
                <w:color w:val="auto"/>
                <w:sz w:val="24"/>
                <w:highlight w:val="none"/>
              </w:rPr>
              <w:t>生态环境</w:t>
            </w:r>
            <w:r>
              <w:rPr>
                <w:rFonts w:ascii="Times New Roman" w:hAnsi="宋体"/>
                <w:color w:val="auto"/>
                <w:sz w:val="24"/>
                <w:highlight w:val="none"/>
              </w:rPr>
              <w:t>主管部门备案。危险废物转移需执行报批和转移联单等制度。各固废在外运处置前，须在厂内安全暂存，确保固废不产生二次污染。</w:t>
            </w:r>
          </w:p>
          <w:p w14:paraId="22CFEAAD">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①</w:t>
            </w:r>
            <w:r>
              <w:rPr>
                <w:rFonts w:ascii="Times New Roman" w:hAnsi="宋体"/>
                <w:color w:val="auto"/>
                <w:sz w:val="24"/>
                <w:highlight w:val="none"/>
              </w:rPr>
              <w:t>履行申报登记制度；</w:t>
            </w:r>
          </w:p>
          <w:p w14:paraId="1810DA4E">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②</w:t>
            </w:r>
            <w:r>
              <w:rPr>
                <w:rFonts w:ascii="Times New Roman" w:hAnsi="宋体"/>
                <w:color w:val="auto"/>
                <w:sz w:val="24"/>
                <w:highlight w:val="none"/>
              </w:rPr>
              <w:t>建立台账管理制度，企业须做好危险废物情况的记录，记录上需注明危险废物的名称、来源、数量、特性和包装容器的类别；</w:t>
            </w:r>
          </w:p>
          <w:p w14:paraId="3A93D9E7">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③</w:t>
            </w:r>
            <w:r>
              <w:rPr>
                <w:rFonts w:ascii="Times New Roman" w:hAnsi="宋体"/>
                <w:color w:val="auto"/>
                <w:sz w:val="24"/>
                <w:highlight w:val="none"/>
              </w:rPr>
              <w:t>委托处置应执行报批和转移联单等制度；</w:t>
            </w:r>
          </w:p>
          <w:p w14:paraId="5BAB80D7">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④</w:t>
            </w:r>
            <w:r>
              <w:rPr>
                <w:rFonts w:ascii="Times New Roman" w:hAnsi="宋体"/>
                <w:color w:val="auto"/>
                <w:sz w:val="24"/>
                <w:highlight w:val="none"/>
              </w:rPr>
              <w:t>定期对暂存的危险废物包装容器及贮存设施进行检查，及早发现破损，及时采取措施清理更换；</w:t>
            </w:r>
          </w:p>
          <w:p w14:paraId="286F5EF6">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⑤</w:t>
            </w:r>
            <w:r>
              <w:rPr>
                <w:rFonts w:ascii="Times New Roman" w:hAnsi="宋体"/>
                <w:color w:val="auto"/>
                <w:sz w:val="24"/>
                <w:highlight w:val="none"/>
              </w:rPr>
              <w:t>直接从事收集、贮存、运输、利用、处置危险废物的人员，应当接受专业培训，经考核合格，方可从事该项工作；</w:t>
            </w:r>
          </w:p>
          <w:p w14:paraId="39DC049F">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⑥</w:t>
            </w:r>
            <w:r>
              <w:rPr>
                <w:rFonts w:ascii="Times New Roman" w:hAnsi="宋体"/>
                <w:color w:val="auto"/>
                <w:sz w:val="24"/>
                <w:highlight w:val="none"/>
              </w:rPr>
              <w:t>固废贮存（处置）场所规范化设置，固体废物贮存</w:t>
            </w:r>
            <w:r>
              <w:rPr>
                <w:rFonts w:ascii="Times New Roman" w:hAnsi="Times New Roman"/>
                <w:color w:val="auto"/>
                <w:sz w:val="24"/>
                <w:highlight w:val="none"/>
              </w:rPr>
              <w:t>（</w:t>
            </w:r>
            <w:r>
              <w:rPr>
                <w:rFonts w:ascii="Times New Roman" w:hAnsi="宋体"/>
                <w:color w:val="auto"/>
                <w:sz w:val="24"/>
                <w:highlight w:val="none"/>
              </w:rPr>
              <w:t>处置</w:t>
            </w:r>
            <w:r>
              <w:rPr>
                <w:rFonts w:ascii="Times New Roman" w:hAnsi="Times New Roman"/>
                <w:color w:val="auto"/>
                <w:sz w:val="24"/>
                <w:highlight w:val="none"/>
              </w:rPr>
              <w:t>）</w:t>
            </w:r>
            <w:r>
              <w:rPr>
                <w:rFonts w:ascii="Times New Roman" w:hAnsi="宋体"/>
                <w:color w:val="auto"/>
                <w:sz w:val="24"/>
                <w:highlight w:val="none"/>
              </w:rPr>
              <w:t>场所应在醒目处设置标志牌；</w:t>
            </w:r>
          </w:p>
          <w:p w14:paraId="2D9709A2">
            <w:pPr>
              <w:spacing w:line="360" w:lineRule="auto"/>
              <w:ind w:firstLine="480" w:firstLineChars="200"/>
              <w:rPr>
                <w:rFonts w:ascii="Times New Roman" w:hAnsi="Times New Roman"/>
                <w:color w:val="auto"/>
                <w:sz w:val="24"/>
                <w:highlight w:val="none"/>
              </w:rPr>
            </w:pPr>
            <w:r>
              <w:rPr>
                <w:rFonts w:hint="eastAsia" w:ascii="宋体" w:hAnsi="宋体" w:cs="宋体"/>
                <w:color w:val="auto"/>
                <w:sz w:val="24"/>
                <w:highlight w:val="none"/>
              </w:rPr>
              <w:t>⑦</w:t>
            </w:r>
            <w:r>
              <w:rPr>
                <w:rFonts w:ascii="Times New Roman" w:hAnsi="宋体"/>
                <w:color w:val="auto"/>
                <w:sz w:val="24"/>
                <w:highlight w:val="none"/>
              </w:rPr>
              <w:t>危废应根据其化学特性选择合适的容器和存放地点，通过密闭容器存放，不可混合贮存，容器标签必须标明废物种类、贮存时间，定期处理</w:t>
            </w:r>
            <w:r>
              <w:rPr>
                <w:rFonts w:hint="eastAsia" w:ascii="Times New Roman" w:hAnsi="宋体"/>
                <w:color w:val="auto"/>
                <w:sz w:val="24"/>
                <w:highlight w:val="none"/>
                <w:lang w:eastAsia="zh-CN"/>
              </w:rPr>
              <w:t>。</w:t>
            </w:r>
          </w:p>
          <w:p w14:paraId="2628A0E7">
            <w:pPr>
              <w:spacing w:line="360" w:lineRule="auto"/>
              <w:ind w:firstLine="482" w:firstLineChars="200"/>
              <w:rPr>
                <w:rFonts w:ascii="Times New Roman" w:hAnsi="宋体"/>
                <w:snapToGrid w:val="0"/>
                <w:color w:val="auto"/>
                <w:sz w:val="24"/>
                <w:szCs w:val="24"/>
                <w:highlight w:val="none"/>
              </w:rPr>
            </w:pPr>
            <w:r>
              <w:rPr>
                <w:rFonts w:hint="eastAsia" w:ascii="Times New Roman" w:hAnsi="宋体"/>
                <w:b/>
                <w:snapToGrid w:val="0"/>
                <w:color w:val="auto"/>
                <w:sz w:val="24"/>
                <w:szCs w:val="24"/>
                <w:highlight w:val="none"/>
              </w:rPr>
              <w:t>5、土壤、</w:t>
            </w:r>
            <w:r>
              <w:rPr>
                <w:rFonts w:hint="eastAsia" w:ascii="Times New Roman" w:hAnsi="Times New Roman"/>
                <w:b/>
                <w:color w:val="auto"/>
                <w:sz w:val="24"/>
                <w:szCs w:val="24"/>
                <w:highlight w:val="none"/>
              </w:rPr>
              <w:t>地下水环境影响和保护措施</w:t>
            </w:r>
          </w:p>
          <w:p w14:paraId="6785280F">
            <w:pPr>
              <w:spacing w:line="360" w:lineRule="auto"/>
              <w:ind w:firstLine="480" w:firstLineChars="200"/>
              <w:rPr>
                <w:rFonts w:ascii="Times New Roman" w:hAnsi="Times New Roman"/>
                <w:bCs/>
                <w:color w:val="auto"/>
                <w:sz w:val="24"/>
                <w:highlight w:val="none"/>
                <w:lang w:val="en-GB"/>
              </w:rPr>
            </w:pPr>
            <w:r>
              <w:rPr>
                <w:rFonts w:ascii="Times New Roman" w:hAnsi="Times New Roman"/>
                <w:color w:val="auto"/>
                <w:sz w:val="24"/>
                <w:szCs w:val="24"/>
                <w:highlight w:val="none"/>
              </w:rPr>
              <w:t>项目正常生产情况下，</w:t>
            </w:r>
            <w:r>
              <w:rPr>
                <w:rFonts w:hint="eastAsia" w:ascii="Times New Roman" w:hAnsi="Times New Roman"/>
                <w:color w:val="auto"/>
                <w:sz w:val="24"/>
                <w:szCs w:val="24"/>
                <w:highlight w:val="none"/>
              </w:rPr>
              <w:t>员工生活污水经园区化粪池处理后</w:t>
            </w:r>
            <w:r>
              <w:rPr>
                <w:rFonts w:hint="eastAsia" w:ascii="Times New Roman" w:hAnsi="Times New Roman"/>
                <w:color w:val="auto"/>
                <w:sz w:val="24"/>
                <w:szCs w:val="24"/>
                <w:highlight w:val="none"/>
                <w:lang w:val="en-US" w:eastAsia="zh-CN"/>
              </w:rPr>
              <w:t>和纯水制备浓水以及超浓水一并进入</w:t>
            </w:r>
            <w:r>
              <w:rPr>
                <w:rFonts w:hint="eastAsia" w:ascii="Times New Roman" w:hAnsi="Times New Roman"/>
                <w:color w:val="auto"/>
                <w:sz w:val="24"/>
                <w:szCs w:val="24"/>
                <w:highlight w:val="none"/>
                <w:lang w:eastAsia="zh-CN"/>
              </w:rPr>
              <w:t>凤台经济开发区污水处理厂</w:t>
            </w:r>
            <w:r>
              <w:rPr>
                <w:rFonts w:hint="eastAsia" w:ascii="Times New Roman" w:hAnsi="Times New Roman"/>
                <w:color w:val="auto"/>
                <w:sz w:val="24"/>
                <w:szCs w:val="24"/>
                <w:highlight w:val="none"/>
              </w:rPr>
              <w:t>进行处理。</w:t>
            </w:r>
          </w:p>
          <w:p w14:paraId="53C0C36E">
            <w:pPr>
              <w:spacing w:line="360" w:lineRule="auto"/>
              <w:ind w:firstLine="480" w:firstLineChars="200"/>
              <w:rPr>
                <w:rFonts w:ascii="Times New Roman" w:hAnsi="宋体"/>
                <w:snapToGrid w:val="0"/>
                <w:color w:val="auto"/>
                <w:sz w:val="24"/>
                <w:highlight w:val="none"/>
              </w:rPr>
            </w:pPr>
            <w:r>
              <w:rPr>
                <w:rFonts w:hint="eastAsia" w:ascii="Times New Roman" w:hAnsi="宋体"/>
                <w:snapToGrid w:val="0"/>
                <w:color w:val="auto"/>
                <w:sz w:val="24"/>
                <w:highlight w:val="none"/>
              </w:rPr>
              <w:t>为防止本项目污染地下水、土壤，在项目设计和施工过程中，应对厂区进行专项防渗设计和分区防渗处理。根据《环境影响评价技术导则 地下水环境》</w:t>
            </w:r>
            <w:r>
              <w:rPr>
                <w:rFonts w:hint="eastAsia" w:ascii="Times New Roman" w:hAnsi="宋体"/>
                <w:snapToGrid w:val="0"/>
                <w:color w:val="auto"/>
                <w:sz w:val="24"/>
                <w:highlight w:val="none"/>
                <w:lang w:eastAsia="zh-CN"/>
              </w:rPr>
              <w:t>（</w:t>
            </w:r>
            <w:r>
              <w:rPr>
                <w:rFonts w:hint="eastAsia" w:ascii="Times New Roman" w:hAnsi="宋体"/>
                <w:snapToGrid w:val="0"/>
                <w:color w:val="auto"/>
                <w:sz w:val="24"/>
                <w:highlight w:val="none"/>
              </w:rPr>
              <w:t>HJ 610-2016</w:t>
            </w:r>
            <w:r>
              <w:rPr>
                <w:rFonts w:hint="eastAsia" w:ascii="Times New Roman" w:hAnsi="宋体"/>
                <w:snapToGrid w:val="0"/>
                <w:color w:val="auto"/>
                <w:sz w:val="24"/>
                <w:highlight w:val="none"/>
                <w:lang w:eastAsia="zh-CN"/>
              </w:rPr>
              <w:t>）</w:t>
            </w:r>
            <w:r>
              <w:rPr>
                <w:rFonts w:hint="eastAsia" w:ascii="Times New Roman" w:hAnsi="宋体"/>
                <w:snapToGrid w:val="0"/>
                <w:color w:val="auto"/>
                <w:sz w:val="24"/>
                <w:highlight w:val="none"/>
              </w:rPr>
              <w:t>，污染防治区可分为重点防渗区和一般防渗区。</w:t>
            </w:r>
          </w:p>
          <w:p w14:paraId="544F43A3">
            <w:pPr>
              <w:spacing w:line="360" w:lineRule="auto"/>
              <w:ind w:firstLine="480" w:firstLineChars="200"/>
              <w:rPr>
                <w:rFonts w:hint="eastAsia" w:ascii="Times New Roman" w:hAnsi="Times New Roman" w:eastAsia="宋体"/>
                <w:color w:val="auto"/>
                <w:sz w:val="24"/>
                <w:szCs w:val="20"/>
                <w:highlight w:val="none"/>
                <w:lang w:eastAsia="zh-CN"/>
              </w:rPr>
            </w:pPr>
            <w:r>
              <w:rPr>
                <w:rFonts w:hint="eastAsia" w:ascii="Times New Roman" w:hAnsi="宋体"/>
                <w:snapToGrid w:val="0"/>
                <w:color w:val="auto"/>
                <w:sz w:val="24"/>
                <w:highlight w:val="none"/>
              </w:rPr>
              <w:t>参照（HJ 610-2016）要求，并根据可能泄漏至地面区域污染物的性质以及各设施及建构筑物污染物控制难易程度进行分级，本项目分区防渗情况如下。</w:t>
            </w:r>
            <w:r>
              <w:rPr>
                <w:rFonts w:hint="eastAsia" w:ascii="Times New Roman" w:hAnsi="宋体"/>
                <w:snapToGrid w:val="0"/>
                <w:color w:val="auto"/>
                <w:sz w:val="24"/>
                <w:highlight w:val="none"/>
                <w:lang w:eastAsia="zh-CN"/>
              </w:rPr>
              <w:t>（</w:t>
            </w:r>
            <w:r>
              <w:rPr>
                <w:rFonts w:hint="eastAsia" w:ascii="Times New Roman" w:hAnsi="宋体"/>
                <w:snapToGrid w:val="0"/>
                <w:color w:val="auto"/>
                <w:sz w:val="24"/>
                <w:highlight w:val="none"/>
                <w:lang w:val="en-US" w:eastAsia="zh-CN"/>
              </w:rPr>
              <w:t>详见附图6</w:t>
            </w:r>
            <w:r>
              <w:rPr>
                <w:rFonts w:hint="eastAsia" w:ascii="Times New Roman" w:hAnsi="宋体"/>
                <w:snapToGrid w:val="0"/>
                <w:color w:val="auto"/>
                <w:sz w:val="24"/>
                <w:highlight w:val="none"/>
                <w:lang w:eastAsia="zh-CN"/>
              </w:rPr>
              <w:t>）</w:t>
            </w:r>
          </w:p>
          <w:p w14:paraId="02C19912">
            <w:pPr>
              <w:spacing w:line="360" w:lineRule="auto"/>
              <w:ind w:firstLine="480" w:firstLineChars="200"/>
              <w:rPr>
                <w:rFonts w:ascii="Times New Roman" w:hAnsi="Times New Roman"/>
                <w:color w:val="auto"/>
                <w:sz w:val="24"/>
                <w:szCs w:val="20"/>
                <w:highlight w:val="none"/>
              </w:rPr>
            </w:pPr>
            <w:r>
              <w:rPr>
                <w:rFonts w:ascii="Times New Roman" w:hAnsi="宋体"/>
                <w:color w:val="auto"/>
                <w:sz w:val="24"/>
                <w:szCs w:val="20"/>
                <w:highlight w:val="none"/>
              </w:rPr>
              <w:t>重点防渗区：重点防渗区指可能会对地下水和土壤造成污染，风险程度较高，需要重点防治的区域，主要为</w:t>
            </w:r>
            <w:r>
              <w:rPr>
                <w:rFonts w:hint="eastAsia" w:ascii="Times New Roman" w:hAnsi="宋体"/>
                <w:color w:val="auto"/>
                <w:sz w:val="24"/>
                <w:szCs w:val="20"/>
                <w:highlight w:val="none"/>
                <w:lang w:eastAsia="zh-CN"/>
              </w:rPr>
              <w:t>危废库、</w:t>
            </w:r>
            <w:r>
              <w:rPr>
                <w:rFonts w:hint="eastAsia" w:ascii="Times New Roman" w:hAnsi="宋体"/>
                <w:color w:val="auto"/>
                <w:sz w:val="24"/>
                <w:szCs w:val="20"/>
                <w:highlight w:val="none"/>
                <w:lang w:val="en-US" w:eastAsia="zh-CN"/>
              </w:rPr>
              <w:t>化学品库、丝印固化区和废水处理设施</w:t>
            </w:r>
            <w:r>
              <w:rPr>
                <w:rFonts w:ascii="Times New Roman" w:hAnsi="宋体"/>
                <w:color w:val="auto"/>
                <w:sz w:val="24"/>
                <w:szCs w:val="20"/>
                <w:highlight w:val="none"/>
              </w:rPr>
              <w:t>。重点防渗区的防渗技术要求为等效黏土防渗层</w:t>
            </w:r>
            <w:r>
              <w:rPr>
                <w:rFonts w:ascii="Times New Roman" w:hAnsi="Times New Roman"/>
                <w:color w:val="auto"/>
                <w:sz w:val="24"/>
                <w:szCs w:val="20"/>
                <w:highlight w:val="none"/>
              </w:rPr>
              <w:t>Mb≥6.0m</w:t>
            </w:r>
            <w:r>
              <w:rPr>
                <w:rFonts w:ascii="Times New Roman" w:hAnsi="宋体"/>
                <w:color w:val="auto"/>
                <w:sz w:val="24"/>
                <w:szCs w:val="20"/>
                <w:highlight w:val="none"/>
              </w:rPr>
              <w:t>，</w:t>
            </w:r>
            <w:r>
              <w:rPr>
                <w:rFonts w:ascii="Times New Roman" w:hAnsi="Times New Roman"/>
                <w:color w:val="auto"/>
                <w:sz w:val="24"/>
                <w:szCs w:val="20"/>
                <w:highlight w:val="none"/>
              </w:rPr>
              <w:t>K≤10</w:t>
            </w:r>
            <w:r>
              <w:rPr>
                <w:rFonts w:ascii="Times New Roman" w:hAnsi="Times New Roman"/>
                <w:color w:val="auto"/>
                <w:sz w:val="24"/>
                <w:szCs w:val="20"/>
                <w:highlight w:val="none"/>
                <w:vertAlign w:val="superscript"/>
              </w:rPr>
              <w:t>-7</w:t>
            </w:r>
            <w:r>
              <w:rPr>
                <w:rFonts w:ascii="Times New Roman" w:hAnsi="Times New Roman"/>
                <w:color w:val="auto"/>
                <w:sz w:val="24"/>
                <w:szCs w:val="20"/>
                <w:highlight w:val="none"/>
              </w:rPr>
              <w:t>cm/s</w:t>
            </w:r>
            <w:r>
              <w:rPr>
                <w:rFonts w:ascii="Times New Roman" w:hAnsi="宋体"/>
                <w:color w:val="auto"/>
                <w:sz w:val="24"/>
                <w:szCs w:val="20"/>
                <w:highlight w:val="none"/>
              </w:rPr>
              <w:t>。其中</w:t>
            </w:r>
            <w:r>
              <w:rPr>
                <w:rFonts w:hint="eastAsia" w:ascii="Times New Roman" w:hAnsi="宋体"/>
                <w:color w:val="auto"/>
                <w:sz w:val="24"/>
                <w:szCs w:val="20"/>
                <w:highlight w:val="none"/>
                <w:lang w:eastAsia="zh-CN"/>
              </w:rPr>
              <w:t>危废库</w:t>
            </w:r>
            <w:r>
              <w:rPr>
                <w:rFonts w:ascii="Times New Roman" w:hAnsi="宋体"/>
                <w:color w:val="auto"/>
                <w:sz w:val="24"/>
                <w:szCs w:val="20"/>
                <w:highlight w:val="none"/>
              </w:rPr>
              <w:t>还需要满足《危险废物贮存污染控制标准》（</w:t>
            </w:r>
            <w:r>
              <w:rPr>
                <w:rFonts w:ascii="Times New Roman" w:hAnsi="Times New Roman"/>
                <w:color w:val="auto"/>
                <w:sz w:val="24"/>
                <w:szCs w:val="20"/>
                <w:highlight w:val="none"/>
              </w:rPr>
              <w:t>GB18597-20</w:t>
            </w:r>
            <w:r>
              <w:rPr>
                <w:rFonts w:hint="eastAsia" w:ascii="Times New Roman" w:hAnsi="Times New Roman"/>
                <w:color w:val="auto"/>
                <w:sz w:val="24"/>
                <w:szCs w:val="20"/>
                <w:highlight w:val="none"/>
              </w:rPr>
              <w:t>23</w:t>
            </w:r>
            <w:r>
              <w:rPr>
                <w:rFonts w:ascii="Times New Roman" w:hAnsi="宋体"/>
                <w:color w:val="auto"/>
                <w:sz w:val="24"/>
                <w:szCs w:val="20"/>
                <w:highlight w:val="none"/>
              </w:rPr>
              <w:t>）中防渗要求：基础必须防渗，防渗层为至少</w:t>
            </w:r>
            <w:r>
              <w:rPr>
                <w:rFonts w:ascii="Times New Roman" w:hAnsi="Times New Roman"/>
                <w:color w:val="auto"/>
                <w:sz w:val="24"/>
                <w:szCs w:val="20"/>
                <w:highlight w:val="none"/>
              </w:rPr>
              <w:t>1m</w:t>
            </w:r>
            <w:r>
              <w:rPr>
                <w:rFonts w:ascii="Times New Roman" w:hAnsi="宋体"/>
                <w:color w:val="auto"/>
                <w:sz w:val="24"/>
                <w:szCs w:val="20"/>
                <w:highlight w:val="none"/>
              </w:rPr>
              <w:t>厚粘土层（渗透系数</w:t>
            </w:r>
            <w:r>
              <w:rPr>
                <w:rFonts w:ascii="Times New Roman" w:hAnsi="Times New Roman"/>
                <w:color w:val="auto"/>
                <w:sz w:val="24"/>
                <w:szCs w:val="20"/>
                <w:highlight w:val="none"/>
              </w:rPr>
              <w:t>K≤10</w:t>
            </w:r>
            <w:r>
              <w:rPr>
                <w:rFonts w:ascii="Times New Roman" w:hAnsi="Times New Roman"/>
                <w:color w:val="auto"/>
                <w:sz w:val="24"/>
                <w:szCs w:val="20"/>
                <w:highlight w:val="none"/>
                <w:vertAlign w:val="superscript"/>
              </w:rPr>
              <w:t>-7</w:t>
            </w:r>
            <w:r>
              <w:rPr>
                <w:rFonts w:ascii="Times New Roman" w:hAnsi="Times New Roman"/>
                <w:color w:val="auto"/>
                <w:sz w:val="24"/>
                <w:szCs w:val="20"/>
                <w:highlight w:val="none"/>
              </w:rPr>
              <w:t>cm/s</w:t>
            </w:r>
            <w:r>
              <w:rPr>
                <w:rFonts w:ascii="Times New Roman" w:hAnsi="宋体"/>
                <w:color w:val="auto"/>
                <w:sz w:val="24"/>
                <w:szCs w:val="20"/>
                <w:highlight w:val="none"/>
              </w:rPr>
              <w:t>），或</w:t>
            </w:r>
            <w:r>
              <w:rPr>
                <w:rFonts w:ascii="Times New Roman" w:hAnsi="Times New Roman"/>
                <w:color w:val="auto"/>
                <w:sz w:val="24"/>
                <w:szCs w:val="20"/>
                <w:highlight w:val="none"/>
              </w:rPr>
              <w:t>2mm</w:t>
            </w:r>
            <w:r>
              <w:rPr>
                <w:rFonts w:ascii="Times New Roman" w:hAnsi="宋体"/>
                <w:color w:val="auto"/>
                <w:sz w:val="24"/>
                <w:szCs w:val="20"/>
                <w:highlight w:val="none"/>
              </w:rPr>
              <w:t>厚高密度聚乙烯，或至少</w:t>
            </w:r>
            <w:r>
              <w:rPr>
                <w:rFonts w:ascii="Times New Roman" w:hAnsi="Times New Roman"/>
                <w:color w:val="auto"/>
                <w:sz w:val="24"/>
                <w:szCs w:val="20"/>
                <w:highlight w:val="none"/>
              </w:rPr>
              <w:t>2mm</w:t>
            </w:r>
            <w:r>
              <w:rPr>
                <w:rFonts w:ascii="Times New Roman" w:hAnsi="宋体"/>
                <w:color w:val="auto"/>
                <w:sz w:val="24"/>
                <w:szCs w:val="20"/>
                <w:highlight w:val="none"/>
              </w:rPr>
              <w:t>厚的其它人工材料，渗透系数</w:t>
            </w:r>
            <w:r>
              <w:rPr>
                <w:rFonts w:ascii="Times New Roman" w:hAnsi="Times New Roman"/>
                <w:color w:val="auto"/>
                <w:sz w:val="24"/>
                <w:szCs w:val="20"/>
                <w:highlight w:val="none"/>
              </w:rPr>
              <w:t>K≤10</w:t>
            </w:r>
            <w:r>
              <w:rPr>
                <w:rFonts w:ascii="Times New Roman" w:hAnsi="Times New Roman"/>
                <w:color w:val="auto"/>
                <w:sz w:val="24"/>
                <w:szCs w:val="20"/>
                <w:highlight w:val="none"/>
                <w:vertAlign w:val="superscript"/>
              </w:rPr>
              <w:t>-10</w:t>
            </w:r>
            <w:r>
              <w:rPr>
                <w:rFonts w:ascii="Times New Roman" w:hAnsi="Times New Roman"/>
                <w:color w:val="auto"/>
                <w:sz w:val="24"/>
                <w:szCs w:val="20"/>
                <w:highlight w:val="none"/>
              </w:rPr>
              <w:t>cm/s</w:t>
            </w:r>
            <w:r>
              <w:rPr>
                <w:rFonts w:ascii="Times New Roman" w:hAnsi="宋体"/>
                <w:color w:val="auto"/>
                <w:sz w:val="24"/>
                <w:szCs w:val="20"/>
                <w:highlight w:val="none"/>
              </w:rPr>
              <w:t>。</w:t>
            </w:r>
          </w:p>
          <w:p w14:paraId="0657E05C">
            <w:pPr>
              <w:spacing w:line="360" w:lineRule="auto"/>
              <w:ind w:firstLine="480" w:firstLineChars="200"/>
              <w:rPr>
                <w:rFonts w:ascii="Times New Roman" w:hAnsi="宋体"/>
                <w:color w:val="auto"/>
                <w:sz w:val="24"/>
                <w:szCs w:val="20"/>
                <w:highlight w:val="none"/>
              </w:rPr>
            </w:pPr>
            <w:r>
              <w:rPr>
                <w:rFonts w:ascii="Times New Roman" w:hAnsi="宋体"/>
                <w:color w:val="auto"/>
                <w:sz w:val="24"/>
                <w:szCs w:val="20"/>
                <w:highlight w:val="none"/>
              </w:rPr>
              <w:t>一般防渗区：一般防渗区是指可能会对地下水和土壤造成污染，但危害性或风险程度相对较低的区域，主要为</w:t>
            </w:r>
            <w:r>
              <w:rPr>
                <w:rFonts w:hint="eastAsia" w:ascii="Times New Roman" w:hAnsi="宋体"/>
                <w:color w:val="auto"/>
                <w:sz w:val="24"/>
                <w:szCs w:val="20"/>
                <w:highlight w:val="none"/>
              </w:rPr>
              <w:t>生产区域、</w:t>
            </w:r>
            <w:r>
              <w:rPr>
                <w:rFonts w:hint="eastAsia" w:ascii="Times New Roman" w:hAnsi="宋体"/>
                <w:color w:val="auto"/>
                <w:sz w:val="24"/>
                <w:szCs w:val="20"/>
                <w:highlight w:val="none"/>
                <w:lang w:val="en-US" w:eastAsia="zh-CN"/>
              </w:rPr>
              <w:t>沉淀池和</w:t>
            </w:r>
            <w:r>
              <w:rPr>
                <w:rFonts w:hint="eastAsia" w:ascii="Times New Roman" w:hAnsi="宋体"/>
                <w:color w:val="auto"/>
                <w:sz w:val="24"/>
                <w:szCs w:val="20"/>
                <w:highlight w:val="none"/>
              </w:rPr>
              <w:t>一般固废暂存间</w:t>
            </w:r>
            <w:r>
              <w:rPr>
                <w:rFonts w:ascii="Times New Roman" w:hAnsi="宋体"/>
                <w:color w:val="auto"/>
                <w:sz w:val="24"/>
                <w:szCs w:val="20"/>
                <w:highlight w:val="none"/>
              </w:rPr>
              <w:t>。一般防渗区的防渗技术要求：等效黏土防渗层</w:t>
            </w:r>
            <w:r>
              <w:rPr>
                <w:rFonts w:ascii="Times New Roman" w:hAnsi="Times New Roman"/>
                <w:color w:val="auto"/>
                <w:sz w:val="24"/>
                <w:szCs w:val="20"/>
                <w:highlight w:val="none"/>
              </w:rPr>
              <w:t>Mb≥1.5m</w:t>
            </w:r>
            <w:r>
              <w:rPr>
                <w:rFonts w:ascii="Times New Roman" w:hAnsi="宋体"/>
                <w:color w:val="auto"/>
                <w:sz w:val="24"/>
                <w:szCs w:val="20"/>
                <w:highlight w:val="none"/>
              </w:rPr>
              <w:t>，</w:t>
            </w:r>
            <w:r>
              <w:rPr>
                <w:rFonts w:ascii="Times New Roman" w:hAnsi="Times New Roman"/>
                <w:color w:val="auto"/>
                <w:sz w:val="24"/>
                <w:szCs w:val="20"/>
                <w:highlight w:val="none"/>
              </w:rPr>
              <w:t>K≤10</w:t>
            </w:r>
            <w:r>
              <w:rPr>
                <w:rFonts w:ascii="Times New Roman" w:hAnsi="Times New Roman"/>
                <w:color w:val="auto"/>
                <w:sz w:val="24"/>
                <w:szCs w:val="20"/>
                <w:highlight w:val="none"/>
                <w:vertAlign w:val="superscript"/>
              </w:rPr>
              <w:t>-7</w:t>
            </w:r>
            <w:r>
              <w:rPr>
                <w:rFonts w:ascii="Times New Roman" w:hAnsi="Times New Roman"/>
                <w:color w:val="auto"/>
                <w:sz w:val="24"/>
                <w:szCs w:val="20"/>
                <w:highlight w:val="none"/>
              </w:rPr>
              <w:t>cm/s</w:t>
            </w:r>
            <w:r>
              <w:rPr>
                <w:rFonts w:ascii="Times New Roman" w:hAnsi="宋体"/>
                <w:color w:val="auto"/>
                <w:sz w:val="24"/>
                <w:szCs w:val="20"/>
                <w:highlight w:val="none"/>
              </w:rPr>
              <w:t>。</w:t>
            </w:r>
          </w:p>
          <w:p w14:paraId="6B78C2B1">
            <w:pPr>
              <w:wordWrap w:val="0"/>
              <w:autoSpaceDE w:val="0"/>
              <w:autoSpaceDN w:val="0"/>
              <w:spacing w:line="360" w:lineRule="auto"/>
              <w:ind w:firstLine="480" w:firstLineChars="200"/>
              <w:rPr>
                <w:rFonts w:ascii="Times New Roman" w:hAnsi="宋体"/>
                <w:color w:val="auto"/>
                <w:kern w:val="0"/>
                <w:sz w:val="24"/>
                <w:szCs w:val="24"/>
                <w:highlight w:val="none"/>
              </w:rPr>
            </w:pPr>
            <w:r>
              <w:rPr>
                <w:rFonts w:ascii="Times New Roman" w:hAnsi="宋体"/>
                <w:color w:val="auto"/>
                <w:kern w:val="0"/>
                <w:sz w:val="24"/>
                <w:szCs w:val="24"/>
                <w:highlight w:val="none"/>
              </w:rPr>
              <w:t>针对不同区域采取相应的防渗措施，具体见下表。</w:t>
            </w:r>
          </w:p>
          <w:p w14:paraId="5BA01249">
            <w:pPr>
              <w:adjustRightInd w:val="0"/>
              <w:spacing w:line="360" w:lineRule="auto"/>
              <w:jc w:val="center"/>
              <w:rPr>
                <w:rFonts w:eastAsia="黑体"/>
                <w:color w:val="auto"/>
                <w:sz w:val="24"/>
                <w:highlight w:val="none"/>
              </w:rPr>
            </w:pPr>
            <w:r>
              <w:rPr>
                <w:rFonts w:hAnsi="黑体" w:eastAsia="黑体"/>
                <w:color w:val="auto"/>
                <w:sz w:val="24"/>
                <w:highlight w:val="none"/>
              </w:rPr>
              <w:t>表</w:t>
            </w:r>
            <w:r>
              <w:rPr>
                <w:rFonts w:ascii="Times New Roman" w:hAnsi="Times New Roman" w:eastAsia="黑体"/>
                <w:color w:val="auto"/>
                <w:sz w:val="24"/>
                <w:highlight w:val="none"/>
              </w:rPr>
              <w:t>4-</w:t>
            </w:r>
            <w:r>
              <w:rPr>
                <w:rFonts w:hint="eastAsia" w:ascii="Times New Roman" w:hAnsi="Times New Roman" w:eastAsia="黑体"/>
                <w:color w:val="auto"/>
                <w:sz w:val="24"/>
                <w:highlight w:val="none"/>
              </w:rPr>
              <w:t>1</w:t>
            </w:r>
            <w:r>
              <w:rPr>
                <w:rFonts w:hint="eastAsia" w:ascii="Times New Roman" w:hAnsi="Times New Roman" w:eastAsia="黑体"/>
                <w:color w:val="auto"/>
                <w:sz w:val="24"/>
                <w:highlight w:val="none"/>
                <w:lang w:val="en-US" w:eastAsia="zh-CN"/>
              </w:rPr>
              <w:t xml:space="preserve">7 </w:t>
            </w:r>
            <w:r>
              <w:rPr>
                <w:rFonts w:hAnsi="黑体" w:eastAsia="黑体"/>
                <w:color w:val="auto"/>
                <w:sz w:val="24"/>
                <w:highlight w:val="none"/>
              </w:rPr>
              <w:t>本项目分区防渗一览表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24"/>
              <w:gridCol w:w="1448"/>
              <w:gridCol w:w="4613"/>
            </w:tblGrid>
            <w:tr w14:paraId="376BFD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56" w:type="pct"/>
                  <w:tcBorders>
                    <w:top w:val="single" w:color="auto" w:sz="8" w:space="0"/>
                    <w:bottom w:val="single" w:color="auto" w:sz="4" w:space="0"/>
                    <w:right w:val="single" w:color="auto" w:sz="4" w:space="0"/>
                  </w:tcBorders>
                  <w:noWrap w:val="0"/>
                  <w:vAlign w:val="center"/>
                </w:tcPr>
                <w:p w14:paraId="208C6975">
                  <w:pPr>
                    <w:autoSpaceDE w:val="0"/>
                    <w:autoSpaceDN w:val="0"/>
                    <w:snapToGrid w:val="0"/>
                    <w:spacing w:line="276" w:lineRule="auto"/>
                    <w:jc w:val="center"/>
                    <w:rPr>
                      <w:rFonts w:ascii="Times New Roman" w:hAnsi="Times New Roman"/>
                      <w:b/>
                      <w:color w:val="auto"/>
                      <w:kern w:val="0"/>
                      <w:szCs w:val="21"/>
                      <w:highlight w:val="none"/>
                    </w:rPr>
                  </w:pPr>
                  <w:r>
                    <w:rPr>
                      <w:rFonts w:ascii="Times New Roman" w:hAnsi="Times New Roman"/>
                      <w:b/>
                      <w:color w:val="auto"/>
                      <w:kern w:val="0"/>
                      <w:szCs w:val="21"/>
                      <w:highlight w:val="none"/>
                    </w:rPr>
                    <w:t>区域</w:t>
                  </w:r>
                </w:p>
              </w:tc>
              <w:tc>
                <w:tcPr>
                  <w:tcW w:w="918" w:type="pct"/>
                  <w:tcBorders>
                    <w:top w:val="single" w:color="auto" w:sz="8" w:space="0"/>
                    <w:left w:val="single" w:color="auto" w:sz="4" w:space="0"/>
                    <w:bottom w:val="single" w:color="auto" w:sz="4" w:space="0"/>
                    <w:right w:val="single" w:color="auto" w:sz="4" w:space="0"/>
                  </w:tcBorders>
                  <w:noWrap w:val="0"/>
                  <w:vAlign w:val="center"/>
                </w:tcPr>
                <w:p w14:paraId="579D5BA1">
                  <w:pPr>
                    <w:autoSpaceDE w:val="0"/>
                    <w:autoSpaceDN w:val="0"/>
                    <w:snapToGrid w:val="0"/>
                    <w:spacing w:line="276" w:lineRule="auto"/>
                    <w:jc w:val="center"/>
                    <w:rPr>
                      <w:rFonts w:ascii="Times New Roman" w:hAnsi="Times New Roman"/>
                      <w:b/>
                      <w:color w:val="auto"/>
                      <w:kern w:val="0"/>
                      <w:szCs w:val="21"/>
                      <w:highlight w:val="none"/>
                    </w:rPr>
                  </w:pPr>
                  <w:r>
                    <w:rPr>
                      <w:rFonts w:ascii="Times New Roman" w:hAnsi="Times New Roman"/>
                      <w:b/>
                      <w:color w:val="auto"/>
                      <w:kern w:val="0"/>
                      <w:szCs w:val="21"/>
                      <w:highlight w:val="none"/>
                    </w:rPr>
                    <w:t>防渗等级</w:t>
                  </w:r>
                </w:p>
              </w:tc>
              <w:tc>
                <w:tcPr>
                  <w:tcW w:w="2925" w:type="pct"/>
                  <w:tcBorders>
                    <w:top w:val="single" w:color="auto" w:sz="8" w:space="0"/>
                    <w:left w:val="single" w:color="auto" w:sz="4" w:space="0"/>
                    <w:bottom w:val="single" w:color="auto" w:sz="4" w:space="0"/>
                  </w:tcBorders>
                  <w:noWrap w:val="0"/>
                  <w:vAlign w:val="center"/>
                </w:tcPr>
                <w:p w14:paraId="39C57433">
                  <w:pPr>
                    <w:autoSpaceDE w:val="0"/>
                    <w:autoSpaceDN w:val="0"/>
                    <w:snapToGrid w:val="0"/>
                    <w:spacing w:line="276" w:lineRule="auto"/>
                    <w:jc w:val="center"/>
                    <w:rPr>
                      <w:rFonts w:ascii="Times New Roman" w:hAnsi="Times New Roman"/>
                      <w:b/>
                      <w:color w:val="auto"/>
                      <w:kern w:val="0"/>
                      <w:szCs w:val="21"/>
                      <w:highlight w:val="none"/>
                    </w:rPr>
                  </w:pPr>
                  <w:r>
                    <w:rPr>
                      <w:rFonts w:ascii="Times New Roman" w:hAnsi="Times New Roman"/>
                      <w:b/>
                      <w:color w:val="auto"/>
                      <w:kern w:val="0"/>
                      <w:szCs w:val="21"/>
                      <w:highlight w:val="none"/>
                    </w:rPr>
                    <w:t>防渗技术要求</w:t>
                  </w:r>
                </w:p>
              </w:tc>
            </w:tr>
            <w:tr w14:paraId="48839D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56" w:type="pct"/>
                  <w:tcBorders>
                    <w:top w:val="single" w:color="auto" w:sz="4" w:space="0"/>
                    <w:bottom w:val="single" w:color="auto" w:sz="4" w:space="0"/>
                    <w:right w:val="single" w:color="auto" w:sz="4" w:space="0"/>
                  </w:tcBorders>
                  <w:noWrap w:val="0"/>
                  <w:vAlign w:val="center"/>
                </w:tcPr>
                <w:p w14:paraId="0C6FEF92">
                  <w:pPr>
                    <w:autoSpaceDE w:val="0"/>
                    <w:autoSpaceDN w:val="0"/>
                    <w:snapToGrid w:val="0"/>
                    <w:spacing w:line="276" w:lineRule="auto"/>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eastAsia="zh-CN"/>
                    </w:rPr>
                    <w:t>危废库</w:t>
                  </w:r>
                </w:p>
              </w:tc>
              <w:tc>
                <w:tcPr>
                  <w:tcW w:w="918" w:type="pct"/>
                  <w:vMerge w:val="restart"/>
                  <w:tcBorders>
                    <w:top w:val="single" w:color="auto" w:sz="4" w:space="0"/>
                    <w:left w:val="single" w:color="auto" w:sz="4" w:space="0"/>
                    <w:right w:val="single" w:color="auto" w:sz="4" w:space="0"/>
                  </w:tcBorders>
                  <w:noWrap w:val="0"/>
                  <w:vAlign w:val="center"/>
                </w:tcPr>
                <w:p w14:paraId="4CABB011">
                  <w:pPr>
                    <w:autoSpaceDE w:val="0"/>
                    <w:autoSpaceDN w:val="0"/>
                    <w:snapToGrid w:val="0"/>
                    <w:spacing w:line="276"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重点防渗区</w:t>
                  </w:r>
                </w:p>
              </w:tc>
              <w:tc>
                <w:tcPr>
                  <w:tcW w:w="2925" w:type="pct"/>
                  <w:tcBorders>
                    <w:top w:val="single" w:color="auto" w:sz="4" w:space="0"/>
                    <w:left w:val="single" w:color="auto" w:sz="4" w:space="0"/>
                    <w:bottom w:val="single" w:color="auto" w:sz="4" w:space="0"/>
                  </w:tcBorders>
                  <w:noWrap w:val="0"/>
                  <w:vAlign w:val="center"/>
                </w:tcPr>
                <w:p w14:paraId="21F67519">
                  <w:pPr>
                    <w:autoSpaceDE w:val="0"/>
                    <w:autoSpaceDN w:val="0"/>
                    <w:snapToGrid w:val="0"/>
                    <w:spacing w:line="276" w:lineRule="auto"/>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按照</w:t>
                  </w:r>
                  <w:r>
                    <w:rPr>
                      <w:rFonts w:ascii="Times New Roman" w:hAnsi="Times New Roman"/>
                      <w:color w:val="auto"/>
                      <w:kern w:val="0"/>
                      <w:szCs w:val="21"/>
                      <w:highlight w:val="none"/>
                    </w:rPr>
                    <w:t>《危险废物贮存污染控制标准》（GB18597</w:t>
                  </w:r>
                  <w:r>
                    <w:rPr>
                      <w:rFonts w:hint="eastAsia" w:ascii="Times New Roman" w:hAnsi="Times New Roman"/>
                      <w:color w:val="auto"/>
                      <w:kern w:val="0"/>
                      <w:szCs w:val="21"/>
                      <w:highlight w:val="none"/>
                    </w:rPr>
                    <w:t>-2023</w:t>
                  </w:r>
                  <w:r>
                    <w:rPr>
                      <w:rFonts w:ascii="Times New Roman" w:hAnsi="Times New Roman"/>
                      <w:color w:val="auto"/>
                      <w:kern w:val="0"/>
                      <w:szCs w:val="21"/>
                      <w:highlight w:val="none"/>
                    </w:rPr>
                    <w:t>）中防渗要求执行，基础必须防渗，防渗层为至少1m厚粘土层（渗透系数≤10</w:t>
                  </w:r>
                  <w:r>
                    <w:rPr>
                      <w:rFonts w:ascii="Times New Roman" w:hAnsi="Times New Roman"/>
                      <w:color w:val="auto"/>
                      <w:kern w:val="0"/>
                      <w:szCs w:val="21"/>
                      <w:highlight w:val="none"/>
                      <w:vertAlign w:val="superscript"/>
                    </w:rPr>
                    <w:t>-7</w:t>
                  </w:r>
                  <w:r>
                    <w:rPr>
                      <w:rFonts w:ascii="Times New Roman" w:hAnsi="Times New Roman"/>
                      <w:color w:val="auto"/>
                      <w:kern w:val="0"/>
                      <w:szCs w:val="21"/>
                      <w:highlight w:val="none"/>
                    </w:rPr>
                    <w:t>cm/s），或2mm厚高密度聚乙烯，或至少2mm厚的其他人工材料，渗透系数≤10</w:t>
                  </w:r>
                  <w:r>
                    <w:rPr>
                      <w:rFonts w:ascii="Times New Roman" w:hAnsi="Times New Roman"/>
                      <w:color w:val="auto"/>
                      <w:kern w:val="0"/>
                      <w:szCs w:val="21"/>
                      <w:highlight w:val="none"/>
                      <w:vertAlign w:val="superscript"/>
                    </w:rPr>
                    <w:t>-10</w:t>
                  </w:r>
                  <w:r>
                    <w:rPr>
                      <w:rFonts w:ascii="Times New Roman" w:hAnsi="Times New Roman"/>
                      <w:color w:val="auto"/>
                      <w:kern w:val="0"/>
                      <w:szCs w:val="21"/>
                      <w:highlight w:val="none"/>
                    </w:rPr>
                    <w:t>cm/s</w:t>
                  </w:r>
                </w:p>
              </w:tc>
            </w:tr>
            <w:tr w14:paraId="187304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56" w:type="pct"/>
                  <w:tcBorders>
                    <w:top w:val="single" w:color="auto" w:sz="4" w:space="0"/>
                    <w:bottom w:val="single" w:color="auto" w:sz="4" w:space="0"/>
                    <w:right w:val="single" w:color="auto" w:sz="4" w:space="0"/>
                  </w:tcBorders>
                  <w:noWrap w:val="0"/>
                  <w:vAlign w:val="center"/>
                </w:tcPr>
                <w:p w14:paraId="6992EB37">
                  <w:pPr>
                    <w:autoSpaceDE w:val="0"/>
                    <w:autoSpaceDN w:val="0"/>
                    <w:snapToGrid w:val="0"/>
                    <w:spacing w:line="276" w:lineRule="auto"/>
                    <w:jc w:val="center"/>
                    <w:rPr>
                      <w:rFonts w:hint="eastAsia" w:ascii="Times New Roman" w:hAnsi="Times New Roman"/>
                      <w:color w:val="auto"/>
                      <w:kern w:val="0"/>
                      <w:szCs w:val="21"/>
                      <w:highlight w:val="none"/>
                      <w:lang w:eastAsia="zh-CN"/>
                    </w:rPr>
                  </w:pPr>
                  <w:r>
                    <w:rPr>
                      <w:rFonts w:hint="eastAsia" w:ascii="Times New Roman" w:hAnsi="Times New Roman"/>
                      <w:color w:val="auto"/>
                      <w:kern w:val="0"/>
                      <w:szCs w:val="21"/>
                      <w:highlight w:val="none"/>
                      <w:lang w:val="en-US" w:eastAsia="zh-CN"/>
                    </w:rPr>
                    <w:t>丝印固化区</w:t>
                  </w:r>
                  <w:r>
                    <w:rPr>
                      <w:rFonts w:hint="eastAsia" w:ascii="Times New Roman" w:hAnsi="Times New Roman"/>
                      <w:color w:val="auto"/>
                      <w:kern w:val="0"/>
                      <w:szCs w:val="21"/>
                      <w:highlight w:val="none"/>
                      <w:lang w:eastAsia="zh-CN"/>
                    </w:rPr>
                    <w:t>、</w:t>
                  </w:r>
                  <w:r>
                    <w:rPr>
                      <w:rFonts w:hint="eastAsia" w:ascii="Times New Roman" w:hAnsi="Times New Roman"/>
                      <w:color w:val="auto"/>
                      <w:kern w:val="0"/>
                      <w:szCs w:val="21"/>
                      <w:highlight w:val="none"/>
                      <w:lang w:val="en-US" w:eastAsia="zh-CN"/>
                    </w:rPr>
                    <w:t>化学品库、废水处理设施</w:t>
                  </w:r>
                </w:p>
              </w:tc>
              <w:tc>
                <w:tcPr>
                  <w:tcW w:w="918" w:type="pct"/>
                  <w:vMerge w:val="continue"/>
                  <w:tcBorders>
                    <w:left w:val="single" w:color="auto" w:sz="4" w:space="0"/>
                    <w:bottom w:val="single" w:color="auto" w:sz="4" w:space="0"/>
                    <w:right w:val="single" w:color="auto" w:sz="4" w:space="0"/>
                  </w:tcBorders>
                  <w:noWrap w:val="0"/>
                  <w:vAlign w:val="center"/>
                </w:tcPr>
                <w:p w14:paraId="2BE8C03B">
                  <w:pPr>
                    <w:autoSpaceDE w:val="0"/>
                    <w:autoSpaceDN w:val="0"/>
                    <w:snapToGrid w:val="0"/>
                    <w:spacing w:line="276" w:lineRule="auto"/>
                    <w:jc w:val="center"/>
                    <w:rPr>
                      <w:rFonts w:ascii="Times New Roman" w:hAnsi="Times New Roman"/>
                      <w:color w:val="auto"/>
                      <w:kern w:val="0"/>
                      <w:szCs w:val="21"/>
                      <w:highlight w:val="none"/>
                    </w:rPr>
                  </w:pPr>
                </w:p>
              </w:tc>
              <w:tc>
                <w:tcPr>
                  <w:tcW w:w="2925" w:type="pct"/>
                  <w:tcBorders>
                    <w:top w:val="single" w:color="auto" w:sz="4" w:space="0"/>
                    <w:left w:val="single" w:color="auto" w:sz="4" w:space="0"/>
                    <w:bottom w:val="single" w:color="auto" w:sz="4" w:space="0"/>
                  </w:tcBorders>
                  <w:noWrap w:val="0"/>
                  <w:vAlign w:val="center"/>
                </w:tcPr>
                <w:p w14:paraId="45EFAD61">
                  <w:pPr>
                    <w:autoSpaceDE w:val="0"/>
                    <w:autoSpaceDN w:val="0"/>
                    <w:snapToGrid w:val="0"/>
                    <w:spacing w:line="276"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等效黏土防渗层Mb≥6.0m，K≤10</w:t>
                  </w:r>
                  <w:r>
                    <w:rPr>
                      <w:rFonts w:ascii="Times New Roman" w:hAnsi="Times New Roman"/>
                      <w:color w:val="auto"/>
                      <w:kern w:val="0"/>
                      <w:szCs w:val="21"/>
                      <w:highlight w:val="none"/>
                      <w:vertAlign w:val="superscript"/>
                    </w:rPr>
                    <w:t>-7</w:t>
                  </w:r>
                  <w:r>
                    <w:rPr>
                      <w:rFonts w:ascii="Times New Roman" w:hAnsi="Times New Roman"/>
                      <w:color w:val="auto"/>
                      <w:kern w:val="0"/>
                      <w:szCs w:val="21"/>
                      <w:highlight w:val="none"/>
                    </w:rPr>
                    <w:t>cm/s</w:t>
                  </w:r>
                </w:p>
              </w:tc>
            </w:tr>
            <w:tr w14:paraId="3DED83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56" w:type="pct"/>
                  <w:tcBorders>
                    <w:top w:val="single" w:color="auto" w:sz="4" w:space="0"/>
                    <w:bottom w:val="single" w:color="auto" w:sz="8" w:space="0"/>
                    <w:right w:val="single" w:color="auto" w:sz="4" w:space="0"/>
                  </w:tcBorders>
                  <w:noWrap w:val="0"/>
                  <w:vAlign w:val="center"/>
                </w:tcPr>
                <w:p w14:paraId="4D078527">
                  <w:pPr>
                    <w:autoSpaceDE w:val="0"/>
                    <w:autoSpaceDN w:val="0"/>
                    <w:snapToGrid w:val="0"/>
                    <w:spacing w:line="276" w:lineRule="auto"/>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11</w:t>
                  </w:r>
                  <w:r>
                    <w:rPr>
                      <w:rFonts w:hint="eastAsia" w:ascii="Times New Roman" w:hAnsi="Times New Roman"/>
                      <w:color w:val="auto"/>
                      <w:kern w:val="0"/>
                      <w:szCs w:val="21"/>
                      <w:highlight w:val="none"/>
                    </w:rPr>
                    <w:t>#厂房、</w:t>
                  </w:r>
                  <w:r>
                    <w:rPr>
                      <w:rFonts w:hint="eastAsia" w:ascii="Times New Roman" w:hAnsi="Times New Roman"/>
                      <w:color w:val="auto"/>
                      <w:kern w:val="0"/>
                      <w:szCs w:val="21"/>
                      <w:highlight w:val="none"/>
                      <w:lang w:val="en-US" w:eastAsia="zh-CN"/>
                    </w:rPr>
                    <w:t>12</w:t>
                  </w:r>
                  <w:r>
                    <w:rPr>
                      <w:rFonts w:hint="eastAsia" w:ascii="Times New Roman" w:hAnsi="Times New Roman"/>
                      <w:color w:val="auto"/>
                      <w:kern w:val="0"/>
                      <w:szCs w:val="21"/>
                      <w:highlight w:val="none"/>
                    </w:rPr>
                    <w:t>#厂房、</w:t>
                  </w:r>
                  <w:r>
                    <w:rPr>
                      <w:rFonts w:hint="eastAsia" w:ascii="Times New Roman" w:hAnsi="Times New Roman"/>
                      <w:color w:val="auto"/>
                      <w:kern w:val="0"/>
                      <w:szCs w:val="21"/>
                      <w:highlight w:val="none"/>
                      <w:lang w:val="en-US" w:eastAsia="zh-CN"/>
                    </w:rPr>
                    <w:t>沉淀池、</w:t>
                  </w:r>
                  <w:r>
                    <w:rPr>
                      <w:rFonts w:ascii="Times New Roman" w:hAnsi="Times New Roman"/>
                      <w:color w:val="auto"/>
                      <w:kern w:val="0"/>
                      <w:szCs w:val="21"/>
                      <w:highlight w:val="none"/>
                    </w:rPr>
                    <w:t>一般固废暂存间</w:t>
                  </w:r>
                </w:p>
              </w:tc>
              <w:tc>
                <w:tcPr>
                  <w:tcW w:w="918" w:type="pct"/>
                  <w:tcBorders>
                    <w:top w:val="single" w:color="auto" w:sz="4" w:space="0"/>
                    <w:left w:val="single" w:color="auto" w:sz="4" w:space="0"/>
                    <w:bottom w:val="single" w:color="auto" w:sz="8" w:space="0"/>
                    <w:right w:val="single" w:color="auto" w:sz="4" w:space="0"/>
                  </w:tcBorders>
                  <w:noWrap w:val="0"/>
                  <w:vAlign w:val="center"/>
                </w:tcPr>
                <w:p w14:paraId="6C12FA55">
                  <w:pPr>
                    <w:autoSpaceDE w:val="0"/>
                    <w:autoSpaceDN w:val="0"/>
                    <w:snapToGrid w:val="0"/>
                    <w:spacing w:line="276"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一般防渗区</w:t>
                  </w:r>
                </w:p>
              </w:tc>
              <w:tc>
                <w:tcPr>
                  <w:tcW w:w="2925" w:type="pct"/>
                  <w:tcBorders>
                    <w:top w:val="single" w:color="auto" w:sz="4" w:space="0"/>
                    <w:left w:val="single" w:color="auto" w:sz="4" w:space="0"/>
                    <w:bottom w:val="single" w:color="auto" w:sz="8" w:space="0"/>
                  </w:tcBorders>
                  <w:noWrap w:val="0"/>
                  <w:vAlign w:val="center"/>
                </w:tcPr>
                <w:p w14:paraId="3FE67F7B">
                  <w:pPr>
                    <w:autoSpaceDE w:val="0"/>
                    <w:autoSpaceDN w:val="0"/>
                    <w:snapToGrid w:val="0"/>
                    <w:spacing w:line="276" w:lineRule="auto"/>
                    <w:jc w:val="center"/>
                    <w:rPr>
                      <w:rFonts w:ascii="Times New Roman" w:hAnsi="Times New Roman"/>
                      <w:color w:val="auto"/>
                      <w:kern w:val="0"/>
                      <w:szCs w:val="21"/>
                      <w:highlight w:val="none"/>
                    </w:rPr>
                  </w:pPr>
                  <w:r>
                    <w:rPr>
                      <w:rFonts w:ascii="Times New Roman" w:hAnsi="Times New Roman"/>
                      <w:color w:val="auto"/>
                      <w:szCs w:val="21"/>
                      <w:highlight w:val="none"/>
                    </w:rPr>
                    <w:t>等效黏土防渗层Mb≥1.5m，K≤1×10</w:t>
                  </w:r>
                  <w:r>
                    <w:rPr>
                      <w:rFonts w:ascii="Times New Roman" w:hAnsi="Times New Roman"/>
                      <w:color w:val="auto"/>
                      <w:szCs w:val="21"/>
                      <w:highlight w:val="none"/>
                      <w:vertAlign w:val="superscript"/>
                    </w:rPr>
                    <w:t>-7</w:t>
                  </w:r>
                  <w:r>
                    <w:rPr>
                      <w:rFonts w:ascii="Times New Roman" w:hAnsi="Times New Roman"/>
                      <w:color w:val="auto"/>
                      <w:szCs w:val="21"/>
                      <w:highlight w:val="none"/>
                    </w:rPr>
                    <w:t>cm/s</w:t>
                  </w:r>
                </w:p>
              </w:tc>
            </w:tr>
          </w:tbl>
          <w:p w14:paraId="51C48DBA">
            <w:pPr>
              <w:spacing w:line="440" w:lineRule="exact"/>
              <w:ind w:firstLine="470" w:firstLineChars="196"/>
              <w:rPr>
                <w:rFonts w:ascii="Times New Roman" w:hAnsi="Times New Roman"/>
                <w:b/>
                <w:color w:val="auto"/>
                <w:sz w:val="24"/>
                <w:szCs w:val="24"/>
                <w:highlight w:val="none"/>
              </w:rPr>
            </w:pPr>
            <w:r>
              <w:rPr>
                <w:rFonts w:ascii="Times New Roman" w:hAnsi="Times New Roman"/>
                <w:color w:val="auto"/>
                <w:sz w:val="24"/>
                <w:szCs w:val="20"/>
                <w:highlight w:val="none"/>
              </w:rPr>
              <w:t>因此，在落实各项防渗措施后，项目不会对区域地下水、土壤环境产生明显影响。</w:t>
            </w:r>
          </w:p>
          <w:p w14:paraId="14A53B47">
            <w:pPr>
              <w:spacing w:line="440" w:lineRule="exact"/>
              <w:ind w:firstLine="472" w:firstLineChars="196"/>
              <w:rPr>
                <w:rFonts w:ascii="Times New Roman" w:hAnsi="Times New Roman"/>
                <w:b/>
                <w:color w:val="auto"/>
                <w:sz w:val="24"/>
                <w:szCs w:val="24"/>
                <w:highlight w:val="none"/>
              </w:rPr>
            </w:pPr>
            <w:r>
              <w:rPr>
                <w:rFonts w:hint="eastAsia" w:ascii="Times New Roman" w:hAnsi="Times New Roman"/>
                <w:b/>
                <w:color w:val="auto"/>
                <w:sz w:val="24"/>
                <w:szCs w:val="24"/>
                <w:highlight w:val="none"/>
              </w:rPr>
              <w:t>6、环境风险评价</w:t>
            </w:r>
          </w:p>
          <w:p w14:paraId="53F6615D">
            <w:pPr>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（1）危险物质识别</w:t>
            </w:r>
          </w:p>
          <w:p w14:paraId="2175FEC4">
            <w:pPr>
              <w:spacing w:line="360" w:lineRule="auto"/>
              <w:ind w:firstLine="480" w:firstLineChars="200"/>
              <w:rPr>
                <w:rFonts w:ascii="Times New Roman" w:hAnsi="Times New Roman"/>
                <w:bCs/>
                <w:color w:val="auto"/>
                <w:sz w:val="24"/>
                <w:szCs w:val="24"/>
                <w:highlight w:val="none"/>
              </w:rPr>
            </w:pPr>
            <w:r>
              <w:rPr>
                <w:rFonts w:hint="eastAsia" w:ascii="Times New Roman" w:hAnsi="Times New Roman"/>
                <w:bCs/>
                <w:color w:val="auto"/>
                <w:sz w:val="24"/>
                <w:szCs w:val="24"/>
                <w:highlight w:val="none"/>
              </w:rPr>
              <w:t>拟建项目时候用的原辅材料主要为</w:t>
            </w:r>
            <w:r>
              <w:rPr>
                <w:rFonts w:hint="eastAsia" w:ascii="Times New Roman" w:hAnsi="Times New Roman"/>
                <w:bCs/>
                <w:color w:val="auto"/>
                <w:sz w:val="24"/>
                <w:szCs w:val="24"/>
                <w:highlight w:val="none"/>
                <w:lang w:val="en-US" w:eastAsia="zh-CN"/>
              </w:rPr>
              <w:t>玻璃原片</w:t>
            </w:r>
            <w:r>
              <w:rPr>
                <w:rFonts w:hint="eastAsia" w:ascii="Times New Roman" w:hAnsi="Times New Roman"/>
                <w:bCs/>
                <w:color w:val="auto"/>
                <w:sz w:val="24"/>
                <w:szCs w:val="24"/>
                <w:highlight w:val="none"/>
              </w:rPr>
              <w:t>；厂内</w:t>
            </w:r>
            <w:r>
              <w:rPr>
                <w:rFonts w:hint="eastAsia" w:ascii="Times New Roman" w:hAnsi="Times New Roman"/>
                <w:bCs/>
                <w:color w:val="auto"/>
                <w:sz w:val="24"/>
                <w:szCs w:val="24"/>
                <w:highlight w:val="none"/>
                <w:lang w:val="en-US" w:eastAsia="zh-CN"/>
              </w:rPr>
              <w:t>废水</w:t>
            </w:r>
            <w:r>
              <w:rPr>
                <w:rFonts w:hint="eastAsia" w:ascii="Times New Roman" w:hAnsi="Times New Roman"/>
                <w:bCs/>
                <w:color w:val="auto"/>
                <w:sz w:val="24"/>
                <w:szCs w:val="24"/>
                <w:highlight w:val="none"/>
              </w:rPr>
              <w:t>根据废水源强分析可知，厂内废水COD浓度小于</w:t>
            </w:r>
            <w:r>
              <w:rPr>
                <w:rFonts w:ascii="Times New Roman" w:hAnsi="Times New Roman"/>
                <w:bCs/>
                <w:color w:val="auto"/>
                <w:sz w:val="24"/>
                <w:szCs w:val="24"/>
                <w:highlight w:val="none"/>
              </w:rPr>
              <w:t>10000mg/L，NH</w:t>
            </w:r>
            <w:r>
              <w:rPr>
                <w:rFonts w:ascii="Times New Roman" w:hAnsi="Times New Roman"/>
                <w:bCs/>
                <w:color w:val="auto"/>
                <w:sz w:val="24"/>
                <w:szCs w:val="24"/>
                <w:highlight w:val="none"/>
                <w:vertAlign w:val="subscript"/>
              </w:rPr>
              <w:t>3</w:t>
            </w:r>
            <w:r>
              <w:rPr>
                <w:rFonts w:ascii="Times New Roman" w:hAnsi="Times New Roman"/>
                <w:bCs/>
                <w:color w:val="auto"/>
                <w:sz w:val="24"/>
                <w:szCs w:val="24"/>
                <w:highlight w:val="none"/>
              </w:rPr>
              <w:t>-N浓度小于2000mg/L</w:t>
            </w:r>
            <w:r>
              <w:rPr>
                <w:rFonts w:hint="eastAsia" w:ascii="Times New Roman" w:hAnsi="Times New Roman"/>
                <w:bCs/>
                <w:color w:val="auto"/>
                <w:sz w:val="24"/>
                <w:szCs w:val="24"/>
                <w:highlight w:val="none"/>
              </w:rPr>
              <w:t>；涉及的固体废物为</w:t>
            </w:r>
            <w:r>
              <w:rPr>
                <w:rFonts w:hint="eastAsia" w:ascii="Times New Roman" w:hAnsi="Times New Roman"/>
                <w:bCs/>
                <w:color w:val="auto"/>
                <w:sz w:val="24"/>
                <w:szCs w:val="24"/>
                <w:highlight w:val="none"/>
                <w:lang w:val="en-US" w:eastAsia="zh-CN"/>
              </w:rPr>
              <w:t>废玻璃屑、废高反射膜材料桶、废含高反射膜材料抹布、废印版、废耗材、</w:t>
            </w:r>
            <w:r>
              <w:rPr>
                <w:rFonts w:hint="eastAsia" w:ascii="Times New Roman" w:hAnsi="Times New Roman"/>
                <w:bCs/>
                <w:color w:val="auto"/>
                <w:sz w:val="24"/>
                <w:szCs w:val="24"/>
                <w:highlight w:val="none"/>
              </w:rPr>
              <w:t>不合格品</w:t>
            </w:r>
            <w:r>
              <w:rPr>
                <w:rFonts w:hint="eastAsia" w:ascii="Times New Roman" w:hAnsi="宋体"/>
                <w:color w:val="auto"/>
                <w:kern w:val="0"/>
                <w:sz w:val="24"/>
                <w:szCs w:val="24"/>
                <w:highlight w:val="none"/>
              </w:rPr>
              <w:t>、</w:t>
            </w:r>
            <w:r>
              <w:rPr>
                <w:rFonts w:ascii="Times New Roman" w:hAnsi="Times New Roman"/>
                <w:color w:val="auto"/>
                <w:sz w:val="24"/>
                <w:highlight w:val="none"/>
              </w:rPr>
              <w:t>废</w:t>
            </w:r>
            <w:r>
              <w:rPr>
                <w:rFonts w:hint="eastAsia" w:ascii="Times New Roman" w:hAnsi="Times New Roman"/>
                <w:color w:val="auto"/>
                <w:sz w:val="24"/>
                <w:highlight w:val="none"/>
                <w:lang w:eastAsia="zh-CN"/>
              </w:rPr>
              <w:t>润滑油</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废</w:t>
            </w:r>
            <w:r>
              <w:rPr>
                <w:rFonts w:hint="eastAsia" w:ascii="Times New Roman" w:hAnsi="Times New Roman"/>
                <w:color w:val="auto"/>
                <w:sz w:val="24"/>
                <w:highlight w:val="none"/>
                <w:lang w:eastAsia="zh-CN"/>
              </w:rPr>
              <w:t>润滑油</w:t>
            </w:r>
            <w:r>
              <w:rPr>
                <w:rFonts w:hint="eastAsia" w:ascii="Times New Roman" w:hAnsi="Times New Roman"/>
                <w:color w:val="auto"/>
                <w:sz w:val="24"/>
                <w:highlight w:val="none"/>
              </w:rPr>
              <w:t>桶、废活性炭</w:t>
            </w:r>
            <w:r>
              <w:rPr>
                <w:rFonts w:hint="eastAsia" w:ascii="Times New Roman" w:hAnsi="Times New Roman"/>
                <w:bCs/>
                <w:color w:val="auto"/>
                <w:sz w:val="24"/>
                <w:szCs w:val="24"/>
                <w:highlight w:val="none"/>
              </w:rPr>
              <w:t>和生活垃圾。</w:t>
            </w:r>
          </w:p>
          <w:p w14:paraId="56E87A81">
            <w:pPr>
              <w:spacing w:line="360" w:lineRule="auto"/>
              <w:ind w:firstLine="480" w:firstLineChars="200"/>
              <w:rPr>
                <w:rFonts w:ascii="Times New Roman" w:hAnsi="Times New Roman"/>
                <w:bCs/>
                <w:color w:val="auto"/>
                <w:sz w:val="24"/>
                <w:szCs w:val="24"/>
                <w:highlight w:val="none"/>
              </w:rPr>
            </w:pPr>
            <w:r>
              <w:rPr>
                <w:rFonts w:hint="eastAsia" w:ascii="Times New Roman" w:hAnsi="Times New Roman"/>
                <w:bCs/>
                <w:color w:val="auto"/>
                <w:sz w:val="24"/>
                <w:szCs w:val="24"/>
                <w:highlight w:val="none"/>
              </w:rPr>
              <w:t>根据《危险化学品名录》和《建设项目环境风险评价技术导则》（HJ 169-2018）附录B中突发环境事件风险物质及临界值表</w:t>
            </w:r>
            <w:r>
              <w:rPr>
                <w:rFonts w:ascii="Times New Roman" w:hAnsi="Times New Roman"/>
                <w:bCs/>
                <w:color w:val="auto"/>
                <w:sz w:val="24"/>
                <w:szCs w:val="24"/>
                <w:highlight w:val="none"/>
              </w:rPr>
              <w:t>，本项目</w:t>
            </w:r>
            <w:r>
              <w:rPr>
                <w:rFonts w:hint="eastAsia" w:ascii="Times New Roman" w:hAnsi="Times New Roman"/>
                <w:bCs/>
                <w:color w:val="auto"/>
                <w:sz w:val="24"/>
                <w:szCs w:val="24"/>
                <w:highlight w:val="none"/>
              </w:rPr>
              <w:t>涉及的危险物质为</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val="en-US" w:eastAsia="zh-CN"/>
              </w:rPr>
              <w:t>高反射膜材料、</w:t>
            </w:r>
            <w:r>
              <w:rPr>
                <w:rFonts w:hint="eastAsia" w:ascii="Times New Roman" w:hAnsi="Times New Roman"/>
                <w:bCs/>
                <w:color w:val="auto"/>
                <w:sz w:val="24"/>
                <w:szCs w:val="24"/>
                <w:highlight w:val="none"/>
              </w:rPr>
              <w:t>废</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、废</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桶、</w:t>
            </w:r>
            <w:r>
              <w:rPr>
                <w:rFonts w:hint="eastAsia" w:ascii="Times New Roman" w:hAnsi="Times New Roman"/>
                <w:bCs/>
                <w:color w:val="auto"/>
                <w:sz w:val="24"/>
                <w:szCs w:val="24"/>
                <w:highlight w:val="none"/>
                <w:lang w:val="en-US" w:eastAsia="zh-CN"/>
              </w:rPr>
              <w:t>废高反射膜材料桶、废含高反射膜材料抹布、废含润滑油抹布</w:t>
            </w:r>
            <w:r>
              <w:rPr>
                <w:rFonts w:hint="eastAsia" w:ascii="Times New Roman" w:hAnsi="Times New Roman"/>
                <w:bCs/>
                <w:color w:val="auto"/>
                <w:sz w:val="24"/>
                <w:szCs w:val="24"/>
                <w:highlight w:val="none"/>
              </w:rPr>
              <w:t>。</w:t>
            </w:r>
          </w:p>
          <w:p w14:paraId="23C18014">
            <w:pPr>
              <w:spacing w:line="360" w:lineRule="auto"/>
              <w:ind w:firstLine="480" w:firstLineChars="200"/>
              <w:jc w:val="left"/>
              <w:rPr>
                <w:color w:val="auto"/>
                <w:sz w:val="24"/>
                <w:highlight w:val="none"/>
              </w:rPr>
            </w:pPr>
            <w:r>
              <w:rPr>
                <w:rFonts w:hint="eastAsia"/>
                <w:color w:val="auto"/>
                <w:sz w:val="24"/>
                <w:highlight w:val="none"/>
              </w:rPr>
              <w:t>本项目涉及危险物质情况详见下表。</w:t>
            </w:r>
          </w:p>
          <w:p w14:paraId="191028E5">
            <w:pPr>
              <w:spacing w:line="360" w:lineRule="auto"/>
              <w:jc w:val="center"/>
              <w:rPr>
                <w:rFonts w:ascii="Times New Roman" w:hAnsi="Times New Roman" w:eastAsia="黑体"/>
                <w:bCs/>
                <w:color w:val="auto"/>
                <w:sz w:val="24"/>
                <w:highlight w:val="none"/>
              </w:rPr>
            </w:pPr>
            <w:r>
              <w:rPr>
                <w:rFonts w:ascii="Times New Roman" w:hAnsi="Times New Roman" w:eastAsia="黑体"/>
                <w:bCs/>
                <w:color w:val="auto"/>
                <w:sz w:val="24"/>
                <w:highlight w:val="none"/>
              </w:rPr>
              <w:t>表4-1</w:t>
            </w:r>
            <w:r>
              <w:rPr>
                <w:rFonts w:hint="eastAsia" w:ascii="Times New Roman" w:hAnsi="Times New Roman" w:eastAsia="黑体"/>
                <w:bCs/>
                <w:color w:val="auto"/>
                <w:sz w:val="24"/>
                <w:highlight w:val="none"/>
                <w:lang w:val="en-US" w:eastAsia="zh-CN"/>
              </w:rPr>
              <w:t>8</w:t>
            </w:r>
            <w:r>
              <w:rPr>
                <w:rFonts w:ascii="Times New Roman" w:hAnsi="Times New Roman" w:eastAsia="黑体"/>
                <w:bCs/>
                <w:color w:val="auto"/>
                <w:sz w:val="24"/>
                <w:highlight w:val="none"/>
              </w:rPr>
              <w:t xml:space="preserve"> 本项目涉及的</w:t>
            </w:r>
            <w:r>
              <w:rPr>
                <w:rFonts w:ascii="Times New Roman" w:hAnsi="Times New Roman" w:eastAsia="黑体"/>
                <w:color w:val="auto"/>
                <w:sz w:val="24"/>
                <w:highlight w:val="none"/>
              </w:rPr>
              <w:t>危险物质</w:t>
            </w:r>
            <w:r>
              <w:rPr>
                <w:rFonts w:ascii="Times New Roman" w:hAnsi="Times New Roman" w:eastAsia="黑体"/>
                <w:bCs/>
                <w:color w:val="auto"/>
                <w:sz w:val="24"/>
                <w:highlight w:val="none"/>
              </w:rPr>
              <w:t>情况一览表</w:t>
            </w:r>
          </w:p>
          <w:tbl>
            <w:tblPr>
              <w:tblStyle w:val="2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474"/>
              <w:gridCol w:w="1576"/>
              <w:gridCol w:w="1513"/>
              <w:gridCol w:w="1603"/>
            </w:tblGrid>
            <w:tr w14:paraId="078C96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5" w:type="pct"/>
                  <w:gridSpan w:val="2"/>
                  <w:noWrap w:val="0"/>
                  <w:vAlign w:val="center"/>
                </w:tcPr>
                <w:p w14:paraId="7F0D7D40">
                  <w:pPr>
                    <w:autoSpaceDE w:val="0"/>
                    <w:autoSpaceDN w:val="0"/>
                    <w:spacing w:line="276" w:lineRule="auto"/>
                    <w:jc w:val="center"/>
                    <w:rPr>
                      <w:rFonts w:ascii="Times New Roman" w:hAnsi="Times New Roman"/>
                      <w:b/>
                      <w:bCs/>
                      <w:color w:val="auto"/>
                      <w:szCs w:val="21"/>
                      <w:highlight w:val="none"/>
                      <w:lang w:val="zh-CN"/>
                    </w:rPr>
                  </w:pPr>
                  <w:r>
                    <w:rPr>
                      <w:rFonts w:ascii="Times New Roman" w:hAnsi="Times New Roman"/>
                      <w:b/>
                      <w:bCs/>
                      <w:color w:val="auto"/>
                      <w:szCs w:val="21"/>
                      <w:highlight w:val="none"/>
                      <w:lang w:val="zh-CN"/>
                    </w:rPr>
                    <w:t>物质名称</w:t>
                  </w:r>
                </w:p>
              </w:tc>
              <w:tc>
                <w:tcPr>
                  <w:tcW w:w="998" w:type="pct"/>
                  <w:noWrap w:val="0"/>
                  <w:vAlign w:val="center"/>
                </w:tcPr>
                <w:p w14:paraId="633381CF">
                  <w:pPr>
                    <w:autoSpaceDE w:val="0"/>
                    <w:autoSpaceDN w:val="0"/>
                    <w:spacing w:line="276" w:lineRule="auto"/>
                    <w:jc w:val="center"/>
                    <w:rPr>
                      <w:rFonts w:ascii="Times New Roman" w:hAnsi="Times New Roman"/>
                      <w:b/>
                      <w:bCs/>
                      <w:color w:val="auto"/>
                      <w:szCs w:val="21"/>
                      <w:highlight w:val="none"/>
                      <w:lang w:val="zh-CN"/>
                    </w:rPr>
                  </w:pPr>
                  <w:r>
                    <w:rPr>
                      <w:rFonts w:ascii="Times New Roman" w:hAnsi="Times New Roman"/>
                      <w:b/>
                      <w:bCs/>
                      <w:color w:val="auto"/>
                      <w:szCs w:val="21"/>
                      <w:highlight w:val="none"/>
                      <w:lang w:val="zh-CN"/>
                    </w:rPr>
                    <w:t>厂区最大存在量（t）</w:t>
                  </w:r>
                </w:p>
              </w:tc>
              <w:tc>
                <w:tcPr>
                  <w:tcW w:w="959" w:type="pct"/>
                  <w:noWrap w:val="0"/>
                  <w:vAlign w:val="center"/>
                </w:tcPr>
                <w:p w14:paraId="53FE3254">
                  <w:pPr>
                    <w:autoSpaceDE w:val="0"/>
                    <w:autoSpaceDN w:val="0"/>
                    <w:spacing w:line="276" w:lineRule="auto"/>
                    <w:jc w:val="center"/>
                    <w:rPr>
                      <w:rFonts w:ascii="Times New Roman" w:hAnsi="Times New Roman"/>
                      <w:b/>
                      <w:bCs/>
                      <w:color w:val="auto"/>
                      <w:szCs w:val="21"/>
                      <w:highlight w:val="none"/>
                      <w:lang w:val="zh-CN"/>
                    </w:rPr>
                  </w:pPr>
                  <w:r>
                    <w:rPr>
                      <w:rFonts w:ascii="Times New Roman" w:hAnsi="Times New Roman"/>
                      <w:b/>
                      <w:color w:val="auto"/>
                      <w:szCs w:val="21"/>
                      <w:highlight w:val="none"/>
                    </w:rPr>
                    <w:t>临界量</w:t>
                  </w:r>
                  <w:r>
                    <w:rPr>
                      <w:rFonts w:ascii="Times New Roman" w:hAnsi="Times New Roman"/>
                      <w:b/>
                      <w:bCs/>
                      <w:color w:val="auto"/>
                      <w:szCs w:val="21"/>
                      <w:highlight w:val="none"/>
                      <w:lang w:val="zh-CN"/>
                    </w:rPr>
                    <w:t>（t）</w:t>
                  </w:r>
                </w:p>
              </w:tc>
              <w:tc>
                <w:tcPr>
                  <w:tcW w:w="1016" w:type="pct"/>
                  <w:noWrap w:val="0"/>
                  <w:vAlign w:val="center"/>
                </w:tcPr>
                <w:p w14:paraId="208152F4">
                  <w:pPr>
                    <w:autoSpaceDE w:val="0"/>
                    <w:autoSpaceDN w:val="0"/>
                    <w:spacing w:line="276" w:lineRule="auto"/>
                    <w:jc w:val="center"/>
                    <w:rPr>
                      <w:rFonts w:ascii="Times New Roman" w:hAnsi="Times New Roman"/>
                      <w:b/>
                      <w:bCs/>
                      <w:color w:val="auto"/>
                      <w:szCs w:val="21"/>
                      <w:highlight w:val="none"/>
                      <w:lang w:val="zh-CN"/>
                    </w:rPr>
                  </w:pPr>
                  <w:r>
                    <w:rPr>
                      <w:rFonts w:ascii="Times New Roman" w:hAnsi="Times New Roman"/>
                      <w:b/>
                      <w:bCs/>
                      <w:color w:val="auto"/>
                      <w:szCs w:val="21"/>
                      <w:highlight w:val="none"/>
                      <w:lang w:val="zh-CN"/>
                    </w:rPr>
                    <w:t>Q值</w:t>
                  </w:r>
                </w:p>
              </w:tc>
            </w:tr>
            <w:tr w14:paraId="1E070C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5" w:type="pct"/>
                  <w:gridSpan w:val="2"/>
                  <w:noWrap w:val="0"/>
                  <w:vAlign w:val="center"/>
                </w:tcPr>
                <w:p w14:paraId="76F28939">
                  <w:pPr>
                    <w:autoSpaceDE w:val="0"/>
                    <w:autoSpaceDN w:val="0"/>
                    <w:spacing w:line="276" w:lineRule="auto"/>
                    <w:jc w:val="center"/>
                    <w:rPr>
                      <w:rFonts w:hint="eastAsia" w:ascii="Times New Roman" w:hAnsi="Times New Roman" w:eastAsia="宋体"/>
                      <w:bCs/>
                      <w:color w:val="auto"/>
                      <w:szCs w:val="21"/>
                      <w:highlight w:val="none"/>
                      <w:lang w:val="zh-CN" w:eastAsia="zh-CN"/>
                    </w:rPr>
                  </w:pPr>
                  <w:r>
                    <w:rPr>
                      <w:rFonts w:hint="eastAsia" w:ascii="Times New Roman" w:hAnsi="Times New Roman"/>
                      <w:bCs/>
                      <w:color w:val="auto"/>
                      <w:szCs w:val="21"/>
                      <w:highlight w:val="none"/>
                      <w:lang w:eastAsia="zh-CN"/>
                    </w:rPr>
                    <w:t>润滑油</w:t>
                  </w:r>
                </w:p>
              </w:tc>
              <w:tc>
                <w:tcPr>
                  <w:tcW w:w="998" w:type="pct"/>
                  <w:noWrap w:val="0"/>
                  <w:vAlign w:val="center"/>
                </w:tcPr>
                <w:p w14:paraId="0B915251">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0.2</w:t>
                  </w:r>
                </w:p>
              </w:tc>
              <w:tc>
                <w:tcPr>
                  <w:tcW w:w="959" w:type="pct"/>
                  <w:noWrap w:val="0"/>
                  <w:vAlign w:val="center"/>
                </w:tcPr>
                <w:p w14:paraId="53C8E7EF">
                  <w:pPr>
                    <w:autoSpaceDE w:val="0"/>
                    <w:autoSpaceDN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2500</w:t>
                  </w:r>
                </w:p>
              </w:tc>
              <w:tc>
                <w:tcPr>
                  <w:tcW w:w="1016" w:type="pct"/>
                  <w:noWrap w:val="0"/>
                  <w:vAlign w:val="center"/>
                </w:tcPr>
                <w:p w14:paraId="758ED7A9">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zh-CN"/>
                    </w:rPr>
                    <w:t>0.000</w:t>
                  </w:r>
                  <w:r>
                    <w:rPr>
                      <w:rFonts w:hint="eastAsia" w:ascii="Times New Roman" w:hAnsi="Times New Roman"/>
                      <w:bCs/>
                      <w:color w:val="auto"/>
                      <w:szCs w:val="21"/>
                      <w:highlight w:val="none"/>
                      <w:lang w:val="en-US" w:eastAsia="zh-CN"/>
                    </w:rPr>
                    <w:t>08</w:t>
                  </w:r>
                </w:p>
              </w:tc>
            </w:tr>
            <w:tr w14:paraId="066589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5" w:type="pct"/>
                  <w:gridSpan w:val="2"/>
                  <w:noWrap w:val="0"/>
                  <w:vAlign w:val="center"/>
                </w:tcPr>
                <w:p w14:paraId="74C26788">
                  <w:pPr>
                    <w:autoSpaceDE w:val="0"/>
                    <w:autoSpaceDN w:val="0"/>
                    <w:spacing w:line="276" w:lineRule="auto"/>
                    <w:jc w:val="center"/>
                    <w:rPr>
                      <w:rFonts w:hint="eastAsia" w:ascii="Times New Roman" w:hAnsi="Times New Roman" w:eastAsia="宋体"/>
                      <w:bCs/>
                      <w:color w:val="auto"/>
                      <w:szCs w:val="21"/>
                      <w:highlight w:val="none"/>
                      <w:lang w:eastAsia="zh-CN"/>
                    </w:rPr>
                  </w:pPr>
                  <w:r>
                    <w:rPr>
                      <w:rFonts w:hint="eastAsia" w:ascii="Times New Roman" w:hAnsi="Times New Roman"/>
                      <w:bCs/>
                      <w:color w:val="auto"/>
                      <w:szCs w:val="21"/>
                      <w:highlight w:val="none"/>
                      <w:lang w:val="en-US" w:eastAsia="zh-CN"/>
                    </w:rPr>
                    <w:t>高反射膜材料</w:t>
                  </w:r>
                </w:p>
              </w:tc>
              <w:tc>
                <w:tcPr>
                  <w:tcW w:w="998" w:type="pct"/>
                  <w:noWrap w:val="0"/>
                  <w:vAlign w:val="center"/>
                </w:tcPr>
                <w:p w14:paraId="76370ACC">
                  <w:pPr>
                    <w:autoSpaceDE w:val="0"/>
                    <w:autoSpaceDN w:val="0"/>
                    <w:spacing w:line="276" w:lineRule="auto"/>
                    <w:jc w:val="center"/>
                    <w:rPr>
                      <w:rFonts w:hint="eastAsia" w:ascii="Times New Roman" w:hAnsi="Times New Roman" w:eastAsia="宋体"/>
                      <w:bCs/>
                      <w:color w:val="auto"/>
                      <w:szCs w:val="21"/>
                      <w:highlight w:val="none"/>
                      <w:lang w:eastAsia="zh-CN"/>
                    </w:rPr>
                  </w:pPr>
                  <w:r>
                    <w:rPr>
                      <w:rFonts w:hint="eastAsia" w:ascii="Times New Roman" w:hAnsi="Times New Roman"/>
                      <w:bCs/>
                      <w:color w:val="auto"/>
                      <w:szCs w:val="21"/>
                      <w:highlight w:val="none"/>
                      <w:lang w:val="en-US" w:eastAsia="zh-CN"/>
                    </w:rPr>
                    <w:t>2</w:t>
                  </w:r>
                </w:p>
              </w:tc>
              <w:tc>
                <w:tcPr>
                  <w:tcW w:w="959" w:type="pct"/>
                  <w:noWrap w:val="0"/>
                  <w:vAlign w:val="center"/>
                </w:tcPr>
                <w:p w14:paraId="3D3D1657">
                  <w:pPr>
                    <w:autoSpaceDE w:val="0"/>
                    <w:autoSpaceDN w:val="0"/>
                    <w:spacing w:line="276" w:lineRule="auto"/>
                    <w:jc w:val="center"/>
                    <w:rPr>
                      <w:rFonts w:ascii="Times New Roman" w:hAnsi="Times New Roman"/>
                      <w:bCs/>
                      <w:color w:val="auto"/>
                      <w:szCs w:val="21"/>
                      <w:highlight w:val="none"/>
                    </w:rPr>
                  </w:pPr>
                  <w:r>
                    <w:rPr>
                      <w:rFonts w:ascii="Times New Roman" w:hAnsi="Times New Roman"/>
                      <w:bCs/>
                      <w:color w:val="auto"/>
                      <w:szCs w:val="21"/>
                      <w:highlight w:val="none"/>
                    </w:rPr>
                    <w:t>100</w:t>
                  </w:r>
                </w:p>
              </w:tc>
              <w:tc>
                <w:tcPr>
                  <w:tcW w:w="1016" w:type="pct"/>
                  <w:noWrap w:val="0"/>
                  <w:vAlign w:val="center"/>
                </w:tcPr>
                <w:p w14:paraId="3AA8AC3B">
                  <w:pPr>
                    <w:autoSpaceDE w:val="0"/>
                    <w:autoSpaceDN w:val="0"/>
                    <w:spacing w:line="276" w:lineRule="auto"/>
                    <w:jc w:val="center"/>
                    <w:rPr>
                      <w:rFonts w:hint="eastAsia" w:ascii="Times New Roman" w:hAnsi="Times New Roman" w:eastAsia="宋体"/>
                      <w:bCs/>
                      <w:color w:val="auto"/>
                      <w:szCs w:val="21"/>
                      <w:highlight w:val="none"/>
                      <w:lang w:eastAsia="zh-CN"/>
                    </w:rPr>
                  </w:pPr>
                  <w:r>
                    <w:rPr>
                      <w:rFonts w:hint="eastAsia" w:ascii="Times New Roman" w:hAnsi="Times New Roman"/>
                      <w:bCs/>
                      <w:color w:val="auto"/>
                      <w:szCs w:val="21"/>
                      <w:highlight w:val="none"/>
                    </w:rPr>
                    <w:t>0.0</w:t>
                  </w:r>
                  <w:r>
                    <w:rPr>
                      <w:rFonts w:hint="eastAsia" w:ascii="Times New Roman" w:hAnsi="Times New Roman"/>
                      <w:bCs/>
                      <w:color w:val="auto"/>
                      <w:szCs w:val="21"/>
                      <w:highlight w:val="none"/>
                      <w:lang w:val="en-US" w:eastAsia="zh-CN"/>
                    </w:rPr>
                    <w:t>2</w:t>
                  </w:r>
                </w:p>
              </w:tc>
            </w:tr>
            <w:tr w14:paraId="464BD6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restart"/>
                  <w:noWrap w:val="0"/>
                  <w:vAlign w:val="center"/>
                </w:tcPr>
                <w:p w14:paraId="63824101">
                  <w:pPr>
                    <w:autoSpaceDE w:val="0"/>
                    <w:autoSpaceDN w:val="0"/>
                    <w:spacing w:line="276" w:lineRule="auto"/>
                    <w:jc w:val="center"/>
                    <w:rPr>
                      <w:rFonts w:ascii="Times New Roman" w:hAnsi="Times New Roman"/>
                      <w:bCs/>
                      <w:color w:val="auto"/>
                      <w:szCs w:val="21"/>
                      <w:highlight w:val="none"/>
                      <w:lang w:val="zh-CN"/>
                    </w:rPr>
                  </w:pPr>
                  <w:r>
                    <w:rPr>
                      <w:rFonts w:ascii="Times New Roman" w:hAnsi="Times New Roman"/>
                      <w:bCs/>
                      <w:color w:val="auto"/>
                      <w:szCs w:val="21"/>
                      <w:highlight w:val="none"/>
                      <w:lang w:val="zh-CN"/>
                    </w:rPr>
                    <w:t>其他危废</w:t>
                  </w:r>
                  <w:r>
                    <w:rPr>
                      <w:rFonts w:hint="eastAsia" w:ascii="宋体" w:hAnsi="宋体" w:cs="宋体"/>
                      <w:bCs/>
                      <w:color w:val="auto"/>
                      <w:szCs w:val="21"/>
                      <w:highlight w:val="none"/>
                      <w:vertAlign w:val="superscript"/>
                      <w:lang w:val="zh-CN"/>
                    </w:rPr>
                    <w:t>②</w:t>
                  </w:r>
                </w:p>
              </w:tc>
              <w:tc>
                <w:tcPr>
                  <w:tcW w:w="1568" w:type="pct"/>
                  <w:noWrap w:val="0"/>
                  <w:vAlign w:val="center"/>
                </w:tcPr>
                <w:p w14:paraId="11EEF68C">
                  <w:pPr>
                    <w:autoSpaceDE w:val="0"/>
                    <w:autoSpaceDN w:val="0"/>
                    <w:spacing w:line="276" w:lineRule="auto"/>
                    <w:jc w:val="center"/>
                    <w:rPr>
                      <w:rFonts w:ascii="Times New Roman" w:hAnsi="Times New Roman"/>
                      <w:bCs/>
                      <w:color w:val="auto"/>
                      <w:szCs w:val="21"/>
                      <w:highlight w:val="none"/>
                      <w:lang w:val="zh-CN"/>
                    </w:rPr>
                  </w:pPr>
                  <w:r>
                    <w:rPr>
                      <w:rFonts w:ascii="Times New Roman" w:hAnsi="Times New Roman"/>
                      <w:bCs/>
                      <w:color w:val="auto"/>
                      <w:szCs w:val="21"/>
                      <w:highlight w:val="none"/>
                      <w:lang w:val="zh-CN"/>
                    </w:rPr>
                    <w:t>废</w:t>
                  </w:r>
                  <w:r>
                    <w:rPr>
                      <w:rFonts w:hint="eastAsia" w:ascii="Times New Roman" w:hAnsi="Times New Roman"/>
                      <w:bCs/>
                      <w:color w:val="auto"/>
                      <w:szCs w:val="21"/>
                      <w:highlight w:val="none"/>
                      <w:lang w:val="zh-CN"/>
                    </w:rPr>
                    <w:t>润滑油</w:t>
                  </w:r>
                </w:p>
              </w:tc>
              <w:tc>
                <w:tcPr>
                  <w:tcW w:w="998" w:type="pct"/>
                  <w:noWrap w:val="0"/>
                  <w:vAlign w:val="center"/>
                </w:tcPr>
                <w:p w14:paraId="077E5BD8">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0.1</w:t>
                  </w:r>
                </w:p>
              </w:tc>
              <w:tc>
                <w:tcPr>
                  <w:tcW w:w="959" w:type="pct"/>
                  <w:vMerge w:val="restart"/>
                  <w:noWrap w:val="0"/>
                  <w:vAlign w:val="center"/>
                </w:tcPr>
                <w:p w14:paraId="476A039A">
                  <w:pPr>
                    <w:autoSpaceDE w:val="0"/>
                    <w:autoSpaceDN w:val="0"/>
                    <w:spacing w:line="276" w:lineRule="auto"/>
                    <w:jc w:val="center"/>
                    <w:rPr>
                      <w:rFonts w:ascii="Times New Roman" w:hAnsi="Times New Roman"/>
                      <w:bCs/>
                      <w:color w:val="auto"/>
                      <w:szCs w:val="21"/>
                      <w:highlight w:val="none"/>
                    </w:rPr>
                  </w:pPr>
                  <w:r>
                    <w:rPr>
                      <w:rFonts w:hint="eastAsia" w:ascii="Times New Roman" w:hAnsi="Times New Roman"/>
                      <w:bCs/>
                      <w:color w:val="auto"/>
                      <w:szCs w:val="21"/>
                      <w:highlight w:val="none"/>
                    </w:rPr>
                    <w:t>50</w:t>
                  </w:r>
                </w:p>
              </w:tc>
              <w:tc>
                <w:tcPr>
                  <w:tcW w:w="1016" w:type="pct"/>
                  <w:vMerge w:val="restart"/>
                  <w:noWrap w:val="0"/>
                  <w:vAlign w:val="center"/>
                </w:tcPr>
                <w:p w14:paraId="60B400F6">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0.0426</w:t>
                  </w:r>
                </w:p>
              </w:tc>
            </w:tr>
            <w:tr w14:paraId="371603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vAlign w:val="center"/>
                </w:tcPr>
                <w:p w14:paraId="689129A8">
                  <w:pPr>
                    <w:autoSpaceDE w:val="0"/>
                    <w:autoSpaceDN w:val="0"/>
                    <w:spacing w:line="276" w:lineRule="auto"/>
                    <w:ind w:firstLine="420"/>
                    <w:jc w:val="center"/>
                    <w:rPr>
                      <w:rFonts w:ascii="Times New Roman" w:hAnsi="Times New Roman"/>
                      <w:bCs/>
                      <w:color w:val="auto"/>
                      <w:szCs w:val="21"/>
                      <w:highlight w:val="none"/>
                      <w:lang w:val="zh-CN"/>
                    </w:rPr>
                  </w:pPr>
                </w:p>
              </w:tc>
              <w:tc>
                <w:tcPr>
                  <w:tcW w:w="1568" w:type="pct"/>
                  <w:noWrap w:val="0"/>
                  <w:vAlign w:val="center"/>
                </w:tcPr>
                <w:p w14:paraId="18FBE4AE">
                  <w:pPr>
                    <w:autoSpaceDE w:val="0"/>
                    <w:autoSpaceDN w:val="0"/>
                    <w:spacing w:line="276" w:lineRule="auto"/>
                    <w:jc w:val="center"/>
                    <w:rPr>
                      <w:rFonts w:ascii="Times New Roman" w:hAnsi="Times New Roman"/>
                      <w:bCs/>
                      <w:color w:val="auto"/>
                      <w:szCs w:val="21"/>
                      <w:highlight w:val="none"/>
                      <w:lang w:val="zh-CN"/>
                    </w:rPr>
                  </w:pPr>
                  <w:r>
                    <w:rPr>
                      <w:rFonts w:ascii="Times New Roman" w:hAnsi="Times New Roman"/>
                      <w:bCs/>
                      <w:color w:val="auto"/>
                      <w:szCs w:val="21"/>
                      <w:highlight w:val="none"/>
                      <w:lang w:val="zh-CN"/>
                    </w:rPr>
                    <w:t>废</w:t>
                  </w:r>
                  <w:r>
                    <w:rPr>
                      <w:rFonts w:hint="eastAsia" w:ascii="Times New Roman" w:hAnsi="Times New Roman"/>
                      <w:bCs/>
                      <w:color w:val="auto"/>
                      <w:szCs w:val="21"/>
                      <w:highlight w:val="none"/>
                      <w:lang w:val="zh-CN"/>
                    </w:rPr>
                    <w:t>润滑油</w:t>
                  </w:r>
                  <w:r>
                    <w:rPr>
                      <w:rFonts w:ascii="Times New Roman" w:hAnsi="Times New Roman"/>
                      <w:bCs/>
                      <w:color w:val="auto"/>
                      <w:szCs w:val="21"/>
                      <w:highlight w:val="none"/>
                      <w:lang w:val="zh-CN"/>
                    </w:rPr>
                    <w:t>桶</w:t>
                  </w:r>
                </w:p>
              </w:tc>
              <w:tc>
                <w:tcPr>
                  <w:tcW w:w="998" w:type="pct"/>
                  <w:noWrap w:val="0"/>
                  <w:vAlign w:val="center"/>
                </w:tcPr>
                <w:p w14:paraId="63B53F00">
                  <w:pPr>
                    <w:autoSpaceDE w:val="0"/>
                    <w:autoSpaceDN w:val="0"/>
                    <w:spacing w:line="276" w:lineRule="auto"/>
                    <w:jc w:val="center"/>
                    <w:rPr>
                      <w:rFonts w:hint="eastAsia" w:ascii="Times New Roman" w:hAnsi="Times New Roman" w:eastAsia="宋体"/>
                      <w:bCs/>
                      <w:color w:val="auto"/>
                      <w:szCs w:val="21"/>
                      <w:highlight w:val="none"/>
                      <w:lang w:eastAsia="zh-CN"/>
                    </w:rPr>
                  </w:pPr>
                  <w:r>
                    <w:rPr>
                      <w:rFonts w:hint="eastAsia" w:ascii="Times New Roman" w:hAnsi="Times New Roman"/>
                      <w:bCs/>
                      <w:color w:val="auto"/>
                      <w:szCs w:val="21"/>
                      <w:highlight w:val="none"/>
                    </w:rPr>
                    <w:t>0.0</w:t>
                  </w:r>
                  <w:r>
                    <w:rPr>
                      <w:rFonts w:hint="eastAsia" w:ascii="Times New Roman" w:hAnsi="Times New Roman"/>
                      <w:bCs/>
                      <w:color w:val="auto"/>
                      <w:szCs w:val="21"/>
                      <w:highlight w:val="none"/>
                      <w:lang w:val="en-US" w:eastAsia="zh-CN"/>
                    </w:rPr>
                    <w:t>2</w:t>
                  </w:r>
                </w:p>
              </w:tc>
              <w:tc>
                <w:tcPr>
                  <w:tcW w:w="959" w:type="pct"/>
                  <w:vMerge w:val="continue"/>
                  <w:noWrap w:val="0"/>
                  <w:vAlign w:val="center"/>
                </w:tcPr>
                <w:p w14:paraId="7038A13F">
                  <w:pPr>
                    <w:autoSpaceDE w:val="0"/>
                    <w:autoSpaceDN w:val="0"/>
                    <w:spacing w:line="276" w:lineRule="auto"/>
                    <w:ind w:firstLine="420"/>
                    <w:jc w:val="center"/>
                    <w:rPr>
                      <w:rFonts w:ascii="Times New Roman" w:hAnsi="Times New Roman"/>
                      <w:bCs/>
                      <w:color w:val="auto"/>
                      <w:szCs w:val="21"/>
                      <w:highlight w:val="none"/>
                    </w:rPr>
                  </w:pPr>
                </w:p>
              </w:tc>
              <w:tc>
                <w:tcPr>
                  <w:tcW w:w="1016" w:type="pct"/>
                  <w:vMerge w:val="continue"/>
                  <w:noWrap w:val="0"/>
                  <w:vAlign w:val="center"/>
                </w:tcPr>
                <w:p w14:paraId="085B630F">
                  <w:pPr>
                    <w:autoSpaceDE w:val="0"/>
                    <w:autoSpaceDN w:val="0"/>
                    <w:spacing w:line="276" w:lineRule="auto"/>
                    <w:ind w:firstLine="420"/>
                    <w:jc w:val="center"/>
                    <w:rPr>
                      <w:rFonts w:ascii="Times New Roman" w:hAnsi="Times New Roman"/>
                      <w:bCs/>
                      <w:color w:val="auto"/>
                      <w:szCs w:val="21"/>
                      <w:highlight w:val="none"/>
                    </w:rPr>
                  </w:pPr>
                </w:p>
              </w:tc>
            </w:tr>
            <w:tr w14:paraId="61516F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vAlign w:val="center"/>
                </w:tcPr>
                <w:p w14:paraId="55658544">
                  <w:pPr>
                    <w:autoSpaceDE w:val="0"/>
                    <w:autoSpaceDN w:val="0"/>
                    <w:spacing w:line="276" w:lineRule="auto"/>
                    <w:ind w:firstLine="420"/>
                    <w:jc w:val="center"/>
                    <w:rPr>
                      <w:rFonts w:ascii="Times New Roman" w:hAnsi="Times New Roman"/>
                      <w:bCs/>
                      <w:color w:val="auto"/>
                      <w:szCs w:val="21"/>
                      <w:highlight w:val="none"/>
                      <w:lang w:val="zh-CN"/>
                    </w:rPr>
                  </w:pPr>
                </w:p>
              </w:tc>
              <w:tc>
                <w:tcPr>
                  <w:tcW w:w="1568" w:type="pct"/>
                  <w:noWrap w:val="0"/>
                  <w:vAlign w:val="center"/>
                </w:tcPr>
                <w:p w14:paraId="555067E6">
                  <w:pPr>
                    <w:autoSpaceDE w:val="0"/>
                    <w:autoSpaceDN w:val="0"/>
                    <w:spacing w:line="276" w:lineRule="auto"/>
                    <w:jc w:val="center"/>
                    <w:rPr>
                      <w:rFonts w:hint="eastAsia"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废高反射膜材料桶</w:t>
                  </w:r>
                </w:p>
              </w:tc>
              <w:tc>
                <w:tcPr>
                  <w:tcW w:w="998" w:type="pct"/>
                  <w:noWrap w:val="0"/>
                  <w:vAlign w:val="center"/>
                </w:tcPr>
                <w:p w14:paraId="1211AA4D">
                  <w:pPr>
                    <w:autoSpaceDE w:val="0"/>
                    <w:autoSpaceDN w:val="0"/>
                    <w:spacing w:line="276" w:lineRule="auto"/>
                    <w:jc w:val="center"/>
                    <w:rPr>
                      <w:rFonts w:hint="eastAsia"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1</w:t>
                  </w:r>
                </w:p>
              </w:tc>
              <w:tc>
                <w:tcPr>
                  <w:tcW w:w="959" w:type="pct"/>
                  <w:vMerge w:val="continue"/>
                  <w:noWrap w:val="0"/>
                  <w:vAlign w:val="center"/>
                </w:tcPr>
                <w:p w14:paraId="06FA5AE2">
                  <w:pPr>
                    <w:autoSpaceDE w:val="0"/>
                    <w:autoSpaceDN w:val="0"/>
                    <w:spacing w:line="276" w:lineRule="auto"/>
                    <w:ind w:firstLine="420"/>
                    <w:jc w:val="center"/>
                    <w:rPr>
                      <w:rFonts w:ascii="Times New Roman" w:hAnsi="Times New Roman"/>
                      <w:bCs/>
                      <w:color w:val="auto"/>
                      <w:szCs w:val="21"/>
                      <w:highlight w:val="none"/>
                    </w:rPr>
                  </w:pPr>
                </w:p>
              </w:tc>
              <w:tc>
                <w:tcPr>
                  <w:tcW w:w="1016" w:type="pct"/>
                  <w:vMerge w:val="continue"/>
                  <w:noWrap w:val="0"/>
                  <w:vAlign w:val="center"/>
                </w:tcPr>
                <w:p w14:paraId="58BFA957">
                  <w:pPr>
                    <w:autoSpaceDE w:val="0"/>
                    <w:autoSpaceDN w:val="0"/>
                    <w:spacing w:line="276" w:lineRule="auto"/>
                    <w:ind w:firstLine="420"/>
                    <w:jc w:val="center"/>
                    <w:rPr>
                      <w:rFonts w:ascii="Times New Roman" w:hAnsi="Times New Roman"/>
                      <w:bCs/>
                      <w:color w:val="auto"/>
                      <w:szCs w:val="21"/>
                      <w:highlight w:val="none"/>
                    </w:rPr>
                  </w:pPr>
                </w:p>
              </w:tc>
            </w:tr>
            <w:tr w14:paraId="20AA0E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vAlign w:val="center"/>
                </w:tcPr>
                <w:p w14:paraId="7C7DFDDE">
                  <w:pPr>
                    <w:autoSpaceDE w:val="0"/>
                    <w:autoSpaceDN w:val="0"/>
                    <w:spacing w:line="276" w:lineRule="auto"/>
                    <w:ind w:firstLine="420"/>
                    <w:jc w:val="center"/>
                    <w:rPr>
                      <w:rFonts w:ascii="Times New Roman" w:hAnsi="Times New Roman"/>
                      <w:bCs/>
                      <w:color w:val="auto"/>
                      <w:szCs w:val="21"/>
                      <w:highlight w:val="none"/>
                      <w:lang w:val="zh-CN"/>
                    </w:rPr>
                  </w:pPr>
                </w:p>
              </w:tc>
              <w:tc>
                <w:tcPr>
                  <w:tcW w:w="1568" w:type="pct"/>
                  <w:noWrap w:val="0"/>
                  <w:vAlign w:val="center"/>
                </w:tcPr>
                <w:p w14:paraId="764089BC">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废含高反射膜材料抹布</w:t>
                  </w:r>
                </w:p>
              </w:tc>
              <w:tc>
                <w:tcPr>
                  <w:tcW w:w="998" w:type="pct"/>
                  <w:noWrap w:val="0"/>
                  <w:vAlign w:val="center"/>
                </w:tcPr>
                <w:p w14:paraId="71F67950">
                  <w:pPr>
                    <w:autoSpaceDE w:val="0"/>
                    <w:autoSpaceDN w:val="0"/>
                    <w:spacing w:line="276" w:lineRule="auto"/>
                    <w:jc w:val="center"/>
                    <w:rPr>
                      <w:rFonts w:hint="eastAsia"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1</w:t>
                  </w:r>
                </w:p>
              </w:tc>
              <w:tc>
                <w:tcPr>
                  <w:tcW w:w="959" w:type="pct"/>
                  <w:vMerge w:val="continue"/>
                  <w:noWrap w:val="0"/>
                  <w:vAlign w:val="center"/>
                </w:tcPr>
                <w:p w14:paraId="65ABF3BB">
                  <w:pPr>
                    <w:autoSpaceDE w:val="0"/>
                    <w:autoSpaceDN w:val="0"/>
                    <w:spacing w:line="276" w:lineRule="auto"/>
                    <w:ind w:firstLine="420"/>
                    <w:jc w:val="center"/>
                    <w:rPr>
                      <w:rFonts w:ascii="Times New Roman" w:hAnsi="Times New Roman"/>
                      <w:bCs/>
                      <w:color w:val="auto"/>
                      <w:szCs w:val="21"/>
                      <w:highlight w:val="none"/>
                    </w:rPr>
                  </w:pPr>
                </w:p>
              </w:tc>
              <w:tc>
                <w:tcPr>
                  <w:tcW w:w="1016" w:type="pct"/>
                  <w:vMerge w:val="continue"/>
                  <w:noWrap w:val="0"/>
                  <w:vAlign w:val="center"/>
                </w:tcPr>
                <w:p w14:paraId="31D26320">
                  <w:pPr>
                    <w:autoSpaceDE w:val="0"/>
                    <w:autoSpaceDN w:val="0"/>
                    <w:spacing w:line="276" w:lineRule="auto"/>
                    <w:ind w:firstLine="420"/>
                    <w:jc w:val="center"/>
                    <w:rPr>
                      <w:rFonts w:ascii="Times New Roman" w:hAnsi="Times New Roman"/>
                      <w:bCs/>
                      <w:color w:val="auto"/>
                      <w:szCs w:val="21"/>
                      <w:highlight w:val="none"/>
                    </w:rPr>
                  </w:pPr>
                </w:p>
              </w:tc>
            </w:tr>
            <w:tr w14:paraId="1EDC99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vAlign w:val="center"/>
                </w:tcPr>
                <w:p w14:paraId="5A32600A">
                  <w:pPr>
                    <w:autoSpaceDE w:val="0"/>
                    <w:autoSpaceDN w:val="0"/>
                    <w:spacing w:line="276" w:lineRule="auto"/>
                    <w:ind w:firstLine="420"/>
                    <w:jc w:val="center"/>
                    <w:rPr>
                      <w:rFonts w:ascii="Times New Roman" w:hAnsi="Times New Roman"/>
                      <w:bCs/>
                      <w:color w:val="auto"/>
                      <w:szCs w:val="21"/>
                      <w:highlight w:val="none"/>
                      <w:lang w:val="zh-CN"/>
                    </w:rPr>
                  </w:pPr>
                </w:p>
              </w:tc>
              <w:tc>
                <w:tcPr>
                  <w:tcW w:w="1568" w:type="pct"/>
                  <w:noWrap w:val="0"/>
                  <w:vAlign w:val="center"/>
                </w:tcPr>
                <w:p w14:paraId="7D63F508">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废含润滑油抹布</w:t>
                  </w:r>
                </w:p>
              </w:tc>
              <w:tc>
                <w:tcPr>
                  <w:tcW w:w="998" w:type="pct"/>
                  <w:noWrap w:val="0"/>
                  <w:vAlign w:val="center"/>
                </w:tcPr>
                <w:p w14:paraId="32DFCEC6">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0.01</w:t>
                  </w:r>
                </w:p>
              </w:tc>
              <w:tc>
                <w:tcPr>
                  <w:tcW w:w="959" w:type="pct"/>
                  <w:vMerge w:val="continue"/>
                  <w:noWrap w:val="0"/>
                  <w:vAlign w:val="center"/>
                </w:tcPr>
                <w:p w14:paraId="49C5459D">
                  <w:pPr>
                    <w:autoSpaceDE w:val="0"/>
                    <w:autoSpaceDN w:val="0"/>
                    <w:spacing w:line="276" w:lineRule="auto"/>
                    <w:ind w:firstLine="420"/>
                    <w:jc w:val="center"/>
                    <w:rPr>
                      <w:rFonts w:ascii="Times New Roman" w:hAnsi="Times New Roman"/>
                      <w:bCs/>
                      <w:color w:val="auto"/>
                      <w:szCs w:val="21"/>
                      <w:highlight w:val="none"/>
                    </w:rPr>
                  </w:pPr>
                </w:p>
              </w:tc>
              <w:tc>
                <w:tcPr>
                  <w:tcW w:w="1016" w:type="pct"/>
                  <w:vMerge w:val="continue"/>
                  <w:noWrap w:val="0"/>
                  <w:vAlign w:val="center"/>
                </w:tcPr>
                <w:p w14:paraId="2D9E7692">
                  <w:pPr>
                    <w:autoSpaceDE w:val="0"/>
                    <w:autoSpaceDN w:val="0"/>
                    <w:spacing w:line="276" w:lineRule="auto"/>
                    <w:ind w:firstLine="420"/>
                    <w:jc w:val="center"/>
                    <w:rPr>
                      <w:rFonts w:ascii="Times New Roman" w:hAnsi="Times New Roman"/>
                      <w:bCs/>
                      <w:color w:val="auto"/>
                      <w:szCs w:val="21"/>
                      <w:highlight w:val="none"/>
                    </w:rPr>
                  </w:pPr>
                </w:p>
              </w:tc>
            </w:tr>
            <w:tr w14:paraId="6506D0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3" w:type="pct"/>
                  <w:gridSpan w:val="4"/>
                  <w:noWrap w:val="0"/>
                  <w:vAlign w:val="center"/>
                </w:tcPr>
                <w:p w14:paraId="4372DDF4">
                  <w:pPr>
                    <w:autoSpaceDE w:val="0"/>
                    <w:autoSpaceDN w:val="0"/>
                    <w:spacing w:line="276" w:lineRule="auto"/>
                    <w:jc w:val="center"/>
                    <w:rPr>
                      <w:rFonts w:ascii="Times New Roman" w:hAnsi="Times New Roman"/>
                      <w:bCs/>
                      <w:color w:val="auto"/>
                      <w:szCs w:val="21"/>
                      <w:highlight w:val="none"/>
                      <w:lang w:val="zh-CN"/>
                    </w:rPr>
                  </w:pPr>
                  <w:r>
                    <w:rPr>
                      <w:rFonts w:ascii="Times New Roman" w:hAnsi="Times New Roman"/>
                      <w:bCs/>
                      <w:color w:val="auto"/>
                      <w:szCs w:val="21"/>
                      <w:highlight w:val="none"/>
                      <w:lang w:val="zh-CN"/>
                    </w:rPr>
                    <w:t>合计</w:t>
                  </w:r>
                </w:p>
              </w:tc>
              <w:tc>
                <w:tcPr>
                  <w:tcW w:w="1016" w:type="pct"/>
                  <w:noWrap w:val="0"/>
                  <w:vAlign w:val="center"/>
                </w:tcPr>
                <w:p w14:paraId="1AC44D52">
                  <w:pPr>
                    <w:autoSpaceDE w:val="0"/>
                    <w:autoSpaceDN w:val="0"/>
                    <w:spacing w:line="276" w:lineRule="auto"/>
                    <w:jc w:val="center"/>
                    <w:rPr>
                      <w:rFonts w:hint="default"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lang w:val="en-US" w:eastAsia="zh-CN"/>
                    </w:rPr>
                    <w:t>0.06268</w:t>
                  </w:r>
                </w:p>
              </w:tc>
            </w:tr>
          </w:tbl>
          <w:p w14:paraId="43D6A296">
            <w:pPr>
              <w:adjustRightInd w:val="0"/>
              <w:snapToGrid w:val="0"/>
              <w:rPr>
                <w:rFonts w:hint="eastAsia" w:ascii="Times New Roman" w:hAnsi="Times New Roman" w:eastAsia="宋体"/>
                <w:color w:val="auto"/>
                <w:kern w:val="0"/>
                <w:szCs w:val="21"/>
                <w:highlight w:val="none"/>
                <w:lang w:eastAsia="zh-CN"/>
              </w:rPr>
            </w:pPr>
            <w:r>
              <w:rPr>
                <w:rFonts w:ascii="Times New Roman" w:hAnsi="Times New Roman"/>
                <w:color w:val="auto"/>
                <w:kern w:val="0"/>
                <w:szCs w:val="21"/>
                <w:highlight w:val="none"/>
              </w:rPr>
              <w:t>注：</w:t>
            </w:r>
            <w:r>
              <w:rPr>
                <w:rFonts w:ascii="Times New Roman" w:hAnsi="宋体"/>
                <w:color w:val="auto"/>
                <w:kern w:val="0"/>
                <w:szCs w:val="21"/>
                <w:highlight w:val="none"/>
              </w:rPr>
              <w:t>①</w:t>
            </w:r>
            <w:r>
              <w:rPr>
                <w:rFonts w:hint="eastAsia" w:ascii="Times New Roman" w:hAnsi="宋体"/>
                <w:color w:val="auto"/>
                <w:kern w:val="0"/>
                <w:szCs w:val="21"/>
                <w:highlight w:val="none"/>
                <w:lang w:val="en-US" w:eastAsia="zh-CN"/>
              </w:rPr>
              <w:t>高反射膜材料</w:t>
            </w:r>
            <w:r>
              <w:rPr>
                <w:rFonts w:ascii="Times New Roman" w:hAnsi="宋体"/>
                <w:color w:val="auto"/>
                <w:kern w:val="0"/>
                <w:szCs w:val="21"/>
                <w:highlight w:val="none"/>
              </w:rPr>
              <w:t>参照</w:t>
            </w:r>
            <w:r>
              <w:rPr>
                <w:rFonts w:ascii="Times New Roman" w:hAnsi="Times New Roman"/>
                <w:color w:val="auto"/>
                <w:kern w:val="0"/>
                <w:szCs w:val="21"/>
                <w:highlight w:val="none"/>
              </w:rPr>
              <w:t>《建设项目环境风险评价技术导则》（HJ 169-2018）附录B中表B.2危害水环境物质临界值：100t</w:t>
            </w:r>
            <w:r>
              <w:rPr>
                <w:rFonts w:ascii="Times New Roman" w:hAnsi="宋体"/>
                <w:color w:val="auto"/>
                <w:kern w:val="0"/>
                <w:szCs w:val="21"/>
                <w:highlight w:val="none"/>
              </w:rPr>
              <w:t>；②</w:t>
            </w:r>
            <w:r>
              <w:rPr>
                <w:rFonts w:ascii="Times New Roman" w:hAnsi="Times New Roman"/>
                <w:color w:val="auto"/>
                <w:kern w:val="0"/>
                <w:szCs w:val="21"/>
                <w:highlight w:val="none"/>
              </w:rPr>
              <w:t>其他危废参照《建设项目环境风险评价技术导则》（HJ 169-2018）附录B中表B.2健康危险急性毒性物质临界量：50t</w:t>
            </w:r>
            <w:r>
              <w:rPr>
                <w:rFonts w:hint="eastAsia" w:ascii="Times New Roman" w:hAnsi="Times New Roman"/>
                <w:color w:val="auto"/>
                <w:kern w:val="0"/>
                <w:szCs w:val="21"/>
                <w:highlight w:val="none"/>
                <w:lang w:eastAsia="zh-CN"/>
              </w:rPr>
              <w:t>。</w:t>
            </w:r>
          </w:p>
          <w:p w14:paraId="77D64EA3">
            <w:pPr>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（2）危险物质及风险源分布</w:t>
            </w:r>
            <w:r>
              <w:rPr>
                <w:rFonts w:ascii="Times New Roman" w:hAnsi="Times New Roman"/>
                <w:b/>
                <w:bCs/>
                <w:color w:val="auto"/>
                <w:sz w:val="24"/>
                <w:highlight w:val="none"/>
              </w:rPr>
              <w:t>情况</w:t>
            </w:r>
          </w:p>
          <w:p w14:paraId="3D1A5E05">
            <w:pPr>
              <w:spacing w:line="360" w:lineRule="auto"/>
              <w:ind w:firstLine="480" w:firstLineChars="200"/>
              <w:rPr>
                <w:rFonts w:ascii="Times New Roman" w:hAnsi="Times New Roman"/>
                <w:color w:val="auto"/>
                <w:sz w:val="24"/>
                <w:szCs w:val="28"/>
                <w:highlight w:val="none"/>
              </w:rPr>
            </w:pPr>
            <w:r>
              <w:rPr>
                <w:rFonts w:hint="eastAsia" w:ascii="Times New Roman" w:hAnsi="Times New Roman"/>
                <w:color w:val="auto"/>
                <w:sz w:val="24"/>
                <w:szCs w:val="28"/>
                <w:highlight w:val="none"/>
              </w:rPr>
              <w:t>本项目危险物质主要为</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w:t>
            </w:r>
            <w:r>
              <w:rPr>
                <w:rFonts w:hint="eastAsia" w:ascii="Times New Roman" w:hAnsi="Times New Roman"/>
                <w:bCs/>
                <w:color w:val="auto"/>
                <w:sz w:val="24"/>
                <w:szCs w:val="24"/>
                <w:highlight w:val="none"/>
                <w:lang w:val="en-US" w:eastAsia="zh-CN"/>
              </w:rPr>
              <w:t>高反射膜材料、</w:t>
            </w:r>
            <w:r>
              <w:rPr>
                <w:rFonts w:hint="eastAsia" w:ascii="Times New Roman" w:hAnsi="Times New Roman"/>
                <w:bCs/>
                <w:color w:val="auto"/>
                <w:sz w:val="24"/>
                <w:szCs w:val="24"/>
                <w:highlight w:val="none"/>
              </w:rPr>
              <w:t>废</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、废</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桶、</w:t>
            </w:r>
            <w:r>
              <w:rPr>
                <w:rFonts w:hint="eastAsia" w:ascii="Times New Roman" w:hAnsi="Times New Roman"/>
                <w:bCs/>
                <w:color w:val="auto"/>
                <w:sz w:val="24"/>
                <w:szCs w:val="24"/>
                <w:highlight w:val="none"/>
                <w:lang w:val="en-US" w:eastAsia="zh-CN"/>
              </w:rPr>
              <w:t>废高反射膜材料桶、废含高反射膜材料抹布、废含润滑油抹布</w:t>
            </w:r>
            <w:r>
              <w:rPr>
                <w:rFonts w:hint="eastAsia" w:ascii="Times New Roman" w:hAnsi="Times New Roman"/>
                <w:color w:val="auto"/>
                <w:sz w:val="24"/>
                <w:szCs w:val="28"/>
                <w:highlight w:val="none"/>
              </w:rPr>
              <w:t>，其中</w:t>
            </w:r>
            <w:r>
              <w:rPr>
                <w:rFonts w:hint="eastAsia" w:ascii="Times New Roman" w:hAnsi="Times New Roman"/>
                <w:color w:val="auto"/>
                <w:sz w:val="24"/>
                <w:szCs w:val="28"/>
                <w:highlight w:val="none"/>
                <w:lang w:eastAsia="zh-CN"/>
              </w:rPr>
              <w:t>润滑油</w:t>
            </w:r>
            <w:r>
              <w:rPr>
                <w:rFonts w:hint="eastAsia" w:ascii="Times New Roman" w:hAnsi="Times New Roman"/>
                <w:color w:val="auto"/>
                <w:sz w:val="24"/>
                <w:szCs w:val="28"/>
                <w:highlight w:val="none"/>
              </w:rPr>
              <w:t>、</w:t>
            </w:r>
            <w:r>
              <w:rPr>
                <w:rFonts w:hint="eastAsia" w:ascii="Times New Roman" w:hAnsi="Times New Roman"/>
                <w:color w:val="auto"/>
                <w:sz w:val="24"/>
                <w:szCs w:val="28"/>
                <w:highlight w:val="none"/>
                <w:lang w:val="en-US" w:eastAsia="zh-CN"/>
              </w:rPr>
              <w:t>高反射膜材料</w:t>
            </w:r>
            <w:r>
              <w:rPr>
                <w:rFonts w:hint="eastAsia" w:ascii="Times New Roman" w:hAnsi="Times New Roman"/>
                <w:color w:val="auto"/>
                <w:sz w:val="24"/>
                <w:szCs w:val="28"/>
                <w:highlight w:val="none"/>
              </w:rPr>
              <w:t>储存在</w:t>
            </w:r>
            <w:r>
              <w:rPr>
                <w:rFonts w:hint="eastAsia" w:ascii="Times New Roman" w:hAnsi="Times New Roman"/>
                <w:color w:val="auto"/>
                <w:sz w:val="24"/>
                <w:szCs w:val="28"/>
                <w:highlight w:val="none"/>
                <w:lang w:eastAsia="zh-CN"/>
              </w:rPr>
              <w:t>化学品库</w:t>
            </w:r>
            <w:r>
              <w:rPr>
                <w:rFonts w:hint="eastAsia" w:ascii="Times New Roman" w:hAnsi="Times New Roman"/>
                <w:color w:val="auto"/>
                <w:sz w:val="24"/>
                <w:szCs w:val="28"/>
                <w:highlight w:val="none"/>
              </w:rPr>
              <w:t>，</w:t>
            </w:r>
            <w:r>
              <w:rPr>
                <w:rFonts w:hint="eastAsia" w:ascii="Times New Roman" w:hAnsi="Times New Roman"/>
                <w:bCs/>
                <w:color w:val="auto"/>
                <w:sz w:val="24"/>
                <w:szCs w:val="24"/>
                <w:highlight w:val="none"/>
              </w:rPr>
              <w:t>废</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、废</w:t>
            </w:r>
            <w:r>
              <w:rPr>
                <w:rFonts w:hint="eastAsia" w:ascii="Times New Roman" w:hAnsi="Times New Roman"/>
                <w:bCs/>
                <w:color w:val="auto"/>
                <w:sz w:val="24"/>
                <w:szCs w:val="24"/>
                <w:highlight w:val="none"/>
                <w:lang w:eastAsia="zh-CN"/>
              </w:rPr>
              <w:t>润滑油</w:t>
            </w:r>
            <w:r>
              <w:rPr>
                <w:rFonts w:hint="eastAsia" w:ascii="Times New Roman" w:hAnsi="Times New Roman"/>
                <w:bCs/>
                <w:color w:val="auto"/>
                <w:sz w:val="24"/>
                <w:szCs w:val="24"/>
                <w:highlight w:val="none"/>
              </w:rPr>
              <w:t>桶、</w:t>
            </w:r>
            <w:r>
              <w:rPr>
                <w:rFonts w:hint="eastAsia" w:ascii="Times New Roman" w:hAnsi="Times New Roman"/>
                <w:bCs/>
                <w:color w:val="auto"/>
                <w:sz w:val="24"/>
                <w:szCs w:val="24"/>
                <w:highlight w:val="none"/>
                <w:lang w:val="en-US" w:eastAsia="zh-CN"/>
              </w:rPr>
              <w:t>废高反射膜材料桶、废含高反射膜材料抹布、废含润滑油抹布</w:t>
            </w:r>
            <w:r>
              <w:rPr>
                <w:rFonts w:hint="eastAsia" w:ascii="Times New Roman" w:hAnsi="Times New Roman"/>
                <w:color w:val="auto"/>
                <w:sz w:val="24"/>
                <w:szCs w:val="28"/>
                <w:highlight w:val="none"/>
              </w:rPr>
              <w:t>储存在</w:t>
            </w:r>
            <w:r>
              <w:rPr>
                <w:rFonts w:hint="eastAsia" w:ascii="Times New Roman" w:hAnsi="Times New Roman"/>
                <w:color w:val="auto"/>
                <w:sz w:val="24"/>
                <w:szCs w:val="28"/>
                <w:highlight w:val="none"/>
                <w:lang w:eastAsia="zh-CN"/>
              </w:rPr>
              <w:t>危废库</w:t>
            </w:r>
            <w:r>
              <w:rPr>
                <w:rFonts w:hint="eastAsia" w:ascii="Times New Roman" w:hAnsi="Times New Roman"/>
                <w:color w:val="auto"/>
                <w:sz w:val="24"/>
                <w:szCs w:val="28"/>
                <w:highlight w:val="none"/>
              </w:rPr>
              <w:t>，</w:t>
            </w:r>
            <w:r>
              <w:rPr>
                <w:rFonts w:hint="eastAsia" w:ascii="Times New Roman" w:hAnsi="Times New Roman"/>
                <w:color w:val="auto"/>
                <w:sz w:val="24"/>
                <w:szCs w:val="28"/>
                <w:highlight w:val="none"/>
                <w:lang w:eastAsia="zh-CN"/>
              </w:rPr>
              <w:t>危废库</w:t>
            </w:r>
            <w:r>
              <w:rPr>
                <w:rFonts w:hint="eastAsia" w:ascii="Times New Roman" w:hAnsi="Times New Roman"/>
                <w:color w:val="auto"/>
                <w:sz w:val="24"/>
                <w:szCs w:val="28"/>
                <w:highlight w:val="none"/>
              </w:rPr>
              <w:t>采取重点防渗措施，确保对地下水及土壤环境影响可接受。</w:t>
            </w:r>
          </w:p>
          <w:p w14:paraId="10C61828">
            <w:pPr>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（3）可能影响途径</w:t>
            </w:r>
          </w:p>
          <w:p w14:paraId="3F835529">
            <w:pPr>
              <w:spacing w:line="360" w:lineRule="auto"/>
              <w:ind w:firstLine="480" w:firstLineChars="200"/>
              <w:rPr>
                <w:rFonts w:ascii="Times New Roman" w:hAnsi="Times New Roman"/>
                <w:color w:val="auto"/>
                <w:sz w:val="24"/>
                <w:szCs w:val="28"/>
                <w:highlight w:val="none"/>
              </w:rPr>
            </w:pPr>
            <w:r>
              <w:rPr>
                <w:rFonts w:ascii="Times New Roman" w:hAnsi="Times New Roman"/>
                <w:color w:val="auto"/>
                <w:sz w:val="24"/>
                <w:szCs w:val="28"/>
                <w:highlight w:val="none"/>
              </w:rPr>
              <w:t>拟建项目运营期</w:t>
            </w:r>
            <w:r>
              <w:rPr>
                <w:rFonts w:hint="eastAsia" w:ascii="Times New Roman" w:hAnsi="Times New Roman"/>
                <w:color w:val="auto"/>
                <w:sz w:val="24"/>
                <w:szCs w:val="28"/>
                <w:highlight w:val="none"/>
              </w:rPr>
              <w:t>风险源</w:t>
            </w:r>
            <w:r>
              <w:rPr>
                <w:rFonts w:ascii="Times New Roman" w:hAnsi="Times New Roman"/>
                <w:color w:val="auto"/>
                <w:sz w:val="24"/>
                <w:szCs w:val="28"/>
                <w:highlight w:val="none"/>
              </w:rPr>
              <w:t>分布情况见下表。</w:t>
            </w:r>
          </w:p>
          <w:p w14:paraId="3493C842">
            <w:pPr>
              <w:spacing w:line="360" w:lineRule="auto"/>
              <w:jc w:val="center"/>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表4-</w:t>
            </w:r>
            <w:r>
              <w:rPr>
                <w:rFonts w:hint="eastAsia" w:ascii="Times New Roman" w:hAnsi="Times New Roman" w:eastAsia="黑体"/>
                <w:color w:val="auto"/>
                <w:sz w:val="24"/>
                <w:szCs w:val="24"/>
                <w:highlight w:val="none"/>
              </w:rPr>
              <w:t>1</w:t>
            </w:r>
            <w:r>
              <w:rPr>
                <w:rFonts w:hint="eastAsia" w:ascii="Times New Roman" w:hAnsi="Times New Roman" w:eastAsia="黑体"/>
                <w:color w:val="auto"/>
                <w:sz w:val="24"/>
                <w:szCs w:val="24"/>
                <w:highlight w:val="none"/>
                <w:lang w:val="en-US" w:eastAsia="zh-CN"/>
              </w:rPr>
              <w:t xml:space="preserve">9 </w:t>
            </w:r>
            <w:r>
              <w:rPr>
                <w:rFonts w:ascii="Times New Roman" w:hAnsi="Times New Roman" w:eastAsia="黑体"/>
                <w:color w:val="auto"/>
                <w:sz w:val="24"/>
                <w:szCs w:val="24"/>
                <w:highlight w:val="none"/>
              </w:rPr>
              <w:t>环境风险识别一览表</w:t>
            </w:r>
          </w:p>
          <w:tbl>
            <w:tblPr>
              <w:tblStyle w:val="20"/>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90"/>
              <w:gridCol w:w="1186"/>
              <w:gridCol w:w="1366"/>
              <w:gridCol w:w="2442"/>
              <w:gridCol w:w="1446"/>
            </w:tblGrid>
            <w:tr w14:paraId="0898B5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noWrap w:val="0"/>
                  <w:vAlign w:val="center"/>
                </w:tcPr>
                <w:p w14:paraId="5F3BA9CC">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系统名称</w:t>
                  </w:r>
                </w:p>
              </w:tc>
              <w:tc>
                <w:tcPr>
                  <w:tcW w:w="501" w:type="pct"/>
                  <w:noWrap w:val="0"/>
                  <w:vAlign w:val="center"/>
                </w:tcPr>
                <w:p w14:paraId="292A6993">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危险单元</w:t>
                  </w:r>
                </w:p>
              </w:tc>
              <w:tc>
                <w:tcPr>
                  <w:tcW w:w="752" w:type="pct"/>
                  <w:noWrap w:val="0"/>
                  <w:vAlign w:val="center"/>
                </w:tcPr>
                <w:p w14:paraId="31F84989">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主要危险物质</w:t>
                  </w:r>
                </w:p>
              </w:tc>
              <w:tc>
                <w:tcPr>
                  <w:tcW w:w="866" w:type="pct"/>
                  <w:noWrap w:val="0"/>
                  <w:vAlign w:val="center"/>
                </w:tcPr>
                <w:p w14:paraId="32942680">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环境风险类型</w:t>
                  </w:r>
                </w:p>
              </w:tc>
              <w:tc>
                <w:tcPr>
                  <w:tcW w:w="1548" w:type="pct"/>
                  <w:noWrap w:val="0"/>
                  <w:vAlign w:val="center"/>
                </w:tcPr>
                <w:p w14:paraId="0C8B35EE">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环境影响途径</w:t>
                  </w:r>
                </w:p>
              </w:tc>
              <w:tc>
                <w:tcPr>
                  <w:tcW w:w="917" w:type="pct"/>
                  <w:noWrap w:val="0"/>
                  <w:vAlign w:val="center"/>
                </w:tcPr>
                <w:p w14:paraId="7EE31AC8">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可能受影响的环境敏感目标</w:t>
                  </w:r>
                </w:p>
              </w:tc>
            </w:tr>
            <w:tr w14:paraId="54C32A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noWrap w:val="0"/>
                  <w:vAlign w:val="center"/>
                </w:tcPr>
                <w:p w14:paraId="77E6353E">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储运工程</w:t>
                  </w:r>
                </w:p>
              </w:tc>
              <w:tc>
                <w:tcPr>
                  <w:tcW w:w="501" w:type="pct"/>
                  <w:noWrap w:val="0"/>
                  <w:vAlign w:val="center"/>
                </w:tcPr>
                <w:p w14:paraId="2A39E71E">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化学品库</w:t>
                  </w:r>
                </w:p>
              </w:tc>
              <w:tc>
                <w:tcPr>
                  <w:tcW w:w="752" w:type="pct"/>
                  <w:noWrap w:val="0"/>
                  <w:vAlign w:val="center"/>
                </w:tcPr>
                <w:p w14:paraId="460A9FCB">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润滑油、高反射膜材料</w:t>
                  </w:r>
                </w:p>
              </w:tc>
              <w:tc>
                <w:tcPr>
                  <w:tcW w:w="866" w:type="pct"/>
                  <w:noWrap w:val="0"/>
                  <w:vAlign w:val="center"/>
                </w:tcPr>
                <w:p w14:paraId="70FCB22B">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盛装容器破损导致泄漏</w:t>
                  </w:r>
                </w:p>
              </w:tc>
              <w:tc>
                <w:tcPr>
                  <w:tcW w:w="1548" w:type="pct"/>
                  <w:noWrap w:val="0"/>
                  <w:vAlign w:val="center"/>
                </w:tcPr>
                <w:p w14:paraId="30169E5E">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储存润滑油和高反射膜材料的容器破损导致泄漏液体或火灾事故产生废气对环境空气产生不利影响</w:t>
                  </w:r>
                </w:p>
              </w:tc>
              <w:tc>
                <w:tcPr>
                  <w:tcW w:w="917" w:type="pct"/>
                  <w:noWrap w:val="0"/>
                  <w:vAlign w:val="center"/>
                </w:tcPr>
                <w:p w14:paraId="2D4E8473">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下风向居民点、区域土壤、地下水</w:t>
                  </w:r>
                </w:p>
              </w:tc>
            </w:tr>
            <w:tr w14:paraId="1B6968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14:paraId="18B34CB9">
                  <w:pPr>
                    <w:pStyle w:val="26"/>
                    <w:keepNext w:val="0"/>
                    <w:keepLines w:val="0"/>
                    <w:pageBreakBefore w:val="0"/>
                    <w:widowControl w:val="0"/>
                    <w:kinsoku/>
                    <w:wordWrap/>
                    <w:topLinePunct w:val="0"/>
                    <w:autoSpaceDE/>
                    <w:autoSpaceDN/>
                    <w:bidi w:val="0"/>
                    <w:adjustRightInd w:val="0"/>
                    <w:snapToGrid w:val="0"/>
                    <w:spacing w:line="240" w:lineRule="auto"/>
                    <w:ind w:firstLine="360"/>
                    <w:jc w:val="center"/>
                    <w:rPr>
                      <w:rFonts w:hint="default" w:ascii="Times New Roman" w:hAnsi="Times New Roman" w:eastAsia="宋体" w:cs="Times New Roman"/>
                      <w:color w:val="auto"/>
                      <w:sz w:val="21"/>
                      <w:szCs w:val="21"/>
                      <w:highlight w:val="none"/>
                      <w:lang w:val="en-US" w:eastAsia="zh-CN"/>
                    </w:rPr>
                  </w:pPr>
                </w:p>
              </w:tc>
              <w:tc>
                <w:tcPr>
                  <w:tcW w:w="501" w:type="pct"/>
                  <w:noWrap w:val="0"/>
                  <w:vAlign w:val="center"/>
                </w:tcPr>
                <w:p w14:paraId="71596D68">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危废库</w:t>
                  </w:r>
                </w:p>
              </w:tc>
              <w:tc>
                <w:tcPr>
                  <w:tcW w:w="752" w:type="pct"/>
                  <w:noWrap w:val="0"/>
                  <w:vAlign w:val="center"/>
                </w:tcPr>
                <w:p w14:paraId="21135F10">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废润滑油、废润滑油桶、废高反射膜材料桶、废活性炭</w:t>
                  </w:r>
                </w:p>
              </w:tc>
              <w:tc>
                <w:tcPr>
                  <w:tcW w:w="866" w:type="pct"/>
                  <w:noWrap w:val="0"/>
                  <w:vAlign w:val="center"/>
                </w:tcPr>
                <w:p w14:paraId="4FDB31E5">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盛装容器破损导致泄漏</w:t>
                  </w:r>
                </w:p>
              </w:tc>
              <w:tc>
                <w:tcPr>
                  <w:tcW w:w="1548" w:type="pct"/>
                  <w:noWrap w:val="0"/>
                  <w:vAlign w:val="center"/>
                </w:tcPr>
                <w:p w14:paraId="5CD7B967">
                  <w:pPr>
                    <w:pStyle w:val="26"/>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储存废润滑油的装置破损导致泄漏液体或火灾事故产生废气对环境空气产生不利影响</w:t>
                  </w:r>
                </w:p>
              </w:tc>
              <w:tc>
                <w:tcPr>
                  <w:tcW w:w="917" w:type="pct"/>
                  <w:noWrap w:val="0"/>
                  <w:vAlign w:val="center"/>
                </w:tcPr>
                <w:p w14:paraId="58D97739">
                  <w:pPr>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下风向居民点、区域土壤、地下水</w:t>
                  </w:r>
                </w:p>
              </w:tc>
            </w:tr>
            <w:tr w14:paraId="320286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noWrap w:val="0"/>
                  <w:vAlign w:val="center"/>
                </w:tcPr>
                <w:p w14:paraId="43E48004">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环保工程</w:t>
                  </w:r>
                </w:p>
              </w:tc>
              <w:tc>
                <w:tcPr>
                  <w:tcW w:w="501" w:type="pct"/>
                  <w:noWrap w:val="0"/>
                  <w:vAlign w:val="center"/>
                </w:tcPr>
                <w:p w14:paraId="05FFB3CF">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废气治理装置</w:t>
                  </w:r>
                </w:p>
              </w:tc>
              <w:tc>
                <w:tcPr>
                  <w:tcW w:w="752" w:type="pct"/>
                  <w:noWrap w:val="0"/>
                  <w:vAlign w:val="center"/>
                </w:tcPr>
                <w:p w14:paraId="72FC52D9">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866" w:type="pct"/>
                  <w:noWrap w:val="0"/>
                  <w:vAlign w:val="center"/>
                </w:tcPr>
                <w:p w14:paraId="1EBE63D6">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废气治理装置故障</w:t>
                  </w:r>
                </w:p>
              </w:tc>
              <w:tc>
                <w:tcPr>
                  <w:tcW w:w="1548" w:type="pct"/>
                  <w:noWrap w:val="0"/>
                  <w:vAlign w:val="center"/>
                </w:tcPr>
                <w:p w14:paraId="037AEAFA">
                  <w:pPr>
                    <w:pStyle w:val="26"/>
                    <w:keepNext w:val="0"/>
                    <w:keepLines w:val="0"/>
                    <w:pageBreakBefore w:val="0"/>
                    <w:widowControl w:val="0"/>
                    <w:kinsoku/>
                    <w:wordWrap/>
                    <w:topLinePunct w:val="0"/>
                    <w:autoSpaceDE/>
                    <w:autoSpaceDN/>
                    <w:bidi w:val="0"/>
                    <w:adjustRightInd w:val="0"/>
                    <w:snapToGrid w:val="0"/>
                    <w:spacing w:before="0"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废气治理装置发生故障，废气非正常排放，对环境空气产生不利影响</w:t>
                  </w:r>
                </w:p>
              </w:tc>
              <w:tc>
                <w:tcPr>
                  <w:tcW w:w="917" w:type="pct"/>
                  <w:noWrap w:val="0"/>
                  <w:vAlign w:val="center"/>
                </w:tcPr>
                <w:p w14:paraId="28ABD888">
                  <w:pPr>
                    <w:keepNext w:val="0"/>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下风向居民点</w:t>
                  </w:r>
                </w:p>
              </w:tc>
            </w:tr>
          </w:tbl>
          <w:p w14:paraId="2F43B059">
            <w:pPr>
              <w:snapToGrid w:val="0"/>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（4）环境风险防范措施</w:t>
            </w:r>
          </w:p>
          <w:p w14:paraId="378310FD">
            <w:pPr>
              <w:pStyle w:val="39"/>
              <w:numPr>
                <w:ilvl w:val="1"/>
                <w:numId w:val="0"/>
              </w:numPr>
              <w:spacing w:line="360" w:lineRule="auto"/>
              <w:ind w:firstLine="482" w:firstLineChars="200"/>
              <w:rPr>
                <w:rFonts w:ascii="Times New Roman" w:cs="宋体"/>
                <w:b/>
                <w:bCs/>
                <w:color w:val="auto"/>
                <w:highlight w:val="none"/>
                <w:lang w:val="en-US" w:eastAsia="zh-CN"/>
              </w:rPr>
            </w:pPr>
            <w:r>
              <w:rPr>
                <w:rFonts w:hint="eastAsia" w:ascii="Times New Roman" w:cs="宋体"/>
                <w:b/>
                <w:bCs/>
                <w:color w:val="auto"/>
                <w:highlight w:val="none"/>
                <w:lang w:val="en-US" w:eastAsia="zh-CN"/>
              </w:rPr>
              <w:t>①化学品库</w:t>
            </w:r>
            <w:r>
              <w:rPr>
                <w:rFonts w:ascii="Times New Roman" w:cs="宋体"/>
                <w:b/>
                <w:bCs/>
                <w:color w:val="auto"/>
                <w:highlight w:val="none"/>
                <w:lang w:val="en-US" w:eastAsia="zh-CN"/>
              </w:rPr>
              <w:t>风险防范措施</w:t>
            </w:r>
          </w:p>
          <w:p w14:paraId="6AC3379A">
            <w:pPr>
              <w:autoSpaceDE w:val="0"/>
              <w:autoSpaceDN w:val="0"/>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本项目</w:t>
            </w:r>
            <w:r>
              <w:rPr>
                <w:rFonts w:hint="eastAsia" w:ascii="Times New Roman" w:hAnsi="Times New Roman"/>
                <w:color w:val="auto"/>
                <w:sz w:val="24"/>
                <w:highlight w:val="none"/>
                <w:lang w:eastAsia="zh-CN"/>
              </w:rPr>
              <w:t>化学品库</w:t>
            </w:r>
            <w:r>
              <w:rPr>
                <w:rFonts w:ascii="Times New Roman" w:hAnsi="Times New Roman"/>
                <w:color w:val="auto"/>
                <w:sz w:val="24"/>
                <w:highlight w:val="none"/>
              </w:rPr>
              <w:t>存放有</w:t>
            </w:r>
            <w:r>
              <w:rPr>
                <w:rFonts w:hint="eastAsia" w:ascii="Times New Roman" w:hAnsi="Times New Roman"/>
                <w:color w:val="auto"/>
                <w:sz w:val="24"/>
                <w:highlight w:val="none"/>
                <w:lang w:eastAsia="zh-CN"/>
              </w:rPr>
              <w:t>润滑油</w:t>
            </w:r>
            <w:r>
              <w:rPr>
                <w:rFonts w:hint="eastAsia" w:ascii="Times New Roman" w:hAnsi="Times New Roman"/>
                <w:color w:val="auto"/>
                <w:sz w:val="24"/>
                <w:highlight w:val="none"/>
                <w:lang w:val="en-US" w:eastAsia="zh-CN"/>
              </w:rPr>
              <w:t>和高反射膜材料</w:t>
            </w:r>
            <w:r>
              <w:rPr>
                <w:rFonts w:hint="eastAsia" w:ascii="Times New Roman" w:hAnsi="Times New Roman"/>
                <w:color w:val="auto"/>
                <w:sz w:val="24"/>
                <w:highlight w:val="none"/>
              </w:rPr>
              <w:t>。</w:t>
            </w:r>
            <w:r>
              <w:rPr>
                <w:rFonts w:hint="eastAsia" w:ascii="Times New Roman" w:hAnsi="Times New Roman"/>
                <w:color w:val="auto"/>
                <w:sz w:val="24"/>
                <w:highlight w:val="none"/>
                <w:lang w:eastAsia="zh-CN"/>
              </w:rPr>
              <w:t>润滑油</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高反射膜材料</w:t>
            </w:r>
            <w:r>
              <w:rPr>
                <w:rFonts w:hint="eastAsia" w:ascii="Times New Roman" w:hAnsi="Times New Roman"/>
                <w:color w:val="auto"/>
                <w:sz w:val="24"/>
                <w:highlight w:val="none"/>
              </w:rPr>
              <w:t>采用桶装，并设置在集液托盘内，泄漏时能得到有效收集；同时</w:t>
            </w:r>
            <w:r>
              <w:rPr>
                <w:rFonts w:hint="eastAsia" w:ascii="Times New Roman" w:hAnsi="Times New Roman"/>
                <w:color w:val="auto"/>
                <w:sz w:val="24"/>
                <w:highlight w:val="none"/>
                <w:lang w:eastAsia="zh-CN"/>
              </w:rPr>
              <w:t>化学品库</w:t>
            </w:r>
            <w:r>
              <w:rPr>
                <w:rFonts w:hint="eastAsia" w:ascii="Times New Roman" w:hAnsi="Times New Roman"/>
                <w:color w:val="auto"/>
                <w:sz w:val="24"/>
                <w:highlight w:val="none"/>
              </w:rPr>
              <w:t>内还采取防腐防渗措施，安装有火灾报警系统，并设置相关应急处理物资，</w:t>
            </w:r>
            <w:r>
              <w:rPr>
                <w:rFonts w:hint="eastAsia" w:ascii="Times New Roman" w:hAnsi="Times New Roman"/>
                <w:color w:val="auto"/>
                <w:sz w:val="24"/>
                <w:highlight w:val="none"/>
                <w:lang w:eastAsia="zh-CN"/>
              </w:rPr>
              <w:t>及时</w:t>
            </w:r>
            <w:r>
              <w:rPr>
                <w:rFonts w:hint="eastAsia" w:ascii="Times New Roman" w:hAnsi="Times New Roman"/>
                <w:color w:val="auto"/>
                <w:sz w:val="24"/>
                <w:highlight w:val="none"/>
              </w:rPr>
              <w:t>处理泄漏物质。</w:t>
            </w:r>
          </w:p>
          <w:p w14:paraId="6887BDD4">
            <w:pPr>
              <w:autoSpaceDE w:val="0"/>
              <w:autoSpaceDN w:val="0"/>
              <w:snapToGrid w:val="0"/>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②</w:t>
            </w:r>
            <w:r>
              <w:rPr>
                <w:rFonts w:hint="eastAsia" w:ascii="Times New Roman" w:hAnsi="Times New Roman"/>
                <w:b/>
                <w:bCs/>
                <w:color w:val="auto"/>
                <w:sz w:val="24"/>
                <w:highlight w:val="none"/>
                <w:lang w:eastAsia="zh-CN"/>
              </w:rPr>
              <w:t>危废库</w:t>
            </w:r>
            <w:r>
              <w:rPr>
                <w:rFonts w:ascii="Times New Roman" w:hAnsi="Times New Roman"/>
                <w:b/>
                <w:bCs/>
                <w:color w:val="auto"/>
                <w:sz w:val="24"/>
                <w:highlight w:val="none"/>
              </w:rPr>
              <w:t>风险防范措施</w:t>
            </w:r>
          </w:p>
          <w:p w14:paraId="77E6A867">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本项目</w:t>
            </w:r>
            <w:r>
              <w:rPr>
                <w:rFonts w:hint="eastAsia" w:ascii="Times New Roman" w:hAnsi="Times New Roman"/>
                <w:color w:val="auto"/>
                <w:sz w:val="24"/>
                <w:highlight w:val="none"/>
                <w:lang w:eastAsia="zh-CN"/>
              </w:rPr>
              <w:t>危废库</w:t>
            </w:r>
            <w:r>
              <w:rPr>
                <w:rFonts w:hint="eastAsia" w:ascii="Times New Roman" w:hAnsi="Times New Roman"/>
                <w:color w:val="auto"/>
                <w:sz w:val="24"/>
                <w:highlight w:val="none"/>
              </w:rPr>
              <w:t>存放有废</w:t>
            </w:r>
            <w:r>
              <w:rPr>
                <w:rFonts w:hint="eastAsia" w:ascii="Times New Roman" w:hAnsi="Times New Roman"/>
                <w:color w:val="auto"/>
                <w:sz w:val="24"/>
                <w:highlight w:val="none"/>
                <w:lang w:eastAsia="zh-CN"/>
              </w:rPr>
              <w:t>润滑油</w:t>
            </w:r>
            <w:r>
              <w:rPr>
                <w:rFonts w:hint="eastAsia" w:ascii="Times New Roman" w:hAnsi="Times New Roman"/>
                <w:color w:val="auto"/>
                <w:sz w:val="24"/>
                <w:highlight w:val="none"/>
                <w:lang w:val="en-US" w:eastAsia="zh-CN"/>
              </w:rPr>
              <w:t>等危废</w:t>
            </w:r>
            <w:r>
              <w:rPr>
                <w:rFonts w:hint="eastAsia" w:ascii="Times New Roman" w:hAnsi="Times New Roman"/>
                <w:color w:val="auto"/>
                <w:sz w:val="24"/>
                <w:highlight w:val="none"/>
              </w:rPr>
              <w:t>，采用桶装存放。一旦出现危废泄漏的情形，其产生的危害较大。因此建设单位应做到如下：</w:t>
            </w:r>
          </w:p>
          <w:p w14:paraId="16AB7DE1">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a、</w:t>
            </w:r>
            <w:r>
              <w:rPr>
                <w:rFonts w:hint="eastAsia" w:ascii="Times New Roman" w:hAnsi="Times New Roman"/>
                <w:color w:val="auto"/>
                <w:sz w:val="24"/>
                <w:highlight w:val="none"/>
                <w:lang w:eastAsia="zh-CN"/>
              </w:rPr>
              <w:t>润滑油桶</w:t>
            </w:r>
            <w:r>
              <w:rPr>
                <w:rFonts w:hint="eastAsia" w:ascii="Times New Roman" w:hAnsi="Times New Roman"/>
                <w:color w:val="auto"/>
                <w:sz w:val="24"/>
                <w:highlight w:val="none"/>
              </w:rPr>
              <w:t>置于集液托盘内，集液托盘有效容量应能满足单桶物料泄漏的容纳能力。</w:t>
            </w:r>
          </w:p>
          <w:p w14:paraId="237889DA">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b、桶装危废单层码放，禁止多层堆叠。</w:t>
            </w:r>
          </w:p>
          <w:p w14:paraId="6BA23F3B">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c、</w:t>
            </w:r>
            <w:r>
              <w:rPr>
                <w:rFonts w:hint="eastAsia" w:ascii="Times New Roman" w:hAnsi="Times New Roman"/>
                <w:color w:val="auto"/>
                <w:sz w:val="24"/>
                <w:highlight w:val="none"/>
                <w:lang w:eastAsia="zh-CN"/>
              </w:rPr>
              <w:t>危废库</w:t>
            </w:r>
            <w:r>
              <w:rPr>
                <w:rFonts w:hint="eastAsia" w:ascii="Times New Roman" w:hAnsi="Times New Roman"/>
                <w:color w:val="auto"/>
                <w:sz w:val="24"/>
                <w:highlight w:val="none"/>
              </w:rPr>
              <w:t>地面等按照《危险废物贮存污染控制标准》（GB18597-2023）的相关要求进行建设。</w:t>
            </w:r>
          </w:p>
          <w:p w14:paraId="58DA9982">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d、</w:t>
            </w:r>
            <w:r>
              <w:rPr>
                <w:rFonts w:hint="eastAsia" w:ascii="Times New Roman" w:hAnsi="Times New Roman"/>
                <w:color w:val="auto"/>
                <w:sz w:val="24"/>
                <w:highlight w:val="none"/>
                <w:lang w:eastAsia="zh-CN"/>
              </w:rPr>
              <w:t>危废库</w:t>
            </w:r>
            <w:r>
              <w:rPr>
                <w:rFonts w:hint="eastAsia" w:ascii="Times New Roman" w:hAnsi="Times New Roman"/>
                <w:color w:val="auto"/>
                <w:sz w:val="24"/>
                <w:highlight w:val="none"/>
              </w:rPr>
              <w:t>安排专人管理，并记录台账。</w:t>
            </w:r>
          </w:p>
          <w:p w14:paraId="452F9C6A">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e、加强危废的转运管理，避免转移过程出现倾倒。</w:t>
            </w:r>
          </w:p>
          <w:p w14:paraId="09E02A7D">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f、</w:t>
            </w:r>
            <w:r>
              <w:rPr>
                <w:rFonts w:hint="eastAsia" w:ascii="Times New Roman" w:hAnsi="Times New Roman"/>
                <w:color w:val="auto"/>
                <w:sz w:val="24"/>
                <w:highlight w:val="none"/>
                <w:lang w:eastAsia="zh-CN"/>
              </w:rPr>
              <w:t>危废库</w:t>
            </w:r>
            <w:r>
              <w:rPr>
                <w:rFonts w:hint="eastAsia" w:ascii="Times New Roman" w:hAnsi="Times New Roman"/>
                <w:color w:val="auto"/>
                <w:sz w:val="24"/>
                <w:highlight w:val="none"/>
              </w:rPr>
              <w:t>安排专人管理，并记录台账。</w:t>
            </w:r>
          </w:p>
          <w:p w14:paraId="77416815">
            <w:pPr>
              <w:autoSpaceDE w:val="0"/>
              <w:autoSpaceDN w:val="0"/>
              <w:snapToGrid w:val="0"/>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rPr>
              <w:t>③废气治理装置风险防范措施</w:t>
            </w:r>
          </w:p>
          <w:p w14:paraId="0EFC331E">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a、平时加强废气处理设施的维护保养，及时发现处理设施的隐患，并及时进行维修，确保废气处理系统正常运行</w:t>
            </w:r>
          </w:p>
          <w:p w14:paraId="16E68A0E">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b、建立健全的环保体制，对管理人员和技术人员进行岗位培训，对废气处理实行全过程跟踪控制；</w:t>
            </w:r>
          </w:p>
          <w:p w14:paraId="562A3C1E">
            <w:pPr>
              <w:autoSpaceDE w:val="0"/>
              <w:autoSpaceDN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c、项目应设有备用电源，以备停电故障时废气全部可进入废气处理系统进行处理以达标排放。</w:t>
            </w:r>
          </w:p>
          <w:p w14:paraId="4E4A10AF">
            <w:pPr>
              <w:spacing w:line="360" w:lineRule="auto"/>
              <w:ind w:firstLine="482" w:firstLineChars="200"/>
              <w:rPr>
                <w:b/>
                <w:snapToGrid w:val="0"/>
                <w:color w:val="auto"/>
                <w:sz w:val="24"/>
                <w:highlight w:val="none"/>
              </w:rPr>
            </w:pPr>
            <w:r>
              <w:rPr>
                <w:rFonts w:hint="eastAsia" w:ascii="Times New Roman" w:hAnsi="Times New Roman"/>
                <w:b/>
                <w:snapToGrid w:val="0"/>
                <w:color w:val="auto"/>
                <w:sz w:val="24"/>
                <w:highlight w:val="none"/>
              </w:rPr>
              <w:t>7</w:t>
            </w:r>
            <w:r>
              <w:rPr>
                <w:rFonts w:ascii="Times New Roman"/>
                <w:b/>
                <w:snapToGrid w:val="0"/>
                <w:color w:val="auto"/>
                <w:sz w:val="24"/>
                <w:highlight w:val="none"/>
              </w:rPr>
              <w:t>、</w:t>
            </w:r>
            <w:r>
              <w:rPr>
                <w:rFonts w:hint="eastAsia" w:hAnsi="宋体"/>
                <w:b/>
                <w:snapToGrid w:val="0"/>
                <w:color w:val="auto"/>
                <w:sz w:val="24"/>
                <w:highlight w:val="none"/>
              </w:rPr>
              <w:t>污染源排放口规范化要求</w:t>
            </w:r>
          </w:p>
          <w:p w14:paraId="6B802378">
            <w:pPr>
              <w:adjustRightInd w:val="0"/>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废气排气筒应设置人工采样平台和采样口，采样口的设置应符合《污染源监测技术规范》要求</w:t>
            </w:r>
            <w:r>
              <w:rPr>
                <w:rFonts w:ascii="Times New Roman" w:hAnsi="宋体"/>
                <w:color w:val="auto"/>
                <w:szCs w:val="21"/>
                <w:highlight w:val="none"/>
              </w:rPr>
              <w:t>。</w:t>
            </w:r>
            <w:r>
              <w:rPr>
                <w:rFonts w:ascii="Times New Roman" w:hAnsi="宋体"/>
                <w:color w:val="auto"/>
                <w:sz w:val="24"/>
                <w:highlight w:val="none"/>
              </w:rPr>
              <w:t>企业污染物排放口（源）及固体废物贮存、堆放</w:t>
            </w:r>
            <w:r>
              <w:rPr>
                <w:rFonts w:hint="eastAsia" w:ascii="Times New Roman" w:hAnsi="宋体"/>
                <w:color w:val="auto"/>
                <w:sz w:val="24"/>
                <w:highlight w:val="none"/>
              </w:rPr>
              <w:t>场所</w:t>
            </w:r>
            <w:r>
              <w:rPr>
                <w:rFonts w:ascii="Times New Roman" w:hAnsi="宋体"/>
                <w:color w:val="auto"/>
                <w:sz w:val="24"/>
                <w:highlight w:val="none"/>
              </w:rPr>
              <w:t>必须按照国家标准《环境保护图形标志》（</w:t>
            </w:r>
            <w:r>
              <w:rPr>
                <w:rFonts w:ascii="Times New Roman" w:hAnsi="Times New Roman"/>
                <w:color w:val="auto"/>
                <w:sz w:val="24"/>
                <w:highlight w:val="none"/>
              </w:rPr>
              <w:t>GB15562.1-1995</w:t>
            </w:r>
            <w:r>
              <w:rPr>
                <w:rFonts w:ascii="Times New Roman" w:hAnsi="宋体"/>
                <w:color w:val="auto"/>
                <w:sz w:val="24"/>
                <w:highlight w:val="none"/>
              </w:rPr>
              <w:t>）的规定设置与之相适应的环境保护图形标志牌，环境保护图形标志牌设置位置应距污染物排放口（源）、固体废物贮存（堆放）场或采样点较近且醒目处，并能长久保留。同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26151B84">
            <w:pPr>
              <w:spacing w:line="360" w:lineRule="auto"/>
              <w:ind w:firstLine="480" w:firstLineChars="200"/>
              <w:rPr>
                <w:rFonts w:ascii="Times New Roman" w:hAnsi="Times New Roman"/>
                <w:color w:val="auto"/>
                <w:sz w:val="24"/>
                <w:highlight w:val="none"/>
              </w:rPr>
            </w:pPr>
            <w:r>
              <w:rPr>
                <w:rFonts w:ascii="Times New Roman" w:hAnsi="宋体"/>
                <w:color w:val="auto"/>
                <w:sz w:val="24"/>
                <w:highlight w:val="none"/>
              </w:rPr>
              <w:t>环境保护图形标志</w:t>
            </w:r>
          </w:p>
          <w:p w14:paraId="60F02AC3">
            <w:pPr>
              <w:spacing w:line="360" w:lineRule="auto"/>
              <w:ind w:firstLine="480" w:firstLineChars="200"/>
              <w:rPr>
                <w:rFonts w:ascii="Times New Roman" w:hAnsi="宋体"/>
                <w:color w:val="auto"/>
                <w:sz w:val="24"/>
                <w:highlight w:val="none"/>
              </w:rPr>
            </w:pPr>
            <w:r>
              <w:rPr>
                <w:rFonts w:ascii="Times New Roman" w:hAnsi="宋体"/>
                <w:color w:val="auto"/>
                <w:sz w:val="24"/>
                <w:highlight w:val="none"/>
              </w:rPr>
              <w:t>在厂区的废气排放口、噪声排放源、固体废物贮存处置场应设置环境保护图形标志，图形符号分为提示图形和警告图形符号两种，分别按</w:t>
            </w:r>
            <w:r>
              <w:rPr>
                <w:rFonts w:ascii="Times New Roman" w:hAnsi="Times New Roman"/>
                <w:color w:val="auto"/>
                <w:sz w:val="24"/>
                <w:highlight w:val="none"/>
              </w:rPr>
              <w:t>GB15562.1-1995</w:t>
            </w:r>
            <w:r>
              <w:rPr>
                <w:rFonts w:ascii="Times New Roman" w:hAnsi="宋体"/>
                <w:color w:val="auto"/>
                <w:sz w:val="24"/>
                <w:highlight w:val="none"/>
              </w:rPr>
              <w:t>、</w:t>
            </w:r>
            <w:r>
              <w:rPr>
                <w:rFonts w:ascii="Times New Roman" w:hAnsi="Times New Roman"/>
                <w:color w:val="auto"/>
                <w:sz w:val="24"/>
                <w:highlight w:val="none"/>
              </w:rPr>
              <w:t>GB15562.2-1995</w:t>
            </w:r>
            <w:r>
              <w:rPr>
                <w:rFonts w:ascii="Times New Roman" w:hAnsi="宋体"/>
                <w:color w:val="auto"/>
                <w:sz w:val="24"/>
                <w:highlight w:val="none"/>
              </w:rPr>
              <w:t>执行。环境保护图形符号见表</w:t>
            </w:r>
            <w:r>
              <w:rPr>
                <w:rFonts w:ascii="Times New Roman" w:hAnsi="Times New Roman"/>
                <w:color w:val="auto"/>
                <w:sz w:val="24"/>
                <w:highlight w:val="none"/>
              </w:rPr>
              <w:t>4-</w:t>
            </w:r>
            <w:r>
              <w:rPr>
                <w:rFonts w:hint="eastAsia" w:ascii="Times New Roman" w:hAnsi="Times New Roman"/>
                <w:color w:val="auto"/>
                <w:sz w:val="24"/>
                <w:highlight w:val="none"/>
                <w:lang w:val="en-US" w:eastAsia="zh-CN"/>
              </w:rPr>
              <w:t>20</w:t>
            </w:r>
            <w:r>
              <w:rPr>
                <w:rFonts w:ascii="Times New Roman" w:hAnsi="宋体"/>
                <w:color w:val="auto"/>
                <w:sz w:val="24"/>
                <w:highlight w:val="none"/>
              </w:rPr>
              <w:t>。环境保护图形标志的形状及颜色见表</w:t>
            </w:r>
            <w:r>
              <w:rPr>
                <w:rFonts w:ascii="Times New Roman" w:hAnsi="Times New Roman"/>
                <w:color w:val="auto"/>
                <w:sz w:val="24"/>
                <w:highlight w:val="none"/>
              </w:rPr>
              <w:t>4-</w:t>
            </w:r>
            <w:r>
              <w:rPr>
                <w:rFonts w:hint="eastAsia" w:ascii="Times New Roman" w:hAnsi="Times New Roman"/>
                <w:color w:val="auto"/>
                <w:sz w:val="24"/>
                <w:highlight w:val="none"/>
                <w:lang w:val="en-US" w:eastAsia="zh-CN"/>
              </w:rPr>
              <w:t>21</w:t>
            </w:r>
            <w:r>
              <w:rPr>
                <w:rFonts w:ascii="Times New Roman" w:hAnsi="宋体"/>
                <w:color w:val="auto"/>
                <w:sz w:val="24"/>
                <w:highlight w:val="none"/>
              </w:rPr>
              <w:t>。</w:t>
            </w:r>
          </w:p>
          <w:p w14:paraId="0DECF610">
            <w:pPr>
              <w:spacing w:line="360" w:lineRule="auto"/>
              <w:jc w:val="center"/>
              <w:rPr>
                <w:rFonts w:eastAsia="黑体"/>
                <w:color w:val="auto"/>
                <w:sz w:val="24"/>
                <w:highlight w:val="none"/>
              </w:rPr>
            </w:pPr>
            <w:r>
              <w:rPr>
                <w:rFonts w:hAnsi="黑体" w:eastAsia="黑体"/>
                <w:color w:val="auto"/>
                <w:sz w:val="24"/>
                <w:highlight w:val="none"/>
              </w:rPr>
              <w:t>表</w:t>
            </w:r>
            <w:r>
              <w:rPr>
                <w:rFonts w:hint="eastAsia" w:ascii="Times New Roman" w:hAnsi="Times New Roman" w:eastAsia="黑体"/>
                <w:color w:val="auto"/>
                <w:sz w:val="24"/>
                <w:highlight w:val="none"/>
              </w:rPr>
              <w:t>4-</w:t>
            </w:r>
            <w:r>
              <w:rPr>
                <w:rFonts w:hint="eastAsia" w:ascii="Times New Roman" w:hAnsi="Times New Roman" w:eastAsia="黑体"/>
                <w:color w:val="auto"/>
                <w:sz w:val="24"/>
                <w:highlight w:val="none"/>
                <w:lang w:val="en-US" w:eastAsia="zh-CN"/>
              </w:rPr>
              <w:t>20</w:t>
            </w:r>
            <w:r>
              <w:rPr>
                <w:rFonts w:hint="eastAsia" w:ascii="Times New Roman" w:hAnsi="Times New Roman" w:eastAsia="黑体"/>
                <w:color w:val="auto"/>
                <w:sz w:val="24"/>
                <w:highlight w:val="none"/>
              </w:rPr>
              <w:t xml:space="preserve"> </w:t>
            </w:r>
            <w:r>
              <w:rPr>
                <w:rFonts w:hAnsi="黑体" w:eastAsia="黑体"/>
                <w:color w:val="auto"/>
                <w:sz w:val="24"/>
                <w:highlight w:val="none"/>
              </w:rPr>
              <w:t>本项目环境保护图形符号表</w:t>
            </w:r>
          </w:p>
          <w:tbl>
            <w:tblPr>
              <w:tblStyle w:val="20"/>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742"/>
              <w:gridCol w:w="2067"/>
              <w:gridCol w:w="1727"/>
              <w:gridCol w:w="1773"/>
            </w:tblGrid>
            <w:tr w14:paraId="0F0DF0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noWrap w:val="0"/>
                  <w:vAlign w:val="center"/>
                </w:tcPr>
                <w:p w14:paraId="043DDE89">
                  <w:pPr>
                    <w:spacing w:line="276" w:lineRule="auto"/>
                    <w:jc w:val="center"/>
                    <w:rPr>
                      <w:rFonts w:ascii="Times New Roman" w:hAnsi="Times New Roman"/>
                      <w:b/>
                      <w:color w:val="auto"/>
                      <w:spacing w:val="-2"/>
                      <w:szCs w:val="21"/>
                      <w:highlight w:val="none"/>
                    </w:rPr>
                  </w:pPr>
                  <w:r>
                    <w:rPr>
                      <w:rFonts w:ascii="Times New Roman" w:hAnsi="Times New Roman"/>
                      <w:b/>
                      <w:color w:val="auto"/>
                      <w:szCs w:val="21"/>
                      <w:highlight w:val="none"/>
                    </w:rPr>
                    <w:t>序号</w:t>
                  </w:r>
                </w:p>
              </w:tc>
              <w:tc>
                <w:tcPr>
                  <w:tcW w:w="1104" w:type="pct"/>
                  <w:noWrap w:val="0"/>
                  <w:vAlign w:val="center"/>
                </w:tcPr>
                <w:p w14:paraId="40B86D99">
                  <w:pPr>
                    <w:spacing w:line="276" w:lineRule="auto"/>
                    <w:jc w:val="center"/>
                    <w:rPr>
                      <w:rFonts w:ascii="Times New Roman" w:hAnsi="Times New Roman"/>
                      <w:b/>
                      <w:color w:val="auto"/>
                      <w:spacing w:val="-2"/>
                      <w:szCs w:val="21"/>
                      <w:highlight w:val="none"/>
                    </w:rPr>
                  </w:pPr>
                  <w:r>
                    <w:rPr>
                      <w:rFonts w:ascii="Times New Roman" w:hAnsi="Times New Roman"/>
                      <w:b/>
                      <w:color w:val="auto"/>
                      <w:szCs w:val="21"/>
                      <w:highlight w:val="none"/>
                    </w:rPr>
                    <w:t>提示图形符号</w:t>
                  </w:r>
                </w:p>
              </w:tc>
              <w:tc>
                <w:tcPr>
                  <w:tcW w:w="1310" w:type="pct"/>
                  <w:noWrap w:val="0"/>
                  <w:vAlign w:val="center"/>
                </w:tcPr>
                <w:p w14:paraId="762FF199">
                  <w:pPr>
                    <w:spacing w:line="276" w:lineRule="auto"/>
                    <w:jc w:val="center"/>
                    <w:rPr>
                      <w:rFonts w:ascii="Times New Roman" w:hAnsi="Times New Roman"/>
                      <w:b/>
                      <w:color w:val="auto"/>
                      <w:spacing w:val="-2"/>
                      <w:szCs w:val="21"/>
                      <w:highlight w:val="none"/>
                    </w:rPr>
                  </w:pPr>
                  <w:r>
                    <w:rPr>
                      <w:rFonts w:ascii="Times New Roman" w:hAnsi="Times New Roman"/>
                      <w:b/>
                      <w:color w:val="auto"/>
                      <w:szCs w:val="21"/>
                      <w:highlight w:val="none"/>
                    </w:rPr>
                    <w:t>警告图形符号</w:t>
                  </w:r>
                </w:p>
              </w:tc>
              <w:tc>
                <w:tcPr>
                  <w:tcW w:w="1095" w:type="pct"/>
                  <w:noWrap w:val="0"/>
                  <w:vAlign w:val="center"/>
                </w:tcPr>
                <w:p w14:paraId="29ECB48B">
                  <w:pPr>
                    <w:spacing w:line="276" w:lineRule="auto"/>
                    <w:jc w:val="center"/>
                    <w:rPr>
                      <w:rFonts w:ascii="Times New Roman" w:hAnsi="Times New Roman"/>
                      <w:b/>
                      <w:color w:val="auto"/>
                      <w:spacing w:val="-2"/>
                      <w:szCs w:val="21"/>
                      <w:highlight w:val="none"/>
                    </w:rPr>
                  </w:pPr>
                  <w:r>
                    <w:rPr>
                      <w:rFonts w:ascii="Times New Roman" w:hAnsi="Times New Roman"/>
                      <w:b/>
                      <w:color w:val="auto"/>
                      <w:szCs w:val="21"/>
                      <w:highlight w:val="none"/>
                    </w:rPr>
                    <w:t>名称</w:t>
                  </w:r>
                </w:p>
              </w:tc>
              <w:tc>
                <w:tcPr>
                  <w:tcW w:w="1124" w:type="pct"/>
                  <w:noWrap w:val="0"/>
                  <w:vAlign w:val="center"/>
                </w:tcPr>
                <w:p w14:paraId="26B7336A">
                  <w:pPr>
                    <w:spacing w:line="276" w:lineRule="auto"/>
                    <w:jc w:val="center"/>
                    <w:rPr>
                      <w:rFonts w:ascii="Times New Roman" w:hAnsi="Times New Roman"/>
                      <w:b/>
                      <w:color w:val="auto"/>
                      <w:spacing w:val="-2"/>
                      <w:szCs w:val="21"/>
                      <w:highlight w:val="none"/>
                    </w:rPr>
                  </w:pPr>
                  <w:r>
                    <w:rPr>
                      <w:rFonts w:ascii="Times New Roman" w:hAnsi="Times New Roman"/>
                      <w:b/>
                      <w:color w:val="auto"/>
                      <w:szCs w:val="21"/>
                      <w:highlight w:val="none"/>
                    </w:rPr>
                    <w:t>功能</w:t>
                  </w:r>
                </w:p>
              </w:tc>
            </w:tr>
            <w:tr w14:paraId="6B768E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noWrap w:val="0"/>
                  <w:vAlign w:val="center"/>
                </w:tcPr>
                <w:p w14:paraId="629CBD3A">
                  <w:pPr>
                    <w:spacing w:line="276" w:lineRule="auto"/>
                    <w:jc w:val="center"/>
                    <w:rPr>
                      <w:rFonts w:ascii="Times New Roman" w:hAnsi="Times New Roman"/>
                      <w:color w:val="auto"/>
                      <w:spacing w:val="-2"/>
                      <w:szCs w:val="21"/>
                      <w:highlight w:val="none"/>
                    </w:rPr>
                  </w:pPr>
                  <w:r>
                    <w:rPr>
                      <w:rFonts w:hint="eastAsia" w:ascii="Times New Roman" w:hAnsi="Times New Roman"/>
                      <w:color w:val="auto"/>
                      <w:szCs w:val="21"/>
                      <w:highlight w:val="none"/>
                    </w:rPr>
                    <w:t>1</w:t>
                  </w:r>
                </w:p>
              </w:tc>
              <w:tc>
                <w:tcPr>
                  <w:tcW w:w="1104" w:type="pct"/>
                  <w:noWrap w:val="0"/>
                  <w:vAlign w:val="center"/>
                </w:tcPr>
                <w:p w14:paraId="3F75A270">
                  <w:pPr>
                    <w:spacing w:line="276" w:lineRule="auto"/>
                    <w:jc w:val="center"/>
                    <w:rPr>
                      <w:rFonts w:ascii="Times New Roman" w:hAnsi="Times New Roman"/>
                      <w:color w:val="auto"/>
                      <w:spacing w:val="-2"/>
                      <w:szCs w:val="21"/>
                      <w:highlight w:val="none"/>
                    </w:rPr>
                  </w:pPr>
                  <w:r>
                    <w:rPr>
                      <w:rFonts w:ascii="Times New Roman" w:hAnsi="Times New Roman"/>
                      <w:smallCaps/>
                      <w:color w:val="auto"/>
                      <w:szCs w:val="21"/>
                      <w:highlight w:val="none"/>
                    </w:rPr>
                    <w:drawing>
                      <wp:inline distT="0" distB="0" distL="114300" distR="114300">
                        <wp:extent cx="858520" cy="858520"/>
                        <wp:effectExtent l="0" t="0" r="17780" b="17780"/>
                        <wp:docPr id="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
                                <pic:cNvPicPr>
                                  <a:picLocks noChangeAspect="1"/>
                                </pic:cNvPicPr>
                              </pic:nvPicPr>
                              <pic:blipFill>
                                <a:blip r:embed="rId31"/>
                                <a:stretch>
                                  <a:fillRect/>
                                </a:stretch>
                              </pic:blipFill>
                              <pic:spPr>
                                <a:xfrm>
                                  <a:off x="0" y="0"/>
                                  <a:ext cx="858520" cy="858520"/>
                                </a:xfrm>
                                <a:prstGeom prst="rect">
                                  <a:avLst/>
                                </a:prstGeom>
                                <a:noFill/>
                                <a:ln>
                                  <a:noFill/>
                                </a:ln>
                              </pic:spPr>
                            </pic:pic>
                          </a:graphicData>
                        </a:graphic>
                      </wp:inline>
                    </w:drawing>
                  </w:r>
                </w:p>
              </w:tc>
              <w:tc>
                <w:tcPr>
                  <w:tcW w:w="1310" w:type="pct"/>
                  <w:noWrap w:val="0"/>
                  <w:vAlign w:val="center"/>
                </w:tcPr>
                <w:p w14:paraId="3CE05F08">
                  <w:pPr>
                    <w:spacing w:line="276" w:lineRule="auto"/>
                    <w:ind w:firstLine="360"/>
                    <w:jc w:val="center"/>
                    <w:rPr>
                      <w:rFonts w:ascii="Times New Roman" w:hAnsi="Times New Roman"/>
                      <w:color w:val="auto"/>
                      <w:spacing w:val="-2"/>
                      <w:szCs w:val="21"/>
                      <w:highlight w:val="none"/>
                    </w:rPr>
                  </w:pPr>
                  <w:r>
                    <w:rPr>
                      <w:rFonts w:ascii="Times New Roman" w:hAnsi="Times New Roman"/>
                      <w:smallCaps/>
                      <w:color w:val="auto"/>
                      <w:szCs w:val="21"/>
                      <w:highlight w:val="none"/>
                    </w:rPr>
                    <w:drawing>
                      <wp:inline distT="0" distB="0" distL="114300" distR="114300">
                        <wp:extent cx="962025" cy="858520"/>
                        <wp:effectExtent l="0" t="0" r="9525" b="17780"/>
                        <wp:docPr id="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6"/>
                                <pic:cNvPicPr>
                                  <a:picLocks noChangeAspect="1"/>
                                </pic:cNvPicPr>
                              </pic:nvPicPr>
                              <pic:blipFill>
                                <a:blip r:embed="rId32"/>
                                <a:stretch>
                                  <a:fillRect/>
                                </a:stretch>
                              </pic:blipFill>
                              <pic:spPr>
                                <a:xfrm>
                                  <a:off x="0" y="0"/>
                                  <a:ext cx="962025" cy="858520"/>
                                </a:xfrm>
                                <a:prstGeom prst="rect">
                                  <a:avLst/>
                                </a:prstGeom>
                                <a:noFill/>
                                <a:ln>
                                  <a:noFill/>
                                </a:ln>
                              </pic:spPr>
                            </pic:pic>
                          </a:graphicData>
                        </a:graphic>
                      </wp:inline>
                    </w:drawing>
                  </w:r>
                </w:p>
              </w:tc>
              <w:tc>
                <w:tcPr>
                  <w:tcW w:w="1095" w:type="pct"/>
                  <w:noWrap w:val="0"/>
                  <w:vAlign w:val="center"/>
                </w:tcPr>
                <w:p w14:paraId="3643A186">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废气排放口</w:t>
                  </w:r>
                </w:p>
              </w:tc>
              <w:tc>
                <w:tcPr>
                  <w:tcW w:w="1124" w:type="pct"/>
                  <w:noWrap w:val="0"/>
                  <w:vAlign w:val="center"/>
                </w:tcPr>
                <w:p w14:paraId="152F520C">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表示废气向大气环境排放</w:t>
                  </w:r>
                </w:p>
              </w:tc>
            </w:tr>
            <w:tr w14:paraId="634A83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noWrap w:val="0"/>
                  <w:vAlign w:val="center"/>
                </w:tcPr>
                <w:p w14:paraId="74BA99F8">
                  <w:pPr>
                    <w:spacing w:line="276" w:lineRule="auto"/>
                    <w:jc w:val="center"/>
                    <w:rPr>
                      <w:rFonts w:ascii="Times New Roman" w:hAnsi="Times New Roman"/>
                      <w:color w:val="auto"/>
                      <w:spacing w:val="-2"/>
                      <w:szCs w:val="21"/>
                      <w:highlight w:val="none"/>
                    </w:rPr>
                  </w:pPr>
                  <w:r>
                    <w:rPr>
                      <w:rFonts w:hint="eastAsia" w:ascii="Times New Roman" w:hAnsi="Times New Roman"/>
                      <w:color w:val="auto"/>
                      <w:szCs w:val="21"/>
                      <w:highlight w:val="none"/>
                    </w:rPr>
                    <w:t>2</w:t>
                  </w:r>
                </w:p>
              </w:tc>
              <w:tc>
                <w:tcPr>
                  <w:tcW w:w="1104" w:type="pct"/>
                  <w:noWrap w:val="0"/>
                  <w:vAlign w:val="center"/>
                </w:tcPr>
                <w:p w14:paraId="02CF45E0">
                  <w:pPr>
                    <w:spacing w:line="276" w:lineRule="auto"/>
                    <w:jc w:val="center"/>
                    <w:rPr>
                      <w:rFonts w:ascii="Times New Roman" w:hAnsi="Times New Roman"/>
                      <w:color w:val="auto"/>
                      <w:spacing w:val="-2"/>
                      <w:szCs w:val="21"/>
                      <w:highlight w:val="none"/>
                    </w:rPr>
                  </w:pPr>
                  <w:r>
                    <w:rPr>
                      <w:rFonts w:ascii="Times New Roman" w:hAnsi="Times New Roman"/>
                      <w:smallCaps/>
                      <w:color w:val="auto"/>
                      <w:szCs w:val="21"/>
                      <w:highlight w:val="none"/>
                    </w:rPr>
                    <w:drawing>
                      <wp:inline distT="0" distB="0" distL="114300" distR="114300">
                        <wp:extent cx="858520" cy="858520"/>
                        <wp:effectExtent l="0" t="0" r="17780" b="17780"/>
                        <wp:docPr id="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pic:cNvPicPr>
                                  <a:picLocks noChangeAspect="1"/>
                                </pic:cNvPicPr>
                              </pic:nvPicPr>
                              <pic:blipFill>
                                <a:blip r:embed="rId33"/>
                                <a:stretch>
                                  <a:fillRect/>
                                </a:stretch>
                              </pic:blipFill>
                              <pic:spPr>
                                <a:xfrm>
                                  <a:off x="0" y="0"/>
                                  <a:ext cx="858520" cy="858520"/>
                                </a:xfrm>
                                <a:prstGeom prst="rect">
                                  <a:avLst/>
                                </a:prstGeom>
                                <a:noFill/>
                                <a:ln>
                                  <a:noFill/>
                                </a:ln>
                              </pic:spPr>
                            </pic:pic>
                          </a:graphicData>
                        </a:graphic>
                      </wp:inline>
                    </w:drawing>
                  </w:r>
                </w:p>
              </w:tc>
              <w:tc>
                <w:tcPr>
                  <w:tcW w:w="1310" w:type="pct"/>
                  <w:noWrap w:val="0"/>
                  <w:vAlign w:val="center"/>
                </w:tcPr>
                <w:p w14:paraId="219DA15A">
                  <w:pPr>
                    <w:spacing w:line="276" w:lineRule="auto"/>
                    <w:jc w:val="center"/>
                    <w:rPr>
                      <w:rFonts w:ascii="Times New Roman" w:hAnsi="Times New Roman"/>
                      <w:color w:val="auto"/>
                      <w:spacing w:val="-2"/>
                      <w:szCs w:val="21"/>
                      <w:highlight w:val="none"/>
                    </w:rPr>
                  </w:pPr>
                  <w:r>
                    <w:rPr>
                      <w:rFonts w:ascii="Times New Roman" w:hAnsi="Times New Roman"/>
                      <w:smallCaps/>
                      <w:color w:val="auto"/>
                      <w:szCs w:val="21"/>
                      <w:highlight w:val="none"/>
                    </w:rPr>
                    <w:drawing>
                      <wp:inline distT="0" distB="0" distL="114300" distR="114300">
                        <wp:extent cx="962025" cy="858520"/>
                        <wp:effectExtent l="0" t="0" r="9525" b="17780"/>
                        <wp:docPr id="3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8"/>
                                <pic:cNvPicPr>
                                  <a:picLocks noChangeAspect="1"/>
                                </pic:cNvPicPr>
                              </pic:nvPicPr>
                              <pic:blipFill>
                                <a:blip r:embed="rId34"/>
                                <a:stretch>
                                  <a:fillRect/>
                                </a:stretch>
                              </pic:blipFill>
                              <pic:spPr>
                                <a:xfrm>
                                  <a:off x="0" y="0"/>
                                  <a:ext cx="962025" cy="858520"/>
                                </a:xfrm>
                                <a:prstGeom prst="rect">
                                  <a:avLst/>
                                </a:prstGeom>
                                <a:noFill/>
                                <a:ln>
                                  <a:noFill/>
                                </a:ln>
                              </pic:spPr>
                            </pic:pic>
                          </a:graphicData>
                        </a:graphic>
                      </wp:inline>
                    </w:drawing>
                  </w:r>
                </w:p>
              </w:tc>
              <w:tc>
                <w:tcPr>
                  <w:tcW w:w="1095" w:type="pct"/>
                  <w:noWrap w:val="0"/>
                  <w:vAlign w:val="center"/>
                </w:tcPr>
                <w:p w14:paraId="673E2376">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一般工业固体废物</w:t>
                  </w:r>
                </w:p>
              </w:tc>
              <w:tc>
                <w:tcPr>
                  <w:tcW w:w="1124" w:type="pct"/>
                  <w:noWrap w:val="0"/>
                  <w:vAlign w:val="center"/>
                </w:tcPr>
                <w:p w14:paraId="387DF0B6">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表示一般工业固体废物贮存、处置场</w:t>
                  </w:r>
                </w:p>
              </w:tc>
            </w:tr>
            <w:tr w14:paraId="0AF95F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noWrap w:val="0"/>
                  <w:vAlign w:val="center"/>
                </w:tcPr>
                <w:p w14:paraId="66EBF2BB">
                  <w:pPr>
                    <w:spacing w:line="276" w:lineRule="auto"/>
                    <w:jc w:val="center"/>
                    <w:rPr>
                      <w:rFonts w:ascii="Times New Roman" w:hAnsi="Times New Roman"/>
                      <w:color w:val="auto"/>
                      <w:spacing w:val="-2"/>
                      <w:szCs w:val="21"/>
                      <w:highlight w:val="none"/>
                    </w:rPr>
                  </w:pPr>
                  <w:r>
                    <w:rPr>
                      <w:rFonts w:hint="eastAsia" w:ascii="Times New Roman" w:hAnsi="Times New Roman"/>
                      <w:color w:val="auto"/>
                      <w:szCs w:val="21"/>
                      <w:highlight w:val="none"/>
                    </w:rPr>
                    <w:t>3</w:t>
                  </w:r>
                </w:p>
              </w:tc>
              <w:tc>
                <w:tcPr>
                  <w:tcW w:w="1104" w:type="pct"/>
                  <w:noWrap w:val="0"/>
                  <w:vAlign w:val="center"/>
                </w:tcPr>
                <w:p w14:paraId="2CFCDC6E">
                  <w:pPr>
                    <w:spacing w:line="276" w:lineRule="auto"/>
                    <w:jc w:val="center"/>
                    <w:rPr>
                      <w:rFonts w:ascii="Times New Roman" w:hAnsi="Times New Roman"/>
                      <w:color w:val="auto"/>
                      <w:spacing w:val="-2"/>
                      <w:szCs w:val="21"/>
                      <w:highlight w:val="none"/>
                    </w:rPr>
                  </w:pPr>
                  <w:r>
                    <w:rPr>
                      <w:rFonts w:ascii="Times New Roman" w:hAnsi="Times New Roman"/>
                      <w:color w:val="auto"/>
                      <w:spacing w:val="-2"/>
                      <w:szCs w:val="21"/>
                      <w:highlight w:val="none"/>
                    </w:rPr>
                    <w:t>/</w:t>
                  </w:r>
                </w:p>
              </w:tc>
              <w:tc>
                <w:tcPr>
                  <w:tcW w:w="1310" w:type="pct"/>
                  <w:noWrap w:val="0"/>
                  <w:vAlign w:val="center"/>
                </w:tcPr>
                <w:p w14:paraId="2B83F160">
                  <w:pPr>
                    <w:spacing w:line="276" w:lineRule="auto"/>
                    <w:jc w:val="center"/>
                    <w:rPr>
                      <w:rFonts w:ascii="Times New Roman" w:hAnsi="Times New Roman"/>
                      <w:color w:val="auto"/>
                      <w:spacing w:val="-2"/>
                      <w:szCs w:val="21"/>
                      <w:highlight w:val="none"/>
                    </w:rPr>
                  </w:pPr>
                  <w:r>
                    <w:rPr>
                      <w:color w:val="auto"/>
                      <w:szCs w:val="21"/>
                      <w:highlight w:val="none"/>
                    </w:rPr>
                    <w:drawing>
                      <wp:inline distT="0" distB="0" distL="114300" distR="114300">
                        <wp:extent cx="1016000" cy="875665"/>
                        <wp:effectExtent l="0" t="0" r="12700" b="63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5"/>
                                <a:stretch>
                                  <a:fillRect/>
                                </a:stretch>
                              </pic:blipFill>
                              <pic:spPr>
                                <a:xfrm>
                                  <a:off x="0" y="0"/>
                                  <a:ext cx="1016000" cy="875665"/>
                                </a:xfrm>
                                <a:prstGeom prst="rect">
                                  <a:avLst/>
                                </a:prstGeom>
                                <a:noFill/>
                                <a:ln>
                                  <a:noFill/>
                                </a:ln>
                              </pic:spPr>
                            </pic:pic>
                          </a:graphicData>
                        </a:graphic>
                      </wp:inline>
                    </w:drawing>
                  </w:r>
                </w:p>
              </w:tc>
              <w:tc>
                <w:tcPr>
                  <w:tcW w:w="1095" w:type="pct"/>
                  <w:noWrap w:val="0"/>
                  <w:vAlign w:val="center"/>
                </w:tcPr>
                <w:p w14:paraId="42243B11">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危险废物</w:t>
                  </w:r>
                </w:p>
              </w:tc>
              <w:tc>
                <w:tcPr>
                  <w:tcW w:w="1124" w:type="pct"/>
                  <w:noWrap w:val="0"/>
                  <w:vAlign w:val="center"/>
                </w:tcPr>
                <w:p w14:paraId="0E1AA368">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表示危险废物贮存、处置场</w:t>
                  </w:r>
                </w:p>
              </w:tc>
            </w:tr>
            <w:tr w14:paraId="209C96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noWrap w:val="0"/>
                  <w:vAlign w:val="center"/>
                </w:tcPr>
                <w:p w14:paraId="08A49BB1">
                  <w:pPr>
                    <w:spacing w:line="276" w:lineRule="auto"/>
                    <w:jc w:val="center"/>
                    <w:rPr>
                      <w:rFonts w:ascii="Times New Roman" w:hAnsi="Times New Roman"/>
                      <w:color w:val="auto"/>
                      <w:spacing w:val="-2"/>
                      <w:szCs w:val="21"/>
                      <w:highlight w:val="none"/>
                    </w:rPr>
                  </w:pPr>
                  <w:r>
                    <w:rPr>
                      <w:rFonts w:hint="eastAsia" w:ascii="Times New Roman" w:hAnsi="Times New Roman"/>
                      <w:color w:val="auto"/>
                      <w:szCs w:val="21"/>
                      <w:highlight w:val="none"/>
                    </w:rPr>
                    <w:t>4</w:t>
                  </w:r>
                </w:p>
              </w:tc>
              <w:tc>
                <w:tcPr>
                  <w:tcW w:w="1104" w:type="pct"/>
                  <w:noWrap w:val="0"/>
                  <w:vAlign w:val="center"/>
                </w:tcPr>
                <w:p w14:paraId="4346FDAF">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drawing>
                      <wp:inline distT="0" distB="0" distL="114300" distR="114300">
                        <wp:extent cx="858520" cy="858520"/>
                        <wp:effectExtent l="0" t="0" r="17780" b="17780"/>
                        <wp:docPr id="32"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0" descr="mark_3"/>
                                <pic:cNvPicPr>
                                  <a:picLocks noChangeAspect="1"/>
                                </pic:cNvPicPr>
                              </pic:nvPicPr>
                              <pic:blipFill>
                                <a:blip r:embed="rId36"/>
                                <a:stretch>
                                  <a:fillRect/>
                                </a:stretch>
                              </pic:blipFill>
                              <pic:spPr>
                                <a:xfrm>
                                  <a:off x="0" y="0"/>
                                  <a:ext cx="858520" cy="858520"/>
                                </a:xfrm>
                                <a:prstGeom prst="rect">
                                  <a:avLst/>
                                </a:prstGeom>
                                <a:noFill/>
                                <a:ln>
                                  <a:noFill/>
                                </a:ln>
                              </pic:spPr>
                            </pic:pic>
                          </a:graphicData>
                        </a:graphic>
                      </wp:inline>
                    </w:drawing>
                  </w:r>
                </w:p>
              </w:tc>
              <w:tc>
                <w:tcPr>
                  <w:tcW w:w="1310" w:type="pct"/>
                  <w:noWrap w:val="0"/>
                  <w:vAlign w:val="center"/>
                </w:tcPr>
                <w:p w14:paraId="728F2EC1">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drawing>
                      <wp:inline distT="0" distB="0" distL="114300" distR="114300">
                        <wp:extent cx="962025" cy="858520"/>
                        <wp:effectExtent l="0" t="0" r="9525" b="17780"/>
                        <wp:docPr id="33"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1" descr="mark_j3"/>
                                <pic:cNvPicPr>
                                  <a:picLocks noChangeAspect="1"/>
                                </pic:cNvPicPr>
                              </pic:nvPicPr>
                              <pic:blipFill>
                                <a:blip r:embed="rId37"/>
                                <a:stretch>
                                  <a:fillRect/>
                                </a:stretch>
                              </pic:blipFill>
                              <pic:spPr>
                                <a:xfrm>
                                  <a:off x="0" y="0"/>
                                  <a:ext cx="962025" cy="858520"/>
                                </a:xfrm>
                                <a:prstGeom prst="rect">
                                  <a:avLst/>
                                </a:prstGeom>
                                <a:noFill/>
                                <a:ln>
                                  <a:noFill/>
                                </a:ln>
                              </pic:spPr>
                            </pic:pic>
                          </a:graphicData>
                        </a:graphic>
                      </wp:inline>
                    </w:drawing>
                  </w:r>
                </w:p>
              </w:tc>
              <w:tc>
                <w:tcPr>
                  <w:tcW w:w="1095" w:type="pct"/>
                  <w:noWrap w:val="0"/>
                  <w:vAlign w:val="center"/>
                </w:tcPr>
                <w:p w14:paraId="1CCEB7D8">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噪声排放源</w:t>
                  </w:r>
                </w:p>
              </w:tc>
              <w:tc>
                <w:tcPr>
                  <w:tcW w:w="1124" w:type="pct"/>
                  <w:noWrap w:val="0"/>
                  <w:vAlign w:val="center"/>
                </w:tcPr>
                <w:p w14:paraId="22346B85">
                  <w:pPr>
                    <w:spacing w:line="276" w:lineRule="auto"/>
                    <w:jc w:val="center"/>
                    <w:rPr>
                      <w:rFonts w:ascii="Times New Roman" w:hAnsi="Times New Roman"/>
                      <w:color w:val="auto"/>
                      <w:spacing w:val="-2"/>
                      <w:szCs w:val="21"/>
                      <w:highlight w:val="none"/>
                    </w:rPr>
                  </w:pPr>
                  <w:r>
                    <w:rPr>
                      <w:rFonts w:ascii="Times New Roman" w:hAnsi="Times New Roman"/>
                      <w:color w:val="auto"/>
                      <w:szCs w:val="21"/>
                      <w:highlight w:val="none"/>
                    </w:rPr>
                    <w:t>表示噪声向外环境排放</w:t>
                  </w:r>
                </w:p>
              </w:tc>
            </w:tr>
          </w:tbl>
          <w:p w14:paraId="11C81097">
            <w:pPr>
              <w:spacing w:line="360" w:lineRule="auto"/>
              <w:jc w:val="center"/>
              <w:rPr>
                <w:rFonts w:eastAsia="黑体"/>
                <w:color w:val="auto"/>
                <w:spacing w:val="-2"/>
                <w:sz w:val="24"/>
                <w:szCs w:val="20"/>
                <w:highlight w:val="none"/>
              </w:rPr>
            </w:pPr>
            <w:r>
              <w:rPr>
                <w:rFonts w:hAnsi="黑体" w:eastAsia="黑体"/>
                <w:color w:val="auto"/>
                <w:sz w:val="24"/>
                <w:highlight w:val="none"/>
              </w:rPr>
              <w:t>表</w:t>
            </w:r>
            <w:r>
              <w:rPr>
                <w:rFonts w:hint="eastAsia" w:ascii="Times New Roman" w:hAnsi="Times New Roman" w:eastAsia="黑体"/>
                <w:color w:val="auto"/>
                <w:sz w:val="24"/>
                <w:highlight w:val="none"/>
              </w:rPr>
              <w:t>4-</w:t>
            </w:r>
            <w:r>
              <w:rPr>
                <w:rFonts w:hint="eastAsia" w:ascii="Times New Roman" w:hAnsi="Times New Roman" w:eastAsia="黑体"/>
                <w:color w:val="auto"/>
                <w:sz w:val="24"/>
                <w:highlight w:val="none"/>
                <w:lang w:val="en-US" w:eastAsia="zh-CN"/>
              </w:rPr>
              <w:t>21</w:t>
            </w:r>
            <w:r>
              <w:rPr>
                <w:rFonts w:hint="eastAsia" w:ascii="Times New Roman" w:hAnsi="Times New Roman" w:eastAsia="黑体"/>
                <w:color w:val="auto"/>
                <w:sz w:val="24"/>
                <w:highlight w:val="none"/>
              </w:rPr>
              <w:t xml:space="preserve"> </w:t>
            </w:r>
            <w:r>
              <w:rPr>
                <w:rFonts w:hAnsi="黑体" w:eastAsia="黑体"/>
                <w:color w:val="auto"/>
                <w:sz w:val="24"/>
                <w:highlight w:val="none"/>
              </w:rPr>
              <w:t>环境保护图形标志的形状及颜色表</w:t>
            </w:r>
          </w:p>
          <w:tbl>
            <w:tblPr>
              <w:tblStyle w:val="20"/>
              <w:tblW w:w="4998"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70"/>
              <w:gridCol w:w="1970"/>
              <w:gridCol w:w="1972"/>
              <w:gridCol w:w="1973"/>
            </w:tblGrid>
            <w:tr w14:paraId="432A14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1249" w:type="pct"/>
                  <w:noWrap w:val="0"/>
                  <w:vAlign w:val="center"/>
                </w:tcPr>
                <w:p w14:paraId="081C9690">
                  <w:pPr>
                    <w:spacing w:line="276" w:lineRule="auto"/>
                    <w:jc w:val="center"/>
                    <w:rPr>
                      <w:b/>
                      <w:color w:val="auto"/>
                      <w:spacing w:val="-2"/>
                      <w:szCs w:val="21"/>
                      <w:highlight w:val="none"/>
                    </w:rPr>
                  </w:pPr>
                  <w:r>
                    <w:rPr>
                      <w:rFonts w:hAnsi="宋体"/>
                      <w:b/>
                      <w:color w:val="auto"/>
                      <w:szCs w:val="21"/>
                      <w:highlight w:val="none"/>
                    </w:rPr>
                    <w:t>标志名称</w:t>
                  </w:r>
                </w:p>
              </w:tc>
              <w:tc>
                <w:tcPr>
                  <w:tcW w:w="1249" w:type="pct"/>
                  <w:noWrap w:val="0"/>
                  <w:vAlign w:val="center"/>
                </w:tcPr>
                <w:p w14:paraId="7F895038">
                  <w:pPr>
                    <w:spacing w:line="276" w:lineRule="auto"/>
                    <w:jc w:val="center"/>
                    <w:rPr>
                      <w:b/>
                      <w:color w:val="auto"/>
                      <w:spacing w:val="-2"/>
                      <w:szCs w:val="21"/>
                      <w:highlight w:val="none"/>
                    </w:rPr>
                  </w:pPr>
                  <w:r>
                    <w:rPr>
                      <w:rFonts w:hAnsi="宋体"/>
                      <w:b/>
                      <w:color w:val="auto"/>
                      <w:szCs w:val="21"/>
                      <w:highlight w:val="none"/>
                    </w:rPr>
                    <w:t>形状</w:t>
                  </w:r>
                </w:p>
              </w:tc>
              <w:tc>
                <w:tcPr>
                  <w:tcW w:w="1250" w:type="pct"/>
                  <w:noWrap w:val="0"/>
                  <w:vAlign w:val="center"/>
                </w:tcPr>
                <w:p w14:paraId="234F1AF5">
                  <w:pPr>
                    <w:spacing w:line="276" w:lineRule="auto"/>
                    <w:jc w:val="center"/>
                    <w:rPr>
                      <w:b/>
                      <w:color w:val="auto"/>
                      <w:spacing w:val="-2"/>
                      <w:szCs w:val="21"/>
                      <w:highlight w:val="none"/>
                    </w:rPr>
                  </w:pPr>
                  <w:r>
                    <w:rPr>
                      <w:rFonts w:hAnsi="宋体"/>
                      <w:b/>
                      <w:color w:val="auto"/>
                      <w:szCs w:val="21"/>
                      <w:highlight w:val="none"/>
                    </w:rPr>
                    <w:t>背景颜色</w:t>
                  </w:r>
                </w:p>
              </w:tc>
              <w:tc>
                <w:tcPr>
                  <w:tcW w:w="1250" w:type="pct"/>
                  <w:noWrap w:val="0"/>
                  <w:vAlign w:val="center"/>
                </w:tcPr>
                <w:p w14:paraId="2B9D517E">
                  <w:pPr>
                    <w:spacing w:line="276" w:lineRule="auto"/>
                    <w:jc w:val="center"/>
                    <w:rPr>
                      <w:b/>
                      <w:color w:val="auto"/>
                      <w:spacing w:val="-2"/>
                      <w:szCs w:val="21"/>
                      <w:highlight w:val="none"/>
                    </w:rPr>
                  </w:pPr>
                  <w:r>
                    <w:rPr>
                      <w:rFonts w:hAnsi="宋体"/>
                      <w:b/>
                      <w:color w:val="auto"/>
                      <w:szCs w:val="21"/>
                      <w:highlight w:val="none"/>
                    </w:rPr>
                    <w:t>图形颜色</w:t>
                  </w:r>
                </w:p>
              </w:tc>
            </w:tr>
            <w:tr w14:paraId="7469F7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49" w:type="pct"/>
                  <w:noWrap w:val="0"/>
                  <w:vAlign w:val="center"/>
                </w:tcPr>
                <w:p w14:paraId="36B565FD">
                  <w:pPr>
                    <w:spacing w:line="276" w:lineRule="auto"/>
                    <w:jc w:val="center"/>
                    <w:rPr>
                      <w:color w:val="auto"/>
                      <w:spacing w:val="-2"/>
                      <w:szCs w:val="21"/>
                      <w:highlight w:val="none"/>
                    </w:rPr>
                  </w:pPr>
                  <w:r>
                    <w:rPr>
                      <w:rFonts w:hAnsi="宋体"/>
                      <w:color w:val="auto"/>
                      <w:szCs w:val="21"/>
                      <w:highlight w:val="none"/>
                    </w:rPr>
                    <w:t>警告标志</w:t>
                  </w:r>
                </w:p>
              </w:tc>
              <w:tc>
                <w:tcPr>
                  <w:tcW w:w="1249" w:type="pct"/>
                  <w:noWrap w:val="0"/>
                  <w:vAlign w:val="center"/>
                </w:tcPr>
                <w:p w14:paraId="57A0E911">
                  <w:pPr>
                    <w:spacing w:line="276" w:lineRule="auto"/>
                    <w:jc w:val="center"/>
                    <w:rPr>
                      <w:color w:val="auto"/>
                      <w:spacing w:val="-2"/>
                      <w:szCs w:val="21"/>
                      <w:highlight w:val="none"/>
                    </w:rPr>
                  </w:pPr>
                  <w:r>
                    <w:rPr>
                      <w:rFonts w:hAnsi="宋体"/>
                      <w:color w:val="auto"/>
                      <w:szCs w:val="21"/>
                      <w:highlight w:val="none"/>
                    </w:rPr>
                    <w:t>三角形边框</w:t>
                  </w:r>
                </w:p>
              </w:tc>
              <w:tc>
                <w:tcPr>
                  <w:tcW w:w="1250" w:type="pct"/>
                  <w:noWrap w:val="0"/>
                  <w:vAlign w:val="center"/>
                </w:tcPr>
                <w:p w14:paraId="095E52ED">
                  <w:pPr>
                    <w:spacing w:line="276" w:lineRule="auto"/>
                    <w:jc w:val="center"/>
                    <w:rPr>
                      <w:color w:val="auto"/>
                      <w:spacing w:val="-2"/>
                      <w:szCs w:val="21"/>
                      <w:highlight w:val="none"/>
                    </w:rPr>
                  </w:pPr>
                  <w:r>
                    <w:rPr>
                      <w:rFonts w:hAnsi="宋体"/>
                      <w:color w:val="auto"/>
                      <w:szCs w:val="21"/>
                      <w:highlight w:val="none"/>
                    </w:rPr>
                    <w:t>黄色</w:t>
                  </w:r>
                </w:p>
              </w:tc>
              <w:tc>
                <w:tcPr>
                  <w:tcW w:w="1250" w:type="pct"/>
                  <w:noWrap w:val="0"/>
                  <w:vAlign w:val="center"/>
                </w:tcPr>
                <w:p w14:paraId="3BA2C8DA">
                  <w:pPr>
                    <w:spacing w:line="276" w:lineRule="auto"/>
                    <w:jc w:val="center"/>
                    <w:rPr>
                      <w:color w:val="auto"/>
                      <w:spacing w:val="-2"/>
                      <w:szCs w:val="21"/>
                      <w:highlight w:val="none"/>
                    </w:rPr>
                  </w:pPr>
                  <w:r>
                    <w:rPr>
                      <w:rFonts w:hAnsi="宋体"/>
                      <w:color w:val="auto"/>
                      <w:szCs w:val="21"/>
                      <w:highlight w:val="none"/>
                    </w:rPr>
                    <w:t>黑色</w:t>
                  </w:r>
                </w:p>
              </w:tc>
            </w:tr>
            <w:tr w14:paraId="6F758B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49" w:type="pct"/>
                  <w:noWrap w:val="0"/>
                  <w:vAlign w:val="center"/>
                </w:tcPr>
                <w:p w14:paraId="02FDF01A">
                  <w:pPr>
                    <w:spacing w:line="276" w:lineRule="auto"/>
                    <w:jc w:val="center"/>
                    <w:rPr>
                      <w:color w:val="auto"/>
                      <w:spacing w:val="-2"/>
                      <w:szCs w:val="21"/>
                      <w:highlight w:val="none"/>
                    </w:rPr>
                  </w:pPr>
                  <w:r>
                    <w:rPr>
                      <w:rFonts w:hAnsi="宋体"/>
                      <w:color w:val="auto"/>
                      <w:szCs w:val="21"/>
                      <w:highlight w:val="none"/>
                    </w:rPr>
                    <w:t>提示标志</w:t>
                  </w:r>
                </w:p>
              </w:tc>
              <w:tc>
                <w:tcPr>
                  <w:tcW w:w="1249" w:type="pct"/>
                  <w:noWrap w:val="0"/>
                  <w:vAlign w:val="center"/>
                </w:tcPr>
                <w:p w14:paraId="4619C237">
                  <w:pPr>
                    <w:spacing w:line="276" w:lineRule="auto"/>
                    <w:jc w:val="center"/>
                    <w:rPr>
                      <w:color w:val="auto"/>
                      <w:spacing w:val="-2"/>
                      <w:szCs w:val="21"/>
                      <w:highlight w:val="none"/>
                    </w:rPr>
                  </w:pPr>
                  <w:r>
                    <w:rPr>
                      <w:rFonts w:hAnsi="宋体"/>
                      <w:color w:val="auto"/>
                      <w:szCs w:val="21"/>
                      <w:highlight w:val="none"/>
                    </w:rPr>
                    <w:t>正方形边框</w:t>
                  </w:r>
                </w:p>
              </w:tc>
              <w:tc>
                <w:tcPr>
                  <w:tcW w:w="1250" w:type="pct"/>
                  <w:noWrap w:val="0"/>
                  <w:vAlign w:val="center"/>
                </w:tcPr>
                <w:p w14:paraId="05E56078">
                  <w:pPr>
                    <w:spacing w:line="276" w:lineRule="auto"/>
                    <w:jc w:val="center"/>
                    <w:rPr>
                      <w:color w:val="auto"/>
                      <w:spacing w:val="-2"/>
                      <w:szCs w:val="21"/>
                      <w:highlight w:val="none"/>
                    </w:rPr>
                  </w:pPr>
                  <w:r>
                    <w:rPr>
                      <w:rFonts w:hAnsi="宋体"/>
                      <w:color w:val="auto"/>
                      <w:szCs w:val="21"/>
                      <w:highlight w:val="none"/>
                    </w:rPr>
                    <w:t>绿色</w:t>
                  </w:r>
                </w:p>
              </w:tc>
              <w:tc>
                <w:tcPr>
                  <w:tcW w:w="1250" w:type="pct"/>
                  <w:noWrap w:val="0"/>
                  <w:vAlign w:val="center"/>
                </w:tcPr>
                <w:p w14:paraId="7F8B1A8F">
                  <w:pPr>
                    <w:spacing w:line="276" w:lineRule="auto"/>
                    <w:jc w:val="center"/>
                    <w:rPr>
                      <w:color w:val="auto"/>
                      <w:spacing w:val="-2"/>
                      <w:szCs w:val="21"/>
                      <w:highlight w:val="none"/>
                    </w:rPr>
                  </w:pPr>
                  <w:r>
                    <w:rPr>
                      <w:rFonts w:hAnsi="宋体"/>
                      <w:color w:val="auto"/>
                      <w:szCs w:val="21"/>
                      <w:highlight w:val="none"/>
                    </w:rPr>
                    <w:t>白色</w:t>
                  </w:r>
                </w:p>
              </w:tc>
            </w:tr>
          </w:tbl>
          <w:p w14:paraId="34405875">
            <w:pPr>
              <w:spacing w:line="360" w:lineRule="auto"/>
              <w:rPr>
                <w:rFonts w:ascii="Times New Roman" w:hAnsi="Times New Roman"/>
                <w:color w:val="auto"/>
                <w:sz w:val="24"/>
                <w:szCs w:val="24"/>
                <w:highlight w:val="none"/>
              </w:rPr>
            </w:pPr>
          </w:p>
          <w:p w14:paraId="31D8A81E">
            <w:pPr>
              <w:spacing w:line="360" w:lineRule="auto"/>
              <w:rPr>
                <w:rFonts w:ascii="Times New Roman" w:hAnsi="Times New Roman"/>
                <w:color w:val="auto"/>
                <w:sz w:val="24"/>
                <w:szCs w:val="24"/>
                <w:highlight w:val="none"/>
              </w:rPr>
            </w:pPr>
          </w:p>
          <w:p w14:paraId="5D4B310E">
            <w:pPr>
              <w:spacing w:line="360" w:lineRule="auto"/>
              <w:rPr>
                <w:rFonts w:ascii="Times New Roman" w:hAnsi="Times New Roman"/>
                <w:color w:val="auto"/>
                <w:sz w:val="24"/>
                <w:szCs w:val="24"/>
                <w:highlight w:val="none"/>
              </w:rPr>
            </w:pPr>
          </w:p>
          <w:p w14:paraId="2749A7DF">
            <w:pPr>
              <w:spacing w:line="360" w:lineRule="auto"/>
              <w:rPr>
                <w:rFonts w:ascii="Times New Roman" w:hAnsi="Times New Roman"/>
                <w:color w:val="auto"/>
                <w:sz w:val="24"/>
                <w:szCs w:val="24"/>
                <w:highlight w:val="none"/>
              </w:rPr>
            </w:pPr>
          </w:p>
          <w:p w14:paraId="6F844659">
            <w:pPr>
              <w:spacing w:line="360" w:lineRule="auto"/>
              <w:rPr>
                <w:rFonts w:ascii="Times New Roman" w:hAnsi="Times New Roman"/>
                <w:color w:val="auto"/>
                <w:sz w:val="24"/>
                <w:szCs w:val="24"/>
                <w:highlight w:val="none"/>
              </w:rPr>
            </w:pPr>
          </w:p>
        </w:tc>
      </w:tr>
    </w:tbl>
    <w:p w14:paraId="3E4163B1">
      <w:pPr>
        <w:widowControl/>
        <w:spacing w:before="100" w:beforeAutospacing="1" w:after="100" w:afterAutospacing="1"/>
        <w:ind w:firstLine="600"/>
        <w:jc w:val="center"/>
        <w:outlineLvl w:val="0"/>
        <w:rPr>
          <w:rFonts w:ascii="黑体" w:hAnsi="黑体" w:eastAsia="黑体"/>
          <w:snapToGrid w:val="0"/>
          <w:color w:val="auto"/>
          <w:kern w:val="0"/>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40DC978">
      <w:pPr>
        <w:widowControl/>
        <w:spacing w:before="100" w:beforeAutospacing="1" w:after="100" w:afterAutospacing="1"/>
        <w:ind w:firstLine="600"/>
        <w:jc w:val="center"/>
        <w:outlineLvl w:val="0"/>
        <w:rPr>
          <w:rFonts w:ascii="黑体" w:hAnsi="黑体" w:eastAsia="黑体"/>
          <w:snapToGrid w:val="0"/>
          <w:color w:val="auto"/>
          <w:kern w:val="0"/>
          <w:sz w:val="30"/>
          <w:szCs w:val="30"/>
          <w:highlight w:val="none"/>
        </w:rPr>
      </w:pPr>
      <w:r>
        <w:rPr>
          <w:rFonts w:hint="eastAsia" w:ascii="黑体" w:hAnsi="黑体" w:eastAsia="黑体"/>
          <w:snapToGrid w:val="0"/>
          <w:color w:val="auto"/>
          <w:kern w:val="0"/>
          <w:sz w:val="30"/>
          <w:szCs w:val="30"/>
          <w:highlight w:val="none"/>
        </w:rPr>
        <w:t>五、</w:t>
      </w:r>
      <w:bookmarkStart w:id="5" w:name="_Hlk54167917"/>
      <w:r>
        <w:rPr>
          <w:rFonts w:hint="eastAsia" w:ascii="黑体" w:hAnsi="黑体" w:eastAsia="黑体"/>
          <w:snapToGrid w:val="0"/>
          <w:color w:val="auto"/>
          <w:kern w:val="0"/>
          <w:sz w:val="30"/>
          <w:szCs w:val="30"/>
          <w:highlight w:val="none"/>
        </w:rPr>
        <w:t>环境保护措施监督检查清单</w:t>
      </w:r>
      <w:bookmarkEnd w:id="5"/>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564"/>
        <w:gridCol w:w="1300"/>
        <w:gridCol w:w="2755"/>
        <w:gridCol w:w="2225"/>
      </w:tblGrid>
      <w:tr w14:paraId="63EC9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tcBorders>
              <w:tl2br w:val="single" w:color="auto" w:sz="4" w:space="0"/>
            </w:tcBorders>
            <w:noWrap w:val="0"/>
            <w:vAlign w:val="top"/>
          </w:tcPr>
          <w:p w14:paraId="1EFF0CF6">
            <w:pPr>
              <w:snapToGrid w:val="0"/>
              <w:spacing w:line="276" w:lineRule="auto"/>
              <w:ind w:right="844" w:firstLine="482"/>
              <w:jc w:val="center"/>
              <w:rPr>
                <w:rFonts w:ascii="Times New Roman" w:hAnsi="Times New Roman"/>
                <w:b/>
                <w:color w:val="auto"/>
                <w:sz w:val="24"/>
                <w:szCs w:val="24"/>
                <w:highlight w:val="none"/>
              </w:rPr>
            </w:pPr>
            <w:r>
              <w:rPr>
                <w:rFonts w:ascii="Times New Roman" w:hAnsi="宋体"/>
                <w:b/>
                <w:color w:val="auto"/>
                <w:sz w:val="24"/>
                <w:szCs w:val="24"/>
                <w:highlight w:val="none"/>
              </w:rPr>
              <w:t>内容</w:t>
            </w:r>
          </w:p>
          <w:p w14:paraId="5C062529">
            <w:pPr>
              <w:snapToGrid w:val="0"/>
              <w:spacing w:line="276" w:lineRule="auto"/>
              <w:ind w:firstLine="482"/>
              <w:jc w:val="center"/>
              <w:rPr>
                <w:rFonts w:ascii="Times New Roman" w:hAnsi="宋体"/>
                <w:b/>
                <w:color w:val="auto"/>
                <w:sz w:val="24"/>
                <w:szCs w:val="24"/>
                <w:highlight w:val="none"/>
              </w:rPr>
            </w:pPr>
          </w:p>
          <w:p w14:paraId="4A431922">
            <w:pPr>
              <w:snapToGrid w:val="0"/>
              <w:spacing w:line="276" w:lineRule="auto"/>
              <w:jc w:val="center"/>
              <w:rPr>
                <w:rFonts w:ascii="Times New Roman" w:hAnsi="Times New Roman"/>
                <w:b/>
                <w:color w:val="auto"/>
                <w:sz w:val="24"/>
                <w:szCs w:val="24"/>
                <w:highlight w:val="none"/>
              </w:rPr>
            </w:pPr>
            <w:r>
              <w:rPr>
                <w:rFonts w:ascii="Times New Roman" w:hAnsi="宋体"/>
                <w:b/>
                <w:color w:val="auto"/>
                <w:sz w:val="24"/>
                <w:szCs w:val="24"/>
                <w:highlight w:val="none"/>
              </w:rPr>
              <w:t>要素</w:t>
            </w:r>
          </w:p>
        </w:tc>
        <w:tc>
          <w:tcPr>
            <w:tcW w:w="1564" w:type="dxa"/>
            <w:noWrap w:val="0"/>
            <w:vAlign w:val="center"/>
          </w:tcPr>
          <w:p w14:paraId="08F68A37">
            <w:pPr>
              <w:snapToGrid w:val="0"/>
              <w:spacing w:line="276" w:lineRule="auto"/>
              <w:jc w:val="center"/>
              <w:rPr>
                <w:rFonts w:ascii="Times New Roman" w:hAnsi="Times New Roman"/>
                <w:b/>
                <w:color w:val="auto"/>
                <w:sz w:val="24"/>
                <w:szCs w:val="24"/>
                <w:highlight w:val="none"/>
              </w:rPr>
            </w:pPr>
            <w:r>
              <w:rPr>
                <w:rFonts w:ascii="Times New Roman" w:hAnsi="宋体"/>
                <w:b/>
                <w:color w:val="auto"/>
                <w:sz w:val="24"/>
                <w:szCs w:val="24"/>
                <w:highlight w:val="none"/>
              </w:rPr>
              <w:t>排放口</w:t>
            </w:r>
            <w:r>
              <w:rPr>
                <w:rFonts w:hint="eastAsia" w:ascii="Times New Roman" w:hAnsi="宋体"/>
                <w:b/>
                <w:color w:val="auto"/>
                <w:sz w:val="24"/>
                <w:szCs w:val="24"/>
                <w:highlight w:val="none"/>
                <w:lang w:eastAsia="zh-CN"/>
              </w:rPr>
              <w:t>（</w:t>
            </w:r>
            <w:r>
              <w:rPr>
                <w:rFonts w:ascii="Times New Roman" w:hAnsi="宋体"/>
                <w:b/>
                <w:color w:val="auto"/>
                <w:sz w:val="24"/>
                <w:szCs w:val="24"/>
                <w:highlight w:val="none"/>
              </w:rPr>
              <w:t>编号、名称</w:t>
            </w:r>
            <w:r>
              <w:rPr>
                <w:rFonts w:hint="eastAsia" w:ascii="Times New Roman" w:hAnsi="宋体"/>
                <w:b/>
                <w:color w:val="auto"/>
                <w:sz w:val="24"/>
                <w:szCs w:val="24"/>
                <w:highlight w:val="none"/>
                <w:lang w:eastAsia="zh-CN"/>
              </w:rPr>
              <w:t>）</w:t>
            </w:r>
            <w:r>
              <w:rPr>
                <w:rFonts w:ascii="Times New Roman" w:hAnsi="Times New Roman"/>
                <w:b/>
                <w:color w:val="auto"/>
                <w:sz w:val="24"/>
                <w:szCs w:val="24"/>
                <w:highlight w:val="none"/>
              </w:rPr>
              <w:t>/</w:t>
            </w:r>
            <w:r>
              <w:rPr>
                <w:rFonts w:ascii="Times New Roman" w:hAnsi="宋体"/>
                <w:b/>
                <w:color w:val="auto"/>
                <w:sz w:val="24"/>
                <w:szCs w:val="24"/>
                <w:highlight w:val="none"/>
              </w:rPr>
              <w:t>污染源</w:t>
            </w:r>
          </w:p>
        </w:tc>
        <w:tc>
          <w:tcPr>
            <w:tcW w:w="1300" w:type="dxa"/>
            <w:noWrap w:val="0"/>
            <w:vAlign w:val="center"/>
          </w:tcPr>
          <w:p w14:paraId="16DC9CB7">
            <w:pPr>
              <w:snapToGrid w:val="0"/>
              <w:spacing w:line="276" w:lineRule="auto"/>
              <w:jc w:val="center"/>
              <w:rPr>
                <w:rFonts w:ascii="Times New Roman" w:hAnsi="Times New Roman"/>
                <w:b/>
                <w:color w:val="auto"/>
                <w:sz w:val="24"/>
                <w:szCs w:val="24"/>
                <w:highlight w:val="none"/>
              </w:rPr>
            </w:pPr>
            <w:r>
              <w:rPr>
                <w:rFonts w:ascii="Times New Roman" w:hAnsi="宋体"/>
                <w:b/>
                <w:color w:val="auto"/>
                <w:sz w:val="24"/>
                <w:szCs w:val="24"/>
                <w:highlight w:val="none"/>
              </w:rPr>
              <w:t>污染物项目</w:t>
            </w:r>
          </w:p>
        </w:tc>
        <w:tc>
          <w:tcPr>
            <w:tcW w:w="2755" w:type="dxa"/>
            <w:noWrap w:val="0"/>
            <w:vAlign w:val="center"/>
          </w:tcPr>
          <w:p w14:paraId="5DE697BC">
            <w:pPr>
              <w:snapToGrid w:val="0"/>
              <w:spacing w:line="276" w:lineRule="auto"/>
              <w:jc w:val="center"/>
              <w:rPr>
                <w:rFonts w:ascii="Times New Roman" w:hAnsi="Times New Roman"/>
                <w:b/>
                <w:color w:val="auto"/>
                <w:sz w:val="24"/>
                <w:szCs w:val="24"/>
                <w:highlight w:val="none"/>
              </w:rPr>
            </w:pPr>
            <w:r>
              <w:rPr>
                <w:rFonts w:ascii="Times New Roman" w:hAnsi="宋体"/>
                <w:b/>
                <w:color w:val="auto"/>
                <w:sz w:val="24"/>
                <w:szCs w:val="24"/>
                <w:highlight w:val="none"/>
              </w:rPr>
              <w:t>环境保护措施</w:t>
            </w:r>
          </w:p>
        </w:tc>
        <w:tc>
          <w:tcPr>
            <w:tcW w:w="2225" w:type="dxa"/>
            <w:noWrap w:val="0"/>
            <w:vAlign w:val="center"/>
          </w:tcPr>
          <w:p w14:paraId="1173B90B">
            <w:pPr>
              <w:snapToGrid w:val="0"/>
              <w:spacing w:line="276" w:lineRule="auto"/>
              <w:jc w:val="center"/>
              <w:rPr>
                <w:rFonts w:ascii="Times New Roman" w:hAnsi="Times New Roman"/>
                <w:b/>
                <w:color w:val="auto"/>
                <w:sz w:val="24"/>
                <w:szCs w:val="24"/>
                <w:highlight w:val="none"/>
              </w:rPr>
            </w:pPr>
            <w:r>
              <w:rPr>
                <w:rFonts w:ascii="Times New Roman" w:hAnsi="宋体"/>
                <w:b/>
                <w:color w:val="auto"/>
                <w:sz w:val="24"/>
                <w:szCs w:val="24"/>
                <w:highlight w:val="none"/>
              </w:rPr>
              <w:t>执行标准</w:t>
            </w:r>
          </w:p>
        </w:tc>
      </w:tr>
      <w:tr w14:paraId="01369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restart"/>
            <w:noWrap w:val="0"/>
            <w:vAlign w:val="center"/>
          </w:tcPr>
          <w:p w14:paraId="5F61CF82">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大气环境</w:t>
            </w:r>
          </w:p>
        </w:tc>
        <w:tc>
          <w:tcPr>
            <w:tcW w:w="1564" w:type="dxa"/>
            <w:noWrap w:val="0"/>
            <w:vAlign w:val="center"/>
          </w:tcPr>
          <w:p w14:paraId="2BF74067">
            <w:pPr>
              <w:snapToGrid w:val="0"/>
              <w:spacing w:line="276" w:lineRule="auto"/>
              <w:jc w:val="center"/>
              <w:rPr>
                <w:rFonts w:ascii="Times New Roman" w:hAnsi="宋体"/>
                <w:color w:val="auto"/>
                <w:sz w:val="24"/>
                <w:szCs w:val="24"/>
                <w:highlight w:val="none"/>
              </w:rPr>
            </w:pPr>
            <w:r>
              <w:rPr>
                <w:rFonts w:hint="eastAsia" w:ascii="Times New Roman" w:hAnsi="宋体"/>
                <w:color w:val="auto"/>
                <w:sz w:val="24"/>
                <w:szCs w:val="24"/>
                <w:highlight w:val="none"/>
                <w:lang w:val="en-US" w:eastAsia="zh-CN"/>
              </w:rPr>
              <w:t>DA001排气筒</w:t>
            </w:r>
          </w:p>
        </w:tc>
        <w:tc>
          <w:tcPr>
            <w:tcW w:w="1300" w:type="dxa"/>
            <w:noWrap w:val="0"/>
            <w:vAlign w:val="center"/>
          </w:tcPr>
          <w:p w14:paraId="32DAB2B4">
            <w:pPr>
              <w:snapToGrid w:val="0"/>
              <w:spacing w:line="276" w:lineRule="auto"/>
              <w:jc w:val="center"/>
              <w:rPr>
                <w:rFonts w:ascii="Times New Roman" w:hAnsi="宋体"/>
                <w:color w:val="auto"/>
                <w:sz w:val="24"/>
                <w:szCs w:val="24"/>
                <w:highlight w:val="none"/>
              </w:rPr>
            </w:pPr>
            <w:r>
              <w:rPr>
                <w:rFonts w:hint="eastAsia" w:ascii="Times New Roman" w:hAnsi="宋体"/>
                <w:color w:val="auto"/>
                <w:sz w:val="24"/>
                <w:szCs w:val="24"/>
                <w:highlight w:val="none"/>
              </w:rPr>
              <w:t>非甲烷总烃</w:t>
            </w:r>
          </w:p>
        </w:tc>
        <w:tc>
          <w:tcPr>
            <w:tcW w:w="2755" w:type="dxa"/>
            <w:noWrap w:val="0"/>
            <w:vAlign w:val="center"/>
          </w:tcPr>
          <w:p w14:paraId="76BCBCF2">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由</w:t>
            </w:r>
            <w:r>
              <w:rPr>
                <w:rFonts w:hint="eastAsia" w:ascii="Times New Roman" w:hAnsi="Times New Roman"/>
                <w:color w:val="auto"/>
                <w:sz w:val="24"/>
                <w:szCs w:val="24"/>
                <w:highlight w:val="none"/>
                <w:lang w:val="en-US" w:eastAsia="zh-CN"/>
              </w:rPr>
              <w:t>集气罩和</w:t>
            </w:r>
            <w:r>
              <w:rPr>
                <w:rFonts w:hint="eastAsia" w:ascii="Times New Roman" w:hAnsi="Times New Roman"/>
                <w:color w:val="auto"/>
                <w:sz w:val="24"/>
                <w:szCs w:val="24"/>
                <w:highlight w:val="none"/>
              </w:rPr>
              <w:t>密闭管道收集经</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两级活性炭吸附</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装置处理后通过15m高</w:t>
            </w:r>
            <w:r>
              <w:rPr>
                <w:rFonts w:hint="eastAsia" w:ascii="Times New Roman" w:hAnsi="Times New Roman"/>
                <w:color w:val="auto"/>
                <w:sz w:val="24"/>
                <w:szCs w:val="24"/>
                <w:highlight w:val="none"/>
                <w:lang w:val="en-US" w:eastAsia="zh-CN"/>
              </w:rPr>
              <w:t>DA001排气筒</w:t>
            </w:r>
            <w:r>
              <w:rPr>
                <w:rFonts w:hint="eastAsia" w:ascii="Times New Roman" w:hAnsi="Times New Roman"/>
                <w:color w:val="auto"/>
                <w:sz w:val="24"/>
                <w:szCs w:val="24"/>
                <w:highlight w:val="none"/>
              </w:rPr>
              <w:t>排放（风量</w:t>
            </w:r>
            <w:r>
              <w:rPr>
                <w:rFonts w:hint="eastAsia" w:ascii="Times New Roman" w:hAnsi="Times New Roman"/>
                <w:color w:val="auto"/>
                <w:sz w:val="24"/>
                <w:szCs w:val="24"/>
                <w:highlight w:val="none"/>
                <w:lang w:val="en-US" w:eastAsia="zh-CN"/>
              </w:rPr>
              <w:t>20</w:t>
            </w:r>
            <w:r>
              <w:rPr>
                <w:rFonts w:hint="eastAsia" w:ascii="Times New Roman" w:hAnsi="Times New Roman"/>
                <w:color w:val="auto"/>
                <w:sz w:val="24"/>
                <w:szCs w:val="24"/>
                <w:highlight w:val="none"/>
              </w:rPr>
              <w:t>000m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/h）</w:t>
            </w:r>
          </w:p>
        </w:tc>
        <w:tc>
          <w:tcPr>
            <w:tcW w:w="2225" w:type="dxa"/>
            <w:vMerge w:val="restart"/>
            <w:noWrap w:val="0"/>
            <w:vAlign w:val="center"/>
          </w:tcPr>
          <w:p w14:paraId="04FEBE7B">
            <w:pPr>
              <w:snapToGrid w:val="0"/>
              <w:spacing w:line="276" w:lineRule="auto"/>
              <w:jc w:val="center"/>
              <w:rPr>
                <w:rFonts w:ascii="Times New Roman" w:hAnsi="Times New Roman"/>
                <w:color w:val="auto"/>
                <w:sz w:val="24"/>
                <w:szCs w:val="24"/>
                <w:highlight w:val="none"/>
              </w:rPr>
            </w:pPr>
            <w:r>
              <w:rPr>
                <w:rFonts w:hint="eastAsia" w:ascii="Times New Roman" w:hAnsi="Times New Roman"/>
                <w:snapToGrid w:val="0"/>
                <w:color w:val="auto"/>
                <w:spacing w:val="1"/>
                <w:kern w:val="0"/>
                <w:sz w:val="24"/>
                <w:szCs w:val="24"/>
                <w:highlight w:val="none"/>
              </w:rPr>
              <w:t>《玻璃工业大气污染物排放标准》</w:t>
            </w:r>
            <w:r>
              <w:rPr>
                <w:rFonts w:hint="eastAsia" w:ascii="Times New Roman" w:hAnsi="Times New Roman"/>
                <w:snapToGrid w:val="0"/>
                <w:color w:val="auto"/>
                <w:spacing w:val="1"/>
                <w:kern w:val="0"/>
                <w:sz w:val="24"/>
                <w:szCs w:val="24"/>
                <w:highlight w:val="none"/>
                <w:lang w:eastAsia="zh-CN"/>
              </w:rPr>
              <w:t>（</w:t>
            </w:r>
            <w:r>
              <w:rPr>
                <w:rFonts w:hint="eastAsia" w:ascii="Times New Roman" w:hAnsi="Times New Roman"/>
                <w:snapToGrid w:val="0"/>
                <w:color w:val="auto"/>
                <w:spacing w:val="1"/>
                <w:kern w:val="0"/>
                <w:sz w:val="24"/>
                <w:szCs w:val="24"/>
                <w:highlight w:val="none"/>
              </w:rPr>
              <w:t>GB</w:t>
            </w:r>
            <w:r>
              <w:rPr>
                <w:rFonts w:hint="eastAsia" w:ascii="Times New Roman" w:hAnsi="Times New Roman"/>
                <w:snapToGrid w:val="0"/>
                <w:color w:val="auto"/>
                <w:spacing w:val="1"/>
                <w:kern w:val="0"/>
                <w:sz w:val="24"/>
                <w:szCs w:val="24"/>
                <w:highlight w:val="none"/>
                <w:lang w:val="en-US" w:eastAsia="zh-CN"/>
              </w:rPr>
              <w:t xml:space="preserve"> </w:t>
            </w:r>
            <w:r>
              <w:rPr>
                <w:rFonts w:hint="eastAsia" w:ascii="Times New Roman" w:hAnsi="Times New Roman"/>
                <w:snapToGrid w:val="0"/>
                <w:color w:val="auto"/>
                <w:spacing w:val="1"/>
                <w:kern w:val="0"/>
                <w:sz w:val="24"/>
                <w:szCs w:val="24"/>
                <w:highlight w:val="none"/>
              </w:rPr>
              <w:t>26453-2022</w:t>
            </w:r>
            <w:r>
              <w:rPr>
                <w:rFonts w:hint="eastAsia" w:ascii="Times New Roman" w:hAnsi="Times New Roman"/>
                <w:snapToGrid w:val="0"/>
                <w:color w:val="auto"/>
                <w:spacing w:val="1"/>
                <w:kern w:val="0"/>
                <w:sz w:val="24"/>
                <w:szCs w:val="24"/>
                <w:highlight w:val="none"/>
                <w:lang w:eastAsia="zh-CN"/>
              </w:rPr>
              <w:t>）</w:t>
            </w:r>
          </w:p>
        </w:tc>
      </w:tr>
      <w:tr w14:paraId="4710E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noWrap w:val="0"/>
            <w:vAlign w:val="center"/>
          </w:tcPr>
          <w:p w14:paraId="09D9CCDF">
            <w:pPr>
              <w:snapToGrid w:val="0"/>
              <w:spacing w:line="276" w:lineRule="auto"/>
              <w:jc w:val="center"/>
              <w:rPr>
                <w:rFonts w:ascii="Times New Roman" w:hAnsi="宋体"/>
                <w:color w:val="auto"/>
                <w:sz w:val="24"/>
                <w:szCs w:val="24"/>
                <w:highlight w:val="none"/>
              </w:rPr>
            </w:pPr>
          </w:p>
        </w:tc>
        <w:tc>
          <w:tcPr>
            <w:tcW w:w="1564" w:type="dxa"/>
            <w:noWrap w:val="0"/>
            <w:vAlign w:val="center"/>
          </w:tcPr>
          <w:p w14:paraId="4CA3FC21">
            <w:pPr>
              <w:snapToGrid w:val="0"/>
              <w:spacing w:line="276" w:lineRule="auto"/>
              <w:jc w:val="center"/>
              <w:rPr>
                <w:rFonts w:hint="eastAsia" w:ascii="Times New Roman" w:hAnsi="宋体"/>
                <w:color w:val="auto"/>
                <w:sz w:val="24"/>
                <w:szCs w:val="24"/>
                <w:highlight w:val="none"/>
                <w:lang w:val="en-US" w:eastAsia="zh-CN"/>
              </w:rPr>
            </w:pPr>
            <w:r>
              <w:rPr>
                <w:rFonts w:ascii="Times New Roman" w:hAnsi="宋体"/>
                <w:color w:val="auto"/>
                <w:sz w:val="24"/>
                <w:szCs w:val="24"/>
                <w:highlight w:val="none"/>
              </w:rPr>
              <w:t>厂区无组织</w:t>
            </w:r>
          </w:p>
        </w:tc>
        <w:tc>
          <w:tcPr>
            <w:tcW w:w="1300" w:type="dxa"/>
            <w:noWrap w:val="0"/>
            <w:vAlign w:val="center"/>
          </w:tcPr>
          <w:p w14:paraId="61D9F720">
            <w:pPr>
              <w:snapToGrid w:val="0"/>
              <w:spacing w:line="276" w:lineRule="auto"/>
              <w:jc w:val="center"/>
              <w:rPr>
                <w:rFonts w:hint="eastAsia" w:ascii="Times New Roman" w:hAnsi="宋体"/>
                <w:color w:val="auto"/>
                <w:sz w:val="24"/>
                <w:szCs w:val="24"/>
                <w:highlight w:val="none"/>
              </w:rPr>
            </w:pPr>
            <w:r>
              <w:rPr>
                <w:rFonts w:hint="eastAsia" w:ascii="Times New Roman" w:hAnsi="宋体"/>
                <w:color w:val="auto"/>
                <w:sz w:val="24"/>
                <w:szCs w:val="24"/>
                <w:highlight w:val="none"/>
              </w:rPr>
              <w:t>非甲烷总烃</w:t>
            </w:r>
          </w:p>
        </w:tc>
        <w:tc>
          <w:tcPr>
            <w:tcW w:w="2755" w:type="dxa"/>
            <w:noWrap w:val="0"/>
            <w:vAlign w:val="center"/>
          </w:tcPr>
          <w:p w14:paraId="01BB71AB">
            <w:pPr>
              <w:snapToGrid w:val="0"/>
              <w:spacing w:line="276" w:lineRule="auto"/>
              <w:jc w:val="center"/>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加强车间通风</w:t>
            </w:r>
          </w:p>
        </w:tc>
        <w:tc>
          <w:tcPr>
            <w:tcW w:w="2225" w:type="dxa"/>
            <w:vMerge w:val="continue"/>
            <w:noWrap w:val="0"/>
            <w:vAlign w:val="center"/>
          </w:tcPr>
          <w:p w14:paraId="5037E5ED">
            <w:pPr>
              <w:snapToGrid w:val="0"/>
              <w:spacing w:line="276" w:lineRule="auto"/>
              <w:jc w:val="center"/>
              <w:rPr>
                <w:rFonts w:hint="eastAsia" w:ascii="Times New Roman" w:hAnsi="Times New Roman"/>
                <w:snapToGrid w:val="0"/>
                <w:color w:val="auto"/>
                <w:spacing w:val="1"/>
                <w:kern w:val="0"/>
                <w:sz w:val="24"/>
                <w:szCs w:val="24"/>
                <w:highlight w:val="none"/>
              </w:rPr>
            </w:pPr>
          </w:p>
        </w:tc>
      </w:tr>
      <w:tr w14:paraId="3773C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noWrap w:val="0"/>
            <w:vAlign w:val="center"/>
          </w:tcPr>
          <w:p w14:paraId="2C371F55">
            <w:pPr>
              <w:snapToGrid w:val="0"/>
              <w:spacing w:line="276" w:lineRule="auto"/>
              <w:ind w:firstLine="480"/>
              <w:jc w:val="center"/>
              <w:rPr>
                <w:rFonts w:ascii="Times New Roman" w:hAnsi="宋体"/>
                <w:color w:val="auto"/>
                <w:sz w:val="24"/>
                <w:szCs w:val="24"/>
                <w:highlight w:val="none"/>
              </w:rPr>
            </w:pPr>
          </w:p>
        </w:tc>
        <w:tc>
          <w:tcPr>
            <w:tcW w:w="1564" w:type="dxa"/>
            <w:noWrap w:val="0"/>
            <w:vAlign w:val="center"/>
          </w:tcPr>
          <w:p w14:paraId="132E46CB">
            <w:pPr>
              <w:snapToGrid w:val="0"/>
              <w:spacing w:line="276" w:lineRule="auto"/>
              <w:jc w:val="center"/>
              <w:rPr>
                <w:rFonts w:ascii="Times New Roman" w:hAnsi="宋体"/>
                <w:color w:val="auto"/>
                <w:sz w:val="24"/>
                <w:szCs w:val="24"/>
                <w:highlight w:val="none"/>
              </w:rPr>
            </w:pPr>
            <w:r>
              <w:rPr>
                <w:rFonts w:ascii="Times New Roman" w:hAnsi="宋体"/>
                <w:color w:val="auto"/>
                <w:sz w:val="24"/>
                <w:szCs w:val="24"/>
                <w:highlight w:val="none"/>
              </w:rPr>
              <w:t>厂</w:t>
            </w:r>
            <w:r>
              <w:rPr>
                <w:rFonts w:hint="eastAsia" w:ascii="Times New Roman" w:hAnsi="宋体"/>
                <w:color w:val="auto"/>
                <w:sz w:val="24"/>
                <w:szCs w:val="24"/>
                <w:highlight w:val="none"/>
                <w:lang w:val="en-US" w:eastAsia="zh-CN"/>
              </w:rPr>
              <w:t>界</w:t>
            </w:r>
            <w:r>
              <w:rPr>
                <w:rFonts w:ascii="Times New Roman" w:hAnsi="宋体"/>
                <w:color w:val="auto"/>
                <w:sz w:val="24"/>
                <w:szCs w:val="24"/>
                <w:highlight w:val="none"/>
              </w:rPr>
              <w:t>无组织</w:t>
            </w:r>
          </w:p>
        </w:tc>
        <w:tc>
          <w:tcPr>
            <w:tcW w:w="1300" w:type="dxa"/>
            <w:noWrap w:val="0"/>
            <w:vAlign w:val="center"/>
          </w:tcPr>
          <w:p w14:paraId="70A326A4">
            <w:pPr>
              <w:snapToGrid w:val="0"/>
              <w:spacing w:line="276" w:lineRule="auto"/>
              <w:jc w:val="center"/>
              <w:rPr>
                <w:rFonts w:ascii="Times New Roman" w:hAnsi="宋体"/>
                <w:color w:val="auto"/>
                <w:sz w:val="24"/>
                <w:szCs w:val="24"/>
                <w:highlight w:val="none"/>
              </w:rPr>
            </w:pPr>
            <w:r>
              <w:rPr>
                <w:rFonts w:hint="eastAsia" w:ascii="Times New Roman" w:hAnsi="宋体"/>
                <w:color w:val="auto"/>
                <w:sz w:val="24"/>
                <w:szCs w:val="24"/>
                <w:highlight w:val="none"/>
              </w:rPr>
              <w:t>非甲烷总烃</w:t>
            </w:r>
          </w:p>
        </w:tc>
        <w:tc>
          <w:tcPr>
            <w:tcW w:w="2755" w:type="dxa"/>
            <w:noWrap w:val="0"/>
            <w:vAlign w:val="center"/>
          </w:tcPr>
          <w:p w14:paraId="65BFE846">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加强车间通风</w:t>
            </w:r>
          </w:p>
        </w:tc>
        <w:tc>
          <w:tcPr>
            <w:tcW w:w="2225" w:type="dxa"/>
            <w:noWrap w:val="0"/>
            <w:vAlign w:val="center"/>
          </w:tcPr>
          <w:p w14:paraId="03EFBCE8">
            <w:pPr>
              <w:snapToGrid w:val="0"/>
              <w:spacing w:line="276" w:lineRule="auto"/>
              <w:jc w:val="center"/>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《大气污染物</w:t>
            </w:r>
            <w:r>
              <w:rPr>
                <w:rFonts w:hint="eastAsia" w:ascii="Times New Roman" w:hAnsi="Times New Roman"/>
                <w:color w:val="auto"/>
                <w:sz w:val="24"/>
                <w:szCs w:val="24"/>
                <w:highlight w:val="none"/>
                <w:lang w:val="en-US" w:eastAsia="zh-CN"/>
              </w:rPr>
              <w:t>综合</w:t>
            </w:r>
            <w:r>
              <w:rPr>
                <w:rFonts w:hint="eastAsia" w:ascii="Times New Roman" w:hAnsi="Times New Roman"/>
                <w:color w:val="auto"/>
                <w:sz w:val="24"/>
                <w:szCs w:val="24"/>
                <w:highlight w:val="none"/>
              </w:rPr>
              <w:t>排放标准》</w:t>
            </w:r>
          </w:p>
          <w:p w14:paraId="6A48157D">
            <w:pPr>
              <w:snapToGrid w:val="0"/>
              <w:spacing w:line="276"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lang w:eastAsia="zh-CN"/>
              </w:rPr>
              <w:t>(GB 16297-1996</w:t>
            </w:r>
            <w:r>
              <w:rPr>
                <w:rFonts w:hint="eastAsia" w:ascii="Times New Roman" w:hAnsi="Times New Roman"/>
                <w:color w:val="auto"/>
                <w:sz w:val="24"/>
                <w:szCs w:val="24"/>
                <w:highlight w:val="none"/>
              </w:rPr>
              <w:t>)</w:t>
            </w:r>
          </w:p>
        </w:tc>
      </w:tr>
      <w:tr w14:paraId="5AA34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restart"/>
            <w:noWrap w:val="0"/>
            <w:vAlign w:val="center"/>
          </w:tcPr>
          <w:p w14:paraId="2CAA9A82">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地表水环境</w:t>
            </w:r>
          </w:p>
        </w:tc>
        <w:tc>
          <w:tcPr>
            <w:tcW w:w="1564" w:type="dxa"/>
            <w:noWrap w:val="0"/>
            <w:vAlign w:val="center"/>
          </w:tcPr>
          <w:p w14:paraId="6003BB55">
            <w:pPr>
              <w:snapToGrid w:val="0"/>
              <w:spacing w:line="276" w:lineRule="auto"/>
              <w:jc w:val="center"/>
              <w:rPr>
                <w:rFonts w:hint="default" w:ascii="Times New Roman" w:hAnsi="Times New Roman"/>
                <w:b w:val="0"/>
                <w:bCs w:val="0"/>
                <w:color w:val="auto"/>
                <w:kern w:val="2"/>
                <w:sz w:val="24"/>
                <w:szCs w:val="24"/>
                <w:highlight w:val="none"/>
                <w:lang w:val="en-US" w:eastAsia="zh-CN" w:bidi="ar-SA"/>
              </w:rPr>
            </w:pPr>
            <w:r>
              <w:rPr>
                <w:rFonts w:hint="eastAsia" w:ascii="Times New Roman" w:hAnsi="Times New Roman"/>
                <w:b w:val="0"/>
                <w:bCs w:val="0"/>
                <w:color w:val="auto"/>
                <w:sz w:val="24"/>
                <w:szCs w:val="24"/>
                <w:highlight w:val="none"/>
                <w:lang w:val="en-US" w:eastAsia="zh-CN"/>
              </w:rPr>
              <w:t>清洗废水</w:t>
            </w:r>
          </w:p>
        </w:tc>
        <w:tc>
          <w:tcPr>
            <w:tcW w:w="1300" w:type="dxa"/>
            <w:noWrap w:val="0"/>
            <w:vAlign w:val="center"/>
          </w:tcPr>
          <w:p w14:paraId="3143C5A9">
            <w:pPr>
              <w:snapToGrid w:val="0"/>
              <w:spacing w:line="276" w:lineRule="auto"/>
              <w:jc w:val="center"/>
              <w:rPr>
                <w:rFonts w:hint="eastAsia" w:ascii="Times New Roman" w:hAnsi="Times New Roman" w:eastAsia="宋体"/>
                <w:b w:val="0"/>
                <w:bCs w:val="0"/>
                <w:color w:val="auto"/>
                <w:kern w:val="2"/>
                <w:sz w:val="24"/>
                <w:szCs w:val="24"/>
                <w:highlight w:val="none"/>
                <w:lang w:val="en-US" w:eastAsia="zh-CN" w:bidi="ar-SA"/>
              </w:rPr>
            </w:pPr>
            <w:r>
              <w:rPr>
                <w:rFonts w:hint="eastAsia" w:ascii="Times New Roman" w:hAnsi="Times New Roman"/>
                <w:b w:val="0"/>
                <w:bCs w:val="0"/>
                <w:color w:val="auto"/>
                <w:sz w:val="24"/>
                <w:szCs w:val="24"/>
                <w:highlight w:val="none"/>
                <w:lang w:val="en-US" w:eastAsia="zh-CN"/>
              </w:rPr>
              <w:t>COD、SS</w:t>
            </w:r>
          </w:p>
        </w:tc>
        <w:tc>
          <w:tcPr>
            <w:tcW w:w="2755" w:type="dxa"/>
            <w:tcBorders>
              <w:bottom w:val="single" w:color="000000" w:sz="4" w:space="0"/>
            </w:tcBorders>
            <w:noWrap w:val="0"/>
            <w:vAlign w:val="center"/>
          </w:tcPr>
          <w:p w14:paraId="7B256F19">
            <w:pPr>
              <w:snapToGrid w:val="0"/>
              <w:spacing w:line="276" w:lineRule="auto"/>
              <w:jc w:val="center"/>
              <w:rPr>
                <w:rFonts w:hint="eastAsia" w:ascii="Times New Roman" w:hAnsi="Times New Roman"/>
                <w:b w:val="0"/>
                <w:bCs w:val="0"/>
                <w:color w:val="auto"/>
                <w:kern w:val="2"/>
                <w:sz w:val="24"/>
                <w:szCs w:val="24"/>
                <w:highlight w:val="none"/>
                <w:lang w:val="en-US" w:eastAsia="zh-CN" w:bidi="ar-SA"/>
              </w:rPr>
            </w:pPr>
            <w:r>
              <w:rPr>
                <w:rFonts w:hint="eastAsia" w:ascii="Times New Roman" w:hAnsi="Times New Roman"/>
                <w:b w:val="0"/>
                <w:bCs w:val="0"/>
                <w:color w:val="auto"/>
                <w:sz w:val="24"/>
                <w:szCs w:val="24"/>
                <w:highlight w:val="none"/>
                <w:lang w:val="en-US" w:eastAsia="zh-CN"/>
              </w:rPr>
              <w:t>经一套“反渗透+RO”工艺废水处理设施处理后回用于清洗工艺</w:t>
            </w:r>
          </w:p>
        </w:tc>
        <w:tc>
          <w:tcPr>
            <w:tcW w:w="2225" w:type="dxa"/>
            <w:vMerge w:val="restart"/>
            <w:noWrap w:val="0"/>
            <w:vAlign w:val="center"/>
          </w:tcPr>
          <w:p w14:paraId="42073643">
            <w:pPr>
              <w:snapToGrid w:val="0"/>
              <w:spacing w:line="276" w:lineRule="auto"/>
              <w:jc w:val="center"/>
              <w:rPr>
                <w:rFonts w:hint="eastAsia" w:ascii="Times New Roman" w:hAnsi="宋体" w:eastAsia="宋体"/>
                <w:color w:val="auto"/>
                <w:sz w:val="24"/>
                <w:szCs w:val="24"/>
                <w:highlight w:val="none"/>
                <w:lang w:val="en-US" w:eastAsia="zh-CN"/>
              </w:rPr>
            </w:pPr>
            <w:r>
              <w:rPr>
                <w:rFonts w:hint="eastAsia" w:ascii="Times New Roman" w:hAnsi="宋体" w:eastAsia="宋体"/>
                <w:color w:val="auto"/>
                <w:sz w:val="24"/>
                <w:szCs w:val="24"/>
                <w:highlight w:val="none"/>
                <w:lang w:val="en-US" w:eastAsia="zh-CN"/>
              </w:rPr>
              <w:t>《城市污水再生利用-工业用水水质》（GB/T 19923-2024）</w:t>
            </w:r>
          </w:p>
        </w:tc>
      </w:tr>
      <w:tr w14:paraId="704FE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noWrap w:val="0"/>
            <w:vAlign w:val="center"/>
          </w:tcPr>
          <w:p w14:paraId="704B55AA">
            <w:pPr>
              <w:snapToGrid w:val="0"/>
              <w:spacing w:line="276" w:lineRule="auto"/>
              <w:jc w:val="center"/>
              <w:rPr>
                <w:rFonts w:ascii="Times New Roman" w:hAnsi="宋体"/>
                <w:color w:val="auto"/>
                <w:sz w:val="24"/>
                <w:szCs w:val="24"/>
                <w:highlight w:val="none"/>
              </w:rPr>
            </w:pPr>
          </w:p>
        </w:tc>
        <w:tc>
          <w:tcPr>
            <w:tcW w:w="1564" w:type="dxa"/>
            <w:noWrap w:val="0"/>
            <w:vAlign w:val="center"/>
          </w:tcPr>
          <w:p w14:paraId="5456704F">
            <w:pPr>
              <w:snapToGrid w:val="0"/>
              <w:spacing w:line="276" w:lineRule="auto"/>
              <w:jc w:val="center"/>
              <w:rPr>
                <w:rFonts w:hint="default" w:ascii="Times New Roman" w:hAnsi="Times New Roman" w:eastAsia="宋体"/>
                <w:b w:val="0"/>
                <w:bCs w:val="0"/>
                <w:color w:val="auto"/>
                <w:kern w:val="2"/>
                <w:sz w:val="24"/>
                <w:szCs w:val="24"/>
                <w:highlight w:val="none"/>
                <w:lang w:val="en-US" w:eastAsia="zh-CN" w:bidi="ar-SA"/>
              </w:rPr>
            </w:pPr>
            <w:r>
              <w:rPr>
                <w:rFonts w:hint="eastAsia" w:ascii="Times New Roman" w:hAnsi="Times New Roman"/>
                <w:b w:val="0"/>
                <w:bCs w:val="0"/>
                <w:color w:val="auto"/>
                <w:sz w:val="24"/>
                <w:szCs w:val="24"/>
                <w:highlight w:val="none"/>
                <w:lang w:val="en-US" w:eastAsia="zh-CN"/>
              </w:rPr>
              <w:t>磨边废水</w:t>
            </w:r>
          </w:p>
        </w:tc>
        <w:tc>
          <w:tcPr>
            <w:tcW w:w="1300" w:type="dxa"/>
            <w:noWrap w:val="0"/>
            <w:vAlign w:val="center"/>
          </w:tcPr>
          <w:p w14:paraId="5EC67A81">
            <w:pPr>
              <w:snapToGrid w:val="0"/>
              <w:spacing w:line="276" w:lineRule="auto"/>
              <w:jc w:val="center"/>
              <w:rPr>
                <w:rFonts w:hint="eastAsia" w:ascii="Times New Roman" w:hAnsi="Times New Roman" w:eastAsia="宋体"/>
                <w:b w:val="0"/>
                <w:bCs w:val="0"/>
                <w:color w:val="auto"/>
                <w:kern w:val="2"/>
                <w:sz w:val="24"/>
                <w:szCs w:val="24"/>
                <w:highlight w:val="none"/>
                <w:lang w:val="en-US" w:eastAsia="zh-CN" w:bidi="ar-SA"/>
              </w:rPr>
            </w:pPr>
            <w:r>
              <w:rPr>
                <w:rFonts w:hint="eastAsia" w:ascii="Times New Roman" w:hAnsi="Times New Roman"/>
                <w:b w:val="0"/>
                <w:bCs w:val="0"/>
                <w:color w:val="auto"/>
                <w:sz w:val="24"/>
                <w:szCs w:val="24"/>
                <w:highlight w:val="none"/>
                <w:lang w:val="en-US" w:eastAsia="zh-CN"/>
              </w:rPr>
              <w:t>COD、SS</w:t>
            </w:r>
          </w:p>
        </w:tc>
        <w:tc>
          <w:tcPr>
            <w:tcW w:w="2755" w:type="dxa"/>
            <w:tcBorders>
              <w:bottom w:val="single" w:color="000000" w:sz="4" w:space="0"/>
            </w:tcBorders>
            <w:noWrap w:val="0"/>
            <w:vAlign w:val="center"/>
          </w:tcPr>
          <w:p w14:paraId="21A59BC6">
            <w:pPr>
              <w:snapToGrid w:val="0"/>
              <w:spacing w:line="276" w:lineRule="auto"/>
              <w:jc w:val="center"/>
              <w:rPr>
                <w:rFonts w:hint="eastAsia" w:ascii="Times New Roman" w:hAnsi="Times New Roman" w:eastAsia="宋体"/>
                <w:b w:val="0"/>
                <w:bCs w:val="0"/>
                <w:color w:val="auto"/>
                <w:kern w:val="2"/>
                <w:sz w:val="24"/>
                <w:szCs w:val="24"/>
                <w:highlight w:val="none"/>
                <w:lang w:val="en-US" w:eastAsia="zh-CN" w:bidi="ar-SA"/>
              </w:rPr>
            </w:pPr>
            <w:r>
              <w:rPr>
                <w:rFonts w:hint="eastAsia" w:ascii="Times New Roman" w:hAnsi="Times New Roman"/>
                <w:b w:val="0"/>
                <w:bCs w:val="0"/>
                <w:color w:val="auto"/>
                <w:sz w:val="24"/>
                <w:szCs w:val="24"/>
                <w:highlight w:val="none"/>
                <w:lang w:val="en-US" w:eastAsia="zh-CN"/>
              </w:rPr>
              <w:t>经一套“物化混凝沉淀”废水处理设施处理后回用于磨边工艺</w:t>
            </w:r>
          </w:p>
        </w:tc>
        <w:tc>
          <w:tcPr>
            <w:tcW w:w="2225" w:type="dxa"/>
            <w:vMerge w:val="continue"/>
            <w:noWrap w:val="0"/>
            <w:vAlign w:val="center"/>
          </w:tcPr>
          <w:p w14:paraId="2618BAC5">
            <w:pPr>
              <w:snapToGrid w:val="0"/>
              <w:spacing w:line="276" w:lineRule="auto"/>
              <w:jc w:val="center"/>
              <w:rPr>
                <w:rFonts w:hint="eastAsia" w:ascii="Times New Roman" w:hAnsi="宋体" w:eastAsia="宋体"/>
                <w:color w:val="auto"/>
                <w:sz w:val="24"/>
                <w:szCs w:val="24"/>
                <w:highlight w:val="none"/>
                <w:lang w:val="en-US" w:eastAsia="zh-CN"/>
              </w:rPr>
            </w:pPr>
          </w:p>
        </w:tc>
      </w:tr>
      <w:tr w14:paraId="6F763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noWrap w:val="0"/>
            <w:vAlign w:val="center"/>
          </w:tcPr>
          <w:p w14:paraId="17FAD743">
            <w:pPr>
              <w:snapToGrid w:val="0"/>
              <w:spacing w:line="276" w:lineRule="auto"/>
              <w:ind w:firstLine="480"/>
              <w:jc w:val="center"/>
              <w:rPr>
                <w:rFonts w:ascii="Times New Roman" w:hAnsi="宋体"/>
                <w:color w:val="auto"/>
                <w:sz w:val="24"/>
                <w:szCs w:val="24"/>
                <w:highlight w:val="none"/>
              </w:rPr>
            </w:pPr>
          </w:p>
        </w:tc>
        <w:tc>
          <w:tcPr>
            <w:tcW w:w="1564" w:type="dxa"/>
            <w:noWrap w:val="0"/>
            <w:vAlign w:val="center"/>
          </w:tcPr>
          <w:p w14:paraId="4507CC12">
            <w:pPr>
              <w:snapToGrid w:val="0"/>
              <w:spacing w:line="276" w:lineRule="auto"/>
              <w:jc w:val="center"/>
              <w:rPr>
                <w:rFonts w:hint="default" w:ascii="Times New Roman" w:hAnsi="Times New Roman"/>
                <w:color w:val="auto"/>
                <w:kern w:val="2"/>
                <w:sz w:val="24"/>
                <w:szCs w:val="24"/>
                <w:highlight w:val="none"/>
                <w:lang w:val="en-US" w:eastAsia="zh-CN" w:bidi="ar-SA"/>
              </w:rPr>
            </w:pPr>
            <w:r>
              <w:rPr>
                <w:rFonts w:ascii="Times New Roman" w:hAnsi="宋体"/>
                <w:color w:val="auto"/>
                <w:sz w:val="24"/>
                <w:szCs w:val="24"/>
                <w:highlight w:val="none"/>
              </w:rPr>
              <w:t>生活污水</w:t>
            </w:r>
          </w:p>
        </w:tc>
        <w:tc>
          <w:tcPr>
            <w:tcW w:w="1300" w:type="dxa"/>
            <w:noWrap w:val="0"/>
            <w:vAlign w:val="center"/>
          </w:tcPr>
          <w:p w14:paraId="1CDD1A95">
            <w:pPr>
              <w:snapToGrid w:val="0"/>
              <w:spacing w:line="276" w:lineRule="auto"/>
              <w:jc w:val="center"/>
              <w:rPr>
                <w:rFonts w:hint="eastAsia" w:ascii="Times New Roman" w:hAnsi="Times New Roman"/>
                <w:color w:val="auto"/>
                <w:kern w:val="2"/>
                <w:sz w:val="24"/>
                <w:szCs w:val="24"/>
                <w:highlight w:val="none"/>
                <w:lang w:val="en-US" w:eastAsia="zh-CN" w:bidi="ar-SA"/>
              </w:rPr>
            </w:pPr>
            <w:r>
              <w:rPr>
                <w:rFonts w:ascii="Times New Roman" w:hAnsi="Times New Roman"/>
                <w:color w:val="auto"/>
                <w:sz w:val="24"/>
                <w:szCs w:val="24"/>
                <w:highlight w:val="none"/>
              </w:rPr>
              <w:t>COD</w:t>
            </w:r>
            <w:r>
              <w:rPr>
                <w:rFonts w:ascii="Times New Roman" w:hAnsi="Times New Roman"/>
                <w:color w:val="auto"/>
                <w:sz w:val="24"/>
                <w:szCs w:val="24"/>
                <w:highlight w:val="none"/>
                <w:vertAlign w:val="subscript"/>
              </w:rPr>
              <w:t>Cr</w:t>
            </w:r>
            <w:r>
              <w:rPr>
                <w:rFonts w:ascii="Times New Roman" w:hAnsi="宋体"/>
                <w:color w:val="auto"/>
                <w:sz w:val="24"/>
                <w:szCs w:val="24"/>
                <w:highlight w:val="none"/>
              </w:rPr>
              <w:t>、</w:t>
            </w:r>
            <w:r>
              <w:rPr>
                <w:rFonts w:ascii="Times New Roman" w:hAnsi="Times New Roman"/>
                <w:color w:val="auto"/>
                <w:sz w:val="24"/>
                <w:szCs w:val="24"/>
                <w:highlight w:val="none"/>
              </w:rPr>
              <w:t>BOD</w:t>
            </w:r>
            <w:r>
              <w:rPr>
                <w:rFonts w:ascii="Times New Roman" w:hAnsi="Times New Roman"/>
                <w:color w:val="auto"/>
                <w:sz w:val="24"/>
                <w:szCs w:val="24"/>
                <w:highlight w:val="none"/>
                <w:vertAlign w:val="subscript"/>
              </w:rPr>
              <w:t>5</w:t>
            </w:r>
            <w:r>
              <w:rPr>
                <w:rFonts w:ascii="Times New Roman" w:hAnsi="宋体"/>
                <w:color w:val="auto"/>
                <w:sz w:val="24"/>
                <w:szCs w:val="24"/>
                <w:highlight w:val="none"/>
              </w:rPr>
              <w:t>、</w:t>
            </w:r>
            <w:r>
              <w:rPr>
                <w:rFonts w:ascii="Times New Roman" w:hAnsi="Times New Roman"/>
                <w:color w:val="auto"/>
                <w:sz w:val="24"/>
                <w:szCs w:val="24"/>
                <w:highlight w:val="none"/>
              </w:rPr>
              <w:t>SS</w:t>
            </w:r>
            <w:r>
              <w:rPr>
                <w:rFonts w:ascii="Times New Roman" w:hAnsi="宋体"/>
                <w:color w:val="auto"/>
                <w:sz w:val="24"/>
                <w:szCs w:val="24"/>
                <w:highlight w:val="none"/>
              </w:rPr>
              <w:t>、</w:t>
            </w:r>
            <w:r>
              <w:rPr>
                <w:rFonts w:ascii="Times New Roman" w:hAnsi="Times New Roman"/>
                <w:color w:val="auto"/>
                <w:sz w:val="24"/>
                <w:szCs w:val="24"/>
                <w:highlight w:val="none"/>
              </w:rPr>
              <w:t>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w:t>
            </w:r>
          </w:p>
        </w:tc>
        <w:tc>
          <w:tcPr>
            <w:tcW w:w="2755" w:type="dxa"/>
            <w:vMerge w:val="restart"/>
            <w:tcBorders>
              <w:top w:val="single" w:color="000000" w:sz="4" w:space="0"/>
            </w:tcBorders>
            <w:noWrap w:val="0"/>
            <w:vAlign w:val="center"/>
          </w:tcPr>
          <w:p w14:paraId="0FC6ECAA">
            <w:pPr>
              <w:snapToGrid w:val="0"/>
              <w:spacing w:line="276" w:lineRule="auto"/>
              <w:jc w:val="center"/>
              <w:rPr>
                <w:rFonts w:hint="eastAsia" w:ascii="Times New Roman" w:hAnsi="Times New Roman"/>
                <w:color w:val="auto"/>
                <w:kern w:val="2"/>
                <w:sz w:val="24"/>
                <w:szCs w:val="24"/>
                <w:highlight w:val="none"/>
                <w:lang w:val="en-US" w:eastAsia="zh-CN" w:bidi="ar-SA"/>
              </w:rPr>
            </w:pPr>
            <w:r>
              <w:rPr>
                <w:rFonts w:ascii="Times New Roman" w:hAnsi="Times New Roman"/>
                <w:color w:val="auto"/>
                <w:sz w:val="24"/>
                <w:szCs w:val="24"/>
                <w:highlight w:val="none"/>
              </w:rPr>
              <w:t>生活污水</w:t>
            </w:r>
            <w:r>
              <w:rPr>
                <w:rFonts w:hint="default" w:ascii="Times New Roman" w:hAnsi="Times New Roman" w:eastAsia="宋体" w:cs="Times New Roman"/>
                <w:color w:val="auto"/>
                <w:sz w:val="24"/>
                <w:highlight w:val="none"/>
              </w:rPr>
              <w:t>经园区化粪池处理后</w:t>
            </w:r>
            <w:r>
              <w:rPr>
                <w:rFonts w:hint="eastAsia" w:ascii="Times New Roman" w:hAnsi="Times New Roman" w:eastAsia="宋体" w:cs="Times New Roman"/>
                <w:color w:val="auto"/>
                <w:sz w:val="24"/>
                <w:highlight w:val="none"/>
                <w:lang w:val="en-US" w:eastAsia="zh-CN"/>
              </w:rPr>
              <w:t>与纯水制备浓水和超浓水一并</w:t>
            </w:r>
            <w:r>
              <w:rPr>
                <w:rFonts w:hint="default" w:ascii="Times New Roman" w:hAnsi="Times New Roman" w:eastAsia="宋体" w:cs="Times New Roman"/>
                <w:color w:val="auto"/>
                <w:sz w:val="24"/>
                <w:highlight w:val="none"/>
              </w:rPr>
              <w:t>进入</w:t>
            </w:r>
            <w:r>
              <w:rPr>
                <w:rFonts w:hint="eastAsia" w:ascii="Times New Roman" w:hAnsi="Times New Roman" w:eastAsia="宋体" w:cs="Times New Roman"/>
                <w:color w:val="auto"/>
                <w:sz w:val="24"/>
                <w:highlight w:val="none"/>
                <w:lang w:eastAsia="zh-CN"/>
              </w:rPr>
              <w:t>凤台经济开发区污水处理厂</w:t>
            </w:r>
            <w:r>
              <w:rPr>
                <w:rFonts w:hint="default" w:ascii="Times New Roman" w:hAnsi="Times New Roman" w:eastAsia="宋体" w:cs="Times New Roman"/>
                <w:color w:val="auto"/>
                <w:sz w:val="24"/>
                <w:highlight w:val="none"/>
                <w:lang w:val="en-US" w:eastAsia="zh-CN"/>
              </w:rPr>
              <w:t>处理</w:t>
            </w:r>
          </w:p>
        </w:tc>
        <w:tc>
          <w:tcPr>
            <w:tcW w:w="2225" w:type="dxa"/>
            <w:vMerge w:val="restart"/>
            <w:noWrap w:val="0"/>
            <w:vAlign w:val="center"/>
          </w:tcPr>
          <w:p w14:paraId="76C2A9C4">
            <w:pPr>
              <w:snapToGrid w:val="0"/>
              <w:spacing w:line="276" w:lineRule="auto"/>
              <w:jc w:val="center"/>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GB8978-1996</w:t>
            </w:r>
            <w:r>
              <w:rPr>
                <w:rFonts w:hint="eastAsia" w:ascii="Times New Roman" w:hAnsi="Times New Roman" w:cs="Times New Roman"/>
                <w:color w:val="auto"/>
                <w:sz w:val="24"/>
                <w:highlight w:val="none"/>
                <w:lang w:eastAsia="zh-CN"/>
              </w:rPr>
              <w:t>、</w:t>
            </w:r>
          </w:p>
          <w:p w14:paraId="13F6C9F0">
            <w:pPr>
              <w:snapToGrid w:val="0"/>
              <w:spacing w:line="276" w:lineRule="auto"/>
              <w:jc w:val="center"/>
              <w:rPr>
                <w:rFonts w:hint="eastAsia" w:ascii="Times New Roman" w:hAnsi="宋体" w:eastAsia="宋体"/>
                <w:color w:val="auto"/>
                <w:sz w:val="24"/>
                <w:szCs w:val="24"/>
                <w:highlight w:val="none"/>
                <w:lang w:val="en-US" w:eastAsia="zh-CN"/>
              </w:rPr>
            </w:pPr>
            <w:r>
              <w:rPr>
                <w:rFonts w:hint="default" w:ascii="Times New Roman" w:hAnsi="Times New Roman" w:cs="Times New Roman"/>
                <w:color w:val="auto"/>
                <w:sz w:val="24"/>
                <w:highlight w:val="none"/>
              </w:rPr>
              <w:t>GB/T 31962-2015</w:t>
            </w:r>
          </w:p>
        </w:tc>
      </w:tr>
      <w:tr w14:paraId="7DF3B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noWrap w:val="0"/>
            <w:vAlign w:val="center"/>
          </w:tcPr>
          <w:p w14:paraId="4D16DF0A">
            <w:pPr>
              <w:snapToGrid w:val="0"/>
              <w:spacing w:line="276" w:lineRule="auto"/>
              <w:ind w:firstLine="480"/>
              <w:jc w:val="center"/>
              <w:rPr>
                <w:rFonts w:ascii="Times New Roman" w:hAnsi="宋体"/>
                <w:color w:val="auto"/>
                <w:sz w:val="24"/>
                <w:szCs w:val="24"/>
                <w:highlight w:val="none"/>
              </w:rPr>
            </w:pPr>
          </w:p>
        </w:tc>
        <w:tc>
          <w:tcPr>
            <w:tcW w:w="1564" w:type="dxa"/>
            <w:noWrap w:val="0"/>
            <w:vAlign w:val="center"/>
          </w:tcPr>
          <w:p w14:paraId="722B744B">
            <w:pPr>
              <w:snapToGrid w:val="0"/>
              <w:spacing w:line="276" w:lineRule="auto"/>
              <w:jc w:val="center"/>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纯水制备浓水</w:t>
            </w:r>
          </w:p>
        </w:tc>
        <w:tc>
          <w:tcPr>
            <w:tcW w:w="1300" w:type="dxa"/>
            <w:noWrap w:val="0"/>
            <w:vAlign w:val="center"/>
          </w:tcPr>
          <w:p w14:paraId="61B7A0EF">
            <w:pPr>
              <w:snapToGrid w:val="0"/>
              <w:spacing w:line="276" w:lineRule="auto"/>
              <w:jc w:val="center"/>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COD、SS</w:t>
            </w:r>
          </w:p>
        </w:tc>
        <w:tc>
          <w:tcPr>
            <w:tcW w:w="2755" w:type="dxa"/>
            <w:vMerge w:val="continue"/>
            <w:noWrap w:val="0"/>
            <w:vAlign w:val="center"/>
          </w:tcPr>
          <w:p w14:paraId="7A854268">
            <w:pPr>
              <w:snapToGrid w:val="0"/>
              <w:spacing w:line="276" w:lineRule="auto"/>
              <w:jc w:val="center"/>
              <w:rPr>
                <w:rFonts w:hint="eastAsia" w:ascii="Times New Roman" w:hAnsi="Times New Roman"/>
                <w:color w:val="auto"/>
                <w:sz w:val="24"/>
                <w:szCs w:val="24"/>
                <w:highlight w:val="none"/>
                <w:lang w:val="en-US" w:eastAsia="zh-CN"/>
              </w:rPr>
            </w:pPr>
          </w:p>
        </w:tc>
        <w:tc>
          <w:tcPr>
            <w:tcW w:w="2225" w:type="dxa"/>
            <w:vMerge w:val="continue"/>
            <w:noWrap w:val="0"/>
            <w:vAlign w:val="center"/>
          </w:tcPr>
          <w:p w14:paraId="14F285C0">
            <w:pPr>
              <w:snapToGrid w:val="0"/>
              <w:spacing w:line="276" w:lineRule="auto"/>
              <w:jc w:val="center"/>
              <w:rPr>
                <w:rFonts w:hint="eastAsia" w:ascii="Times New Roman" w:hAnsi="宋体" w:eastAsia="宋体"/>
                <w:color w:val="auto"/>
                <w:sz w:val="24"/>
                <w:szCs w:val="24"/>
                <w:highlight w:val="none"/>
                <w:lang w:val="en-US" w:eastAsia="zh-CN"/>
              </w:rPr>
            </w:pPr>
          </w:p>
        </w:tc>
      </w:tr>
      <w:tr w14:paraId="7FE7A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noWrap w:val="0"/>
            <w:vAlign w:val="center"/>
          </w:tcPr>
          <w:p w14:paraId="6274F944">
            <w:pPr>
              <w:snapToGrid w:val="0"/>
              <w:spacing w:line="276" w:lineRule="auto"/>
              <w:ind w:firstLine="480"/>
              <w:jc w:val="center"/>
              <w:rPr>
                <w:rFonts w:ascii="Times New Roman" w:hAnsi="宋体"/>
                <w:color w:val="auto"/>
                <w:sz w:val="24"/>
                <w:szCs w:val="24"/>
                <w:highlight w:val="none"/>
              </w:rPr>
            </w:pPr>
          </w:p>
        </w:tc>
        <w:tc>
          <w:tcPr>
            <w:tcW w:w="1564" w:type="dxa"/>
            <w:noWrap w:val="0"/>
            <w:vAlign w:val="center"/>
          </w:tcPr>
          <w:p w14:paraId="0E7FACA9">
            <w:pPr>
              <w:snapToGrid w:val="0"/>
              <w:spacing w:line="276" w:lineRule="auto"/>
              <w:jc w:val="center"/>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超浓水</w:t>
            </w:r>
          </w:p>
        </w:tc>
        <w:tc>
          <w:tcPr>
            <w:tcW w:w="1300" w:type="dxa"/>
            <w:noWrap w:val="0"/>
            <w:vAlign w:val="center"/>
          </w:tcPr>
          <w:p w14:paraId="711F823E">
            <w:pPr>
              <w:snapToGrid w:val="0"/>
              <w:spacing w:line="276" w:lineRule="auto"/>
              <w:jc w:val="center"/>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COD、SS</w:t>
            </w:r>
          </w:p>
        </w:tc>
        <w:tc>
          <w:tcPr>
            <w:tcW w:w="2755" w:type="dxa"/>
            <w:vMerge w:val="continue"/>
            <w:tcBorders>
              <w:bottom w:val="single" w:color="000000" w:sz="4" w:space="0"/>
            </w:tcBorders>
            <w:noWrap w:val="0"/>
            <w:vAlign w:val="center"/>
          </w:tcPr>
          <w:p w14:paraId="6FA7B320">
            <w:pPr>
              <w:snapToGrid w:val="0"/>
              <w:spacing w:line="276" w:lineRule="auto"/>
              <w:jc w:val="center"/>
              <w:rPr>
                <w:rFonts w:hint="eastAsia" w:ascii="Times New Roman" w:hAnsi="Times New Roman"/>
                <w:color w:val="auto"/>
                <w:sz w:val="24"/>
                <w:szCs w:val="24"/>
                <w:highlight w:val="none"/>
                <w:lang w:val="en-US" w:eastAsia="zh-CN"/>
              </w:rPr>
            </w:pPr>
          </w:p>
        </w:tc>
        <w:tc>
          <w:tcPr>
            <w:tcW w:w="2225" w:type="dxa"/>
            <w:vMerge w:val="continue"/>
            <w:noWrap w:val="0"/>
            <w:vAlign w:val="center"/>
          </w:tcPr>
          <w:p w14:paraId="68E2C5E3">
            <w:pPr>
              <w:snapToGrid w:val="0"/>
              <w:spacing w:line="276" w:lineRule="auto"/>
              <w:jc w:val="center"/>
              <w:rPr>
                <w:rFonts w:hint="eastAsia" w:ascii="Times New Roman" w:hAnsi="宋体" w:eastAsia="宋体"/>
                <w:color w:val="auto"/>
                <w:sz w:val="24"/>
                <w:szCs w:val="24"/>
                <w:highlight w:val="none"/>
                <w:lang w:val="en-US" w:eastAsia="zh-CN"/>
              </w:rPr>
            </w:pPr>
          </w:p>
        </w:tc>
      </w:tr>
      <w:tr w14:paraId="5B57B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noWrap w:val="0"/>
            <w:vAlign w:val="center"/>
          </w:tcPr>
          <w:p w14:paraId="36D49689">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声环境</w:t>
            </w:r>
          </w:p>
        </w:tc>
        <w:tc>
          <w:tcPr>
            <w:tcW w:w="1564" w:type="dxa"/>
            <w:noWrap w:val="0"/>
            <w:vAlign w:val="center"/>
          </w:tcPr>
          <w:p w14:paraId="7B66BBB0">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设备噪声</w:t>
            </w:r>
          </w:p>
        </w:tc>
        <w:tc>
          <w:tcPr>
            <w:tcW w:w="1300" w:type="dxa"/>
            <w:noWrap w:val="0"/>
            <w:vAlign w:val="center"/>
          </w:tcPr>
          <w:p w14:paraId="1F78A25E">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噪声</w:t>
            </w:r>
          </w:p>
        </w:tc>
        <w:tc>
          <w:tcPr>
            <w:tcW w:w="2755" w:type="dxa"/>
            <w:tcBorders>
              <w:top w:val="single" w:color="000000" w:sz="4" w:space="0"/>
            </w:tcBorders>
            <w:noWrap w:val="0"/>
            <w:vAlign w:val="center"/>
          </w:tcPr>
          <w:p w14:paraId="5DF153B3">
            <w:pPr>
              <w:snapToGrid w:val="0"/>
              <w:spacing w:line="276" w:lineRule="auto"/>
              <w:jc w:val="center"/>
              <w:rPr>
                <w:rFonts w:ascii="Times New Roman" w:hAnsi="Times New Roman"/>
                <w:color w:val="auto"/>
                <w:sz w:val="24"/>
                <w:szCs w:val="24"/>
                <w:highlight w:val="none"/>
              </w:rPr>
            </w:pPr>
            <w:r>
              <w:rPr>
                <w:rFonts w:ascii="Times New Roman" w:hAnsi="宋体"/>
                <w:color w:val="auto"/>
                <w:kern w:val="0"/>
                <w:sz w:val="24"/>
                <w:szCs w:val="24"/>
                <w:highlight w:val="none"/>
              </w:rPr>
              <w:t>减振、消声</w:t>
            </w:r>
          </w:p>
        </w:tc>
        <w:tc>
          <w:tcPr>
            <w:tcW w:w="2225" w:type="dxa"/>
            <w:noWrap w:val="0"/>
            <w:vAlign w:val="center"/>
          </w:tcPr>
          <w:p w14:paraId="2DAA1CC4">
            <w:pPr>
              <w:snapToGrid w:val="0"/>
              <w:spacing w:line="276" w:lineRule="auto"/>
              <w:ind w:right="-105" w:rightChars="-50"/>
              <w:jc w:val="center"/>
              <w:rPr>
                <w:rFonts w:ascii="Times New Roman" w:hAnsi="Times New Roman"/>
                <w:color w:val="auto"/>
                <w:sz w:val="24"/>
                <w:szCs w:val="24"/>
                <w:highlight w:val="none"/>
              </w:rPr>
            </w:pPr>
            <w:r>
              <w:rPr>
                <w:rFonts w:ascii="Times New Roman" w:hAnsi="Times New Roman"/>
                <w:bCs/>
                <w:color w:val="auto"/>
                <w:kern w:val="0"/>
                <w:sz w:val="24"/>
                <w:szCs w:val="24"/>
                <w:highlight w:val="none"/>
              </w:rPr>
              <w:t>《工业企业厂界环境噪声排放标准》（GB12348-2008）</w:t>
            </w:r>
          </w:p>
        </w:tc>
      </w:tr>
      <w:tr w14:paraId="750D5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noWrap w:val="0"/>
            <w:vAlign w:val="center"/>
          </w:tcPr>
          <w:p w14:paraId="4B607CBB">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固体废物</w:t>
            </w:r>
          </w:p>
        </w:tc>
        <w:tc>
          <w:tcPr>
            <w:tcW w:w="7844" w:type="dxa"/>
            <w:gridSpan w:val="4"/>
            <w:noWrap w:val="0"/>
            <w:vAlign w:val="top"/>
          </w:tcPr>
          <w:p w14:paraId="2A0EC3B4">
            <w:pPr>
              <w:snapToGrid w:val="0"/>
              <w:spacing w:line="276" w:lineRule="auto"/>
              <w:rPr>
                <w:rFonts w:ascii="Times New Roman" w:hAnsi="Times New Roman"/>
                <w:snapToGrid w:val="0"/>
                <w:color w:val="auto"/>
                <w:kern w:val="0"/>
                <w:sz w:val="24"/>
                <w:szCs w:val="24"/>
                <w:highlight w:val="none"/>
              </w:rPr>
            </w:pPr>
            <w:r>
              <w:rPr>
                <w:rFonts w:ascii="Times New Roman" w:hAnsi="宋体"/>
                <w:color w:val="auto"/>
                <w:sz w:val="24"/>
                <w:szCs w:val="24"/>
                <w:highlight w:val="none"/>
              </w:rPr>
              <w:t>建设一座</w:t>
            </w:r>
            <w:r>
              <w:rPr>
                <w:rFonts w:hint="eastAsia" w:ascii="Times New Roman" w:hAnsi="宋体"/>
                <w:color w:val="auto"/>
                <w:sz w:val="24"/>
                <w:szCs w:val="24"/>
                <w:highlight w:val="none"/>
                <w:lang w:val="en-US" w:eastAsia="zh-CN"/>
              </w:rPr>
              <w:t>40</w:t>
            </w:r>
            <w:r>
              <w:rPr>
                <w:rFonts w:ascii="Times New Roman" w:hAnsi="宋体"/>
                <w:color w:val="auto"/>
                <w:sz w:val="24"/>
                <w:szCs w:val="24"/>
                <w:highlight w:val="none"/>
              </w:rPr>
              <w:t>m</w:t>
            </w:r>
            <w:r>
              <w:rPr>
                <w:rFonts w:ascii="Times New Roman" w:hAnsi="宋体"/>
                <w:color w:val="auto"/>
                <w:sz w:val="24"/>
                <w:szCs w:val="24"/>
                <w:highlight w:val="none"/>
                <w:vertAlign w:val="superscript"/>
              </w:rPr>
              <w:t>2</w:t>
            </w:r>
            <w:r>
              <w:rPr>
                <w:rFonts w:hint="eastAsia" w:ascii="Times New Roman" w:hAnsi="宋体"/>
                <w:color w:val="auto"/>
                <w:sz w:val="24"/>
                <w:szCs w:val="24"/>
                <w:highlight w:val="none"/>
                <w:lang w:eastAsia="zh-CN"/>
              </w:rPr>
              <w:t>危废库</w:t>
            </w:r>
            <w:r>
              <w:rPr>
                <w:rFonts w:ascii="Times New Roman" w:hAnsi="宋体"/>
                <w:color w:val="auto"/>
                <w:sz w:val="24"/>
                <w:szCs w:val="24"/>
                <w:highlight w:val="none"/>
              </w:rPr>
              <w:t>，</w:t>
            </w:r>
            <w:r>
              <w:rPr>
                <w:rFonts w:hint="eastAsia" w:ascii="Times New Roman" w:hAnsi="Times New Roman"/>
                <w:bCs/>
                <w:color w:val="auto"/>
                <w:sz w:val="24"/>
                <w:szCs w:val="24"/>
                <w:highlight w:val="none"/>
                <w:lang w:val="en-US" w:eastAsia="zh-CN"/>
              </w:rPr>
              <w:t>废高反射膜材料桶、废含高反射膜材料抹布、废印版、</w:t>
            </w:r>
            <w:r>
              <w:rPr>
                <w:rFonts w:ascii="Times New Roman" w:hAnsi="Times New Roman"/>
                <w:color w:val="auto"/>
                <w:sz w:val="24"/>
                <w:highlight w:val="none"/>
              </w:rPr>
              <w:t>废</w:t>
            </w:r>
            <w:r>
              <w:rPr>
                <w:rFonts w:hint="eastAsia" w:ascii="Times New Roman" w:hAnsi="Times New Roman"/>
                <w:color w:val="auto"/>
                <w:sz w:val="24"/>
                <w:highlight w:val="none"/>
                <w:lang w:eastAsia="zh-CN"/>
              </w:rPr>
              <w:t>润滑油</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废</w:t>
            </w:r>
            <w:r>
              <w:rPr>
                <w:rFonts w:hint="eastAsia" w:ascii="Times New Roman" w:hAnsi="Times New Roman"/>
                <w:color w:val="auto"/>
                <w:sz w:val="24"/>
                <w:highlight w:val="none"/>
                <w:lang w:eastAsia="zh-CN"/>
              </w:rPr>
              <w:t>润滑油</w:t>
            </w:r>
            <w:r>
              <w:rPr>
                <w:rFonts w:hint="eastAsia" w:ascii="Times New Roman" w:hAnsi="Times New Roman"/>
                <w:color w:val="auto"/>
                <w:sz w:val="24"/>
                <w:highlight w:val="none"/>
              </w:rPr>
              <w:t>桶、废活性炭</w:t>
            </w:r>
            <w:r>
              <w:rPr>
                <w:rFonts w:ascii="Times New Roman" w:hAnsi="宋体"/>
                <w:color w:val="auto"/>
                <w:sz w:val="24"/>
                <w:szCs w:val="24"/>
                <w:highlight w:val="none"/>
              </w:rPr>
              <w:t>暂存于</w:t>
            </w:r>
            <w:r>
              <w:rPr>
                <w:rFonts w:hint="eastAsia" w:ascii="Times New Roman" w:hAnsi="宋体"/>
                <w:color w:val="auto"/>
                <w:sz w:val="24"/>
                <w:szCs w:val="24"/>
                <w:highlight w:val="none"/>
                <w:lang w:eastAsia="zh-CN"/>
              </w:rPr>
              <w:t>危废库</w:t>
            </w:r>
            <w:r>
              <w:rPr>
                <w:rFonts w:ascii="Times New Roman" w:hAnsi="宋体"/>
                <w:color w:val="auto"/>
                <w:sz w:val="24"/>
                <w:szCs w:val="24"/>
                <w:highlight w:val="none"/>
              </w:rPr>
              <w:t>，定期委托有资质的单位处置；建设一座</w:t>
            </w:r>
            <w:r>
              <w:rPr>
                <w:rFonts w:hint="eastAsia" w:ascii="Times New Roman" w:hAnsi="Times New Roman"/>
                <w:color w:val="auto"/>
                <w:sz w:val="24"/>
                <w:szCs w:val="24"/>
                <w:highlight w:val="none"/>
              </w:rPr>
              <w:t>30</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2</w:t>
            </w:r>
            <w:r>
              <w:rPr>
                <w:rFonts w:ascii="Times New Roman" w:hAnsi="宋体"/>
                <w:color w:val="auto"/>
                <w:sz w:val="24"/>
                <w:szCs w:val="24"/>
                <w:highlight w:val="none"/>
              </w:rPr>
              <w:t>一般固废暂存间，</w:t>
            </w:r>
            <w:r>
              <w:rPr>
                <w:rFonts w:hint="eastAsia" w:ascii="Times New Roman" w:hAnsi="宋体"/>
                <w:color w:val="auto"/>
                <w:sz w:val="24"/>
                <w:szCs w:val="24"/>
                <w:highlight w:val="none"/>
              </w:rPr>
              <w:t>不合格品</w:t>
            </w:r>
            <w:r>
              <w:rPr>
                <w:rFonts w:hint="eastAsia" w:ascii="Times New Roman" w:hAnsi="宋体"/>
                <w:color w:val="auto"/>
                <w:sz w:val="24"/>
                <w:szCs w:val="24"/>
                <w:highlight w:val="none"/>
                <w:lang w:eastAsia="zh-CN"/>
              </w:rPr>
              <w:t>、</w:t>
            </w:r>
            <w:r>
              <w:rPr>
                <w:rFonts w:hint="eastAsia" w:ascii="Times New Roman" w:hAnsi="Times New Roman"/>
                <w:bCs/>
                <w:color w:val="auto"/>
                <w:sz w:val="24"/>
                <w:szCs w:val="24"/>
                <w:highlight w:val="none"/>
                <w:lang w:val="en-US" w:eastAsia="zh-CN"/>
              </w:rPr>
              <w:t>污泥</w:t>
            </w:r>
            <w:r>
              <w:rPr>
                <w:rFonts w:hint="eastAsia" w:ascii="Times New Roman" w:hAnsi="Times New Roman"/>
                <w:bCs/>
                <w:color w:val="auto"/>
                <w:sz w:val="24"/>
                <w:szCs w:val="24"/>
                <w:highlight w:val="none"/>
              </w:rPr>
              <w:t>、</w:t>
            </w:r>
            <w:r>
              <w:rPr>
                <w:rFonts w:hint="eastAsia" w:ascii="Times New Roman" w:hAnsi="宋体"/>
                <w:color w:val="auto"/>
                <w:sz w:val="24"/>
                <w:szCs w:val="24"/>
                <w:highlight w:val="none"/>
                <w:lang w:val="en-US" w:eastAsia="zh-CN"/>
              </w:rPr>
              <w:t>废玻璃屑、废包装材料和废耗材</w:t>
            </w:r>
            <w:r>
              <w:rPr>
                <w:rFonts w:ascii="Times New Roman" w:hAnsi="宋体"/>
                <w:color w:val="auto"/>
                <w:sz w:val="24"/>
                <w:szCs w:val="24"/>
                <w:highlight w:val="none"/>
              </w:rPr>
              <w:t>统一收集在一般固废暂存间，定期外售；</w:t>
            </w:r>
            <w:r>
              <w:rPr>
                <w:rFonts w:hint="eastAsia" w:ascii="Times New Roman" w:hAnsi="宋体"/>
                <w:color w:val="auto"/>
                <w:sz w:val="24"/>
                <w:szCs w:val="24"/>
                <w:highlight w:val="none"/>
              </w:rPr>
              <w:t>生活垃圾集中收集后由当地环卫部门统一清运；</w:t>
            </w:r>
            <w:r>
              <w:rPr>
                <w:rFonts w:ascii="Times New Roman" w:hAnsi="宋体"/>
                <w:color w:val="auto"/>
                <w:sz w:val="24"/>
                <w:szCs w:val="24"/>
                <w:highlight w:val="none"/>
              </w:rPr>
              <w:t>危险废物</w:t>
            </w:r>
            <w:r>
              <w:rPr>
                <w:rFonts w:hint="eastAsia" w:ascii="Times New Roman" w:hAnsi="宋体"/>
                <w:color w:val="auto"/>
                <w:sz w:val="24"/>
                <w:szCs w:val="24"/>
                <w:highlight w:val="none"/>
                <w:lang w:val="en-US" w:eastAsia="zh-CN"/>
              </w:rPr>
              <w:t>贮存</w:t>
            </w:r>
            <w:r>
              <w:rPr>
                <w:rFonts w:ascii="Times New Roman" w:hAnsi="宋体"/>
                <w:color w:val="auto"/>
                <w:sz w:val="24"/>
                <w:szCs w:val="24"/>
                <w:highlight w:val="none"/>
              </w:rPr>
              <w:t>执行《危险废物贮存污染控制标准》（</w:t>
            </w:r>
            <w:r>
              <w:rPr>
                <w:rFonts w:ascii="Times New Roman" w:hAnsi="Times New Roman"/>
                <w:color w:val="auto"/>
                <w:sz w:val="24"/>
                <w:szCs w:val="24"/>
                <w:highlight w:val="none"/>
              </w:rPr>
              <w:t>GB18597-20</w:t>
            </w:r>
            <w:r>
              <w:rPr>
                <w:rFonts w:hint="eastAsia" w:ascii="Times New Roman" w:hAnsi="Times New Roman"/>
                <w:color w:val="auto"/>
                <w:sz w:val="24"/>
                <w:szCs w:val="24"/>
                <w:highlight w:val="none"/>
              </w:rPr>
              <w:t>23</w:t>
            </w:r>
            <w:r>
              <w:rPr>
                <w:rFonts w:ascii="Times New Roman" w:hAnsi="宋体"/>
                <w:color w:val="auto"/>
                <w:sz w:val="24"/>
                <w:szCs w:val="24"/>
                <w:highlight w:val="none"/>
              </w:rPr>
              <w:t>），</w:t>
            </w:r>
            <w:r>
              <w:rPr>
                <w:rFonts w:ascii="Times New Roman" w:hAnsi="宋体"/>
                <w:snapToGrid w:val="0"/>
                <w:color w:val="auto"/>
                <w:kern w:val="0"/>
                <w:sz w:val="24"/>
                <w:szCs w:val="24"/>
                <w:highlight w:val="none"/>
              </w:rPr>
              <w:t>一般工业固体废物贮存、处置执行《一般工业固体废物贮存和填埋污染控制标准》（</w:t>
            </w:r>
            <w:r>
              <w:rPr>
                <w:rFonts w:ascii="Times New Roman" w:hAnsi="Times New Roman"/>
                <w:snapToGrid w:val="0"/>
                <w:color w:val="auto"/>
                <w:kern w:val="0"/>
                <w:sz w:val="24"/>
                <w:szCs w:val="24"/>
                <w:highlight w:val="none"/>
              </w:rPr>
              <w:t>GB18599-2020</w:t>
            </w:r>
            <w:r>
              <w:rPr>
                <w:rFonts w:ascii="Times New Roman" w:hAnsi="宋体"/>
                <w:snapToGrid w:val="0"/>
                <w:color w:val="auto"/>
                <w:kern w:val="0"/>
                <w:sz w:val="24"/>
                <w:szCs w:val="24"/>
                <w:highlight w:val="none"/>
              </w:rPr>
              <w:t>）中有关规定</w:t>
            </w:r>
            <w:r>
              <w:rPr>
                <w:rFonts w:hint="eastAsia" w:ascii="Times New Roman" w:hAnsi="宋体"/>
                <w:snapToGrid w:val="0"/>
                <w:color w:val="auto"/>
                <w:kern w:val="0"/>
                <w:sz w:val="24"/>
                <w:szCs w:val="24"/>
                <w:highlight w:val="none"/>
              </w:rPr>
              <w:t>。</w:t>
            </w:r>
          </w:p>
        </w:tc>
      </w:tr>
      <w:tr w14:paraId="3D37E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noWrap w:val="0"/>
            <w:vAlign w:val="center"/>
          </w:tcPr>
          <w:p w14:paraId="4A6B741D">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土壤及地下水污染防治措施</w:t>
            </w:r>
          </w:p>
        </w:tc>
        <w:tc>
          <w:tcPr>
            <w:tcW w:w="7844" w:type="dxa"/>
            <w:gridSpan w:val="4"/>
            <w:noWrap w:val="0"/>
            <w:vAlign w:val="top"/>
          </w:tcPr>
          <w:p w14:paraId="6151C16E">
            <w:pPr>
              <w:snapToGrid w:val="0"/>
              <w:spacing w:line="276" w:lineRule="auto"/>
              <w:rPr>
                <w:rFonts w:ascii="Times New Roman" w:hAnsi="宋体"/>
                <w:color w:val="auto"/>
                <w:sz w:val="24"/>
                <w:szCs w:val="24"/>
                <w:highlight w:val="none"/>
              </w:rPr>
            </w:pPr>
            <w:r>
              <w:rPr>
                <w:rFonts w:hint="eastAsia" w:ascii="Times New Roman" w:hAnsi="宋体"/>
                <w:color w:val="auto"/>
                <w:sz w:val="24"/>
                <w:szCs w:val="24"/>
                <w:highlight w:val="none"/>
              </w:rPr>
              <w:t>重点防渗区：</w:t>
            </w:r>
            <w:r>
              <w:rPr>
                <w:rFonts w:ascii="Times New Roman" w:hAnsi="宋体"/>
                <w:color w:val="auto"/>
                <w:sz w:val="24"/>
                <w:szCs w:val="24"/>
                <w:highlight w:val="none"/>
              </w:rPr>
              <w:t>主要为</w:t>
            </w:r>
            <w:r>
              <w:rPr>
                <w:rFonts w:hint="eastAsia" w:ascii="Times New Roman" w:hAnsi="宋体"/>
                <w:color w:val="auto"/>
                <w:sz w:val="24"/>
                <w:szCs w:val="24"/>
                <w:highlight w:val="none"/>
                <w:lang w:eastAsia="zh-CN"/>
              </w:rPr>
              <w:t>危废库</w:t>
            </w:r>
            <w:r>
              <w:rPr>
                <w:rFonts w:hint="eastAsia" w:ascii="Times New Roman" w:hAnsi="宋体"/>
                <w:color w:val="auto"/>
                <w:sz w:val="24"/>
                <w:szCs w:val="24"/>
                <w:highlight w:val="none"/>
                <w:lang w:val="en-US" w:eastAsia="zh-CN"/>
              </w:rPr>
              <w:t>、化学品库和废水处理设施</w:t>
            </w:r>
            <w:r>
              <w:rPr>
                <w:rFonts w:ascii="Times New Roman" w:hAnsi="宋体"/>
                <w:color w:val="auto"/>
                <w:sz w:val="24"/>
                <w:szCs w:val="24"/>
                <w:highlight w:val="none"/>
              </w:rPr>
              <w:t>。重点防渗区的防渗技术要求：等效黏土防渗层</w:t>
            </w:r>
            <w:r>
              <w:rPr>
                <w:rFonts w:ascii="Times New Roman" w:hAnsi="Times New Roman"/>
                <w:color w:val="auto"/>
                <w:sz w:val="24"/>
                <w:szCs w:val="24"/>
                <w:highlight w:val="none"/>
              </w:rPr>
              <w:t>Mb≥6.0m</w:t>
            </w:r>
            <w:r>
              <w:rPr>
                <w:rFonts w:ascii="Times New Roman" w:hAnsi="宋体"/>
                <w:color w:val="auto"/>
                <w:sz w:val="24"/>
                <w:szCs w:val="24"/>
                <w:highlight w:val="none"/>
              </w:rPr>
              <w:t>，</w:t>
            </w:r>
            <w:r>
              <w:rPr>
                <w:rFonts w:ascii="Times New Roman" w:hAnsi="Times New Roman"/>
                <w:color w:val="auto"/>
                <w:sz w:val="24"/>
                <w:szCs w:val="24"/>
                <w:highlight w:val="none"/>
              </w:rPr>
              <w:t>K≤10</w:t>
            </w:r>
            <w:r>
              <w:rPr>
                <w:rFonts w:ascii="Times New Roman" w:hAnsi="Times New Roman"/>
                <w:color w:val="auto"/>
                <w:sz w:val="24"/>
                <w:szCs w:val="24"/>
                <w:highlight w:val="none"/>
                <w:vertAlign w:val="superscript"/>
              </w:rPr>
              <w:t>-7</w:t>
            </w:r>
            <w:r>
              <w:rPr>
                <w:rFonts w:ascii="Times New Roman" w:hAnsi="Times New Roman"/>
                <w:color w:val="auto"/>
                <w:sz w:val="24"/>
                <w:szCs w:val="24"/>
                <w:highlight w:val="none"/>
              </w:rPr>
              <w:t>cm/s</w:t>
            </w:r>
            <w:r>
              <w:rPr>
                <w:rFonts w:ascii="Times New Roman" w:hAnsi="宋体"/>
                <w:color w:val="auto"/>
                <w:sz w:val="24"/>
                <w:szCs w:val="24"/>
                <w:highlight w:val="none"/>
              </w:rPr>
              <w:t>。其中</w:t>
            </w:r>
            <w:r>
              <w:rPr>
                <w:rFonts w:hint="eastAsia" w:ascii="Times New Roman" w:hAnsi="宋体"/>
                <w:color w:val="auto"/>
                <w:sz w:val="24"/>
                <w:szCs w:val="24"/>
                <w:highlight w:val="none"/>
                <w:lang w:eastAsia="zh-CN"/>
              </w:rPr>
              <w:t>危废库</w:t>
            </w:r>
            <w:r>
              <w:rPr>
                <w:rFonts w:ascii="Times New Roman" w:hAnsi="宋体"/>
                <w:color w:val="auto"/>
                <w:sz w:val="24"/>
                <w:szCs w:val="24"/>
                <w:highlight w:val="none"/>
              </w:rPr>
              <w:t>还需要满足《危险废物贮存污染控制标准》（</w:t>
            </w:r>
            <w:r>
              <w:rPr>
                <w:rFonts w:ascii="Times New Roman" w:hAnsi="Times New Roman"/>
                <w:color w:val="auto"/>
                <w:sz w:val="24"/>
                <w:szCs w:val="24"/>
                <w:highlight w:val="none"/>
              </w:rPr>
              <w:t>GB18597-20</w:t>
            </w:r>
            <w:r>
              <w:rPr>
                <w:rFonts w:hint="eastAsia" w:ascii="Times New Roman" w:hAnsi="Times New Roman"/>
                <w:color w:val="auto"/>
                <w:sz w:val="24"/>
                <w:szCs w:val="24"/>
                <w:highlight w:val="none"/>
              </w:rPr>
              <w:t>23</w:t>
            </w:r>
            <w:r>
              <w:rPr>
                <w:rFonts w:ascii="Times New Roman" w:hAnsi="宋体"/>
                <w:color w:val="auto"/>
                <w:sz w:val="24"/>
                <w:szCs w:val="24"/>
                <w:highlight w:val="none"/>
              </w:rPr>
              <w:t>）及标准修改单（公告</w:t>
            </w:r>
            <w:r>
              <w:rPr>
                <w:rFonts w:ascii="Times New Roman" w:hAnsi="Times New Roman"/>
                <w:color w:val="auto"/>
                <w:sz w:val="24"/>
                <w:szCs w:val="24"/>
                <w:highlight w:val="none"/>
              </w:rPr>
              <w:t>2013</w:t>
            </w:r>
            <w:r>
              <w:rPr>
                <w:rFonts w:ascii="Times New Roman" w:hAnsi="宋体"/>
                <w:color w:val="auto"/>
                <w:sz w:val="24"/>
                <w:szCs w:val="24"/>
                <w:highlight w:val="none"/>
              </w:rPr>
              <w:t>年第</w:t>
            </w:r>
            <w:r>
              <w:rPr>
                <w:rFonts w:ascii="Times New Roman" w:hAnsi="Times New Roman"/>
                <w:color w:val="auto"/>
                <w:sz w:val="24"/>
                <w:szCs w:val="24"/>
                <w:highlight w:val="none"/>
              </w:rPr>
              <w:t>36</w:t>
            </w:r>
            <w:r>
              <w:rPr>
                <w:rFonts w:ascii="Times New Roman" w:hAnsi="宋体"/>
                <w:color w:val="auto"/>
                <w:sz w:val="24"/>
                <w:szCs w:val="24"/>
                <w:highlight w:val="none"/>
              </w:rPr>
              <w:t>号）中防渗要求：基础必须防渗，防渗层为至少</w:t>
            </w:r>
            <w:r>
              <w:rPr>
                <w:rFonts w:ascii="Times New Roman" w:hAnsi="Times New Roman"/>
                <w:color w:val="auto"/>
                <w:sz w:val="24"/>
                <w:szCs w:val="24"/>
                <w:highlight w:val="none"/>
              </w:rPr>
              <w:t>1m</w:t>
            </w:r>
            <w:r>
              <w:rPr>
                <w:rFonts w:ascii="Times New Roman" w:hAnsi="宋体"/>
                <w:color w:val="auto"/>
                <w:sz w:val="24"/>
                <w:szCs w:val="24"/>
                <w:highlight w:val="none"/>
              </w:rPr>
              <w:t>厚粘土层（渗透系数</w:t>
            </w:r>
            <w:r>
              <w:rPr>
                <w:rFonts w:ascii="Times New Roman" w:hAnsi="Times New Roman"/>
                <w:color w:val="auto"/>
                <w:sz w:val="24"/>
                <w:szCs w:val="24"/>
                <w:highlight w:val="none"/>
              </w:rPr>
              <w:t>K≤10</w:t>
            </w:r>
            <w:r>
              <w:rPr>
                <w:rFonts w:ascii="Times New Roman" w:hAnsi="Times New Roman"/>
                <w:color w:val="auto"/>
                <w:sz w:val="24"/>
                <w:szCs w:val="24"/>
                <w:highlight w:val="none"/>
                <w:vertAlign w:val="superscript"/>
              </w:rPr>
              <w:t>-7</w:t>
            </w:r>
            <w:r>
              <w:rPr>
                <w:rFonts w:ascii="Times New Roman" w:hAnsi="Times New Roman"/>
                <w:color w:val="auto"/>
                <w:sz w:val="24"/>
                <w:szCs w:val="24"/>
                <w:highlight w:val="none"/>
              </w:rPr>
              <w:t>cm/s</w:t>
            </w:r>
            <w:r>
              <w:rPr>
                <w:rFonts w:ascii="Times New Roman" w:hAnsi="宋体"/>
                <w:color w:val="auto"/>
                <w:sz w:val="24"/>
                <w:szCs w:val="24"/>
                <w:highlight w:val="none"/>
              </w:rPr>
              <w:t>），或</w:t>
            </w:r>
            <w:r>
              <w:rPr>
                <w:rFonts w:ascii="Times New Roman" w:hAnsi="Times New Roman"/>
                <w:color w:val="auto"/>
                <w:sz w:val="24"/>
                <w:szCs w:val="24"/>
                <w:highlight w:val="none"/>
              </w:rPr>
              <w:t>2mm</w:t>
            </w:r>
            <w:r>
              <w:rPr>
                <w:rFonts w:ascii="Times New Roman" w:hAnsi="宋体"/>
                <w:color w:val="auto"/>
                <w:sz w:val="24"/>
                <w:szCs w:val="24"/>
                <w:highlight w:val="none"/>
              </w:rPr>
              <w:t>厚高密度聚乙烯，或至少</w:t>
            </w:r>
            <w:r>
              <w:rPr>
                <w:rFonts w:ascii="Times New Roman" w:hAnsi="Times New Roman"/>
                <w:color w:val="auto"/>
                <w:sz w:val="24"/>
                <w:szCs w:val="24"/>
                <w:highlight w:val="none"/>
              </w:rPr>
              <w:t>2mm</w:t>
            </w:r>
            <w:r>
              <w:rPr>
                <w:rFonts w:ascii="Times New Roman" w:hAnsi="宋体"/>
                <w:color w:val="auto"/>
                <w:sz w:val="24"/>
                <w:szCs w:val="24"/>
                <w:highlight w:val="none"/>
              </w:rPr>
              <w:t>厚的其它人工材料，渗透系数</w:t>
            </w:r>
            <w:r>
              <w:rPr>
                <w:rFonts w:ascii="Times New Roman" w:hAnsi="Times New Roman"/>
                <w:color w:val="auto"/>
                <w:sz w:val="24"/>
                <w:szCs w:val="24"/>
                <w:highlight w:val="none"/>
              </w:rPr>
              <w:t>K≤10</w:t>
            </w:r>
            <w:r>
              <w:rPr>
                <w:rFonts w:ascii="Times New Roman" w:hAnsi="Times New Roman"/>
                <w:color w:val="auto"/>
                <w:sz w:val="24"/>
                <w:szCs w:val="24"/>
                <w:highlight w:val="none"/>
                <w:vertAlign w:val="superscript"/>
              </w:rPr>
              <w:t>-10</w:t>
            </w:r>
            <w:r>
              <w:rPr>
                <w:rFonts w:ascii="Times New Roman" w:hAnsi="Times New Roman"/>
                <w:color w:val="auto"/>
                <w:sz w:val="24"/>
                <w:szCs w:val="24"/>
                <w:highlight w:val="none"/>
              </w:rPr>
              <w:t>cm/s</w:t>
            </w:r>
            <w:r>
              <w:rPr>
                <w:rFonts w:ascii="Times New Roman" w:hAnsi="宋体"/>
                <w:color w:val="auto"/>
                <w:sz w:val="24"/>
                <w:szCs w:val="24"/>
                <w:highlight w:val="none"/>
              </w:rPr>
              <w:t>；</w:t>
            </w:r>
          </w:p>
          <w:p w14:paraId="171A1C8D">
            <w:pPr>
              <w:snapToGrid w:val="0"/>
              <w:spacing w:line="276" w:lineRule="auto"/>
              <w:rPr>
                <w:rFonts w:ascii="Times New Roman" w:hAnsi="Times New Roman"/>
                <w:color w:val="auto"/>
                <w:sz w:val="24"/>
                <w:szCs w:val="24"/>
                <w:highlight w:val="none"/>
              </w:rPr>
            </w:pPr>
            <w:r>
              <w:rPr>
                <w:rFonts w:hint="eastAsia" w:ascii="Times New Roman" w:hAnsi="宋体"/>
                <w:color w:val="auto"/>
                <w:sz w:val="24"/>
                <w:szCs w:val="24"/>
                <w:highlight w:val="none"/>
              </w:rPr>
              <w:t>一般防渗区：</w:t>
            </w:r>
            <w:r>
              <w:rPr>
                <w:rFonts w:hint="eastAsia" w:ascii="Times New Roman" w:hAnsi="宋体"/>
                <w:color w:val="auto"/>
                <w:sz w:val="24"/>
                <w:szCs w:val="24"/>
                <w:highlight w:val="none"/>
                <w:lang w:val="en-US" w:eastAsia="zh-CN"/>
              </w:rPr>
              <w:t>11</w:t>
            </w:r>
            <w:r>
              <w:rPr>
                <w:rFonts w:hint="eastAsia" w:ascii="Times New Roman" w:hAnsi="宋体"/>
                <w:color w:val="auto"/>
                <w:sz w:val="24"/>
                <w:szCs w:val="24"/>
                <w:highlight w:val="none"/>
              </w:rPr>
              <w:t>#厂房、</w:t>
            </w:r>
            <w:r>
              <w:rPr>
                <w:rFonts w:hint="eastAsia" w:ascii="Times New Roman" w:hAnsi="宋体"/>
                <w:color w:val="auto"/>
                <w:sz w:val="24"/>
                <w:szCs w:val="24"/>
                <w:highlight w:val="none"/>
                <w:lang w:val="en-US" w:eastAsia="zh-CN"/>
              </w:rPr>
              <w:t>12</w:t>
            </w:r>
            <w:r>
              <w:rPr>
                <w:rFonts w:hint="eastAsia" w:ascii="Times New Roman" w:hAnsi="宋体"/>
                <w:color w:val="auto"/>
                <w:sz w:val="24"/>
                <w:szCs w:val="24"/>
                <w:highlight w:val="none"/>
              </w:rPr>
              <w:t>#厂房、</w:t>
            </w:r>
            <w:r>
              <w:rPr>
                <w:rFonts w:hint="eastAsia" w:ascii="Times New Roman" w:hAnsi="宋体"/>
                <w:color w:val="auto"/>
                <w:sz w:val="24"/>
                <w:szCs w:val="24"/>
                <w:highlight w:val="none"/>
                <w:lang w:val="en-US" w:eastAsia="zh-CN"/>
              </w:rPr>
              <w:t>沉淀池、</w:t>
            </w:r>
            <w:r>
              <w:rPr>
                <w:rFonts w:hint="eastAsia" w:ascii="Times New Roman" w:hAnsi="宋体"/>
                <w:color w:val="auto"/>
                <w:sz w:val="24"/>
                <w:szCs w:val="24"/>
                <w:highlight w:val="none"/>
              </w:rPr>
              <w:t>一般固废暂存间</w:t>
            </w:r>
            <w:r>
              <w:rPr>
                <w:rFonts w:ascii="Times New Roman" w:hAnsi="宋体"/>
                <w:color w:val="auto"/>
                <w:sz w:val="24"/>
                <w:szCs w:val="24"/>
                <w:highlight w:val="none"/>
              </w:rPr>
              <w:t>设为一般防渗区。</w:t>
            </w:r>
            <w:r>
              <w:rPr>
                <w:rFonts w:hint="eastAsia" w:ascii="Times New Roman" w:hAnsi="宋体"/>
                <w:color w:val="auto"/>
                <w:sz w:val="24"/>
                <w:szCs w:val="24"/>
                <w:highlight w:val="none"/>
              </w:rPr>
              <w:t>一般</w:t>
            </w:r>
            <w:r>
              <w:rPr>
                <w:rFonts w:ascii="Times New Roman" w:hAnsi="宋体"/>
                <w:color w:val="auto"/>
                <w:sz w:val="24"/>
                <w:szCs w:val="24"/>
                <w:highlight w:val="none"/>
              </w:rPr>
              <w:t>防渗区的防渗技术要求：等效黏土防渗层</w:t>
            </w:r>
            <w:r>
              <w:rPr>
                <w:rFonts w:ascii="Times New Roman" w:hAnsi="Times New Roman"/>
                <w:color w:val="auto"/>
                <w:sz w:val="24"/>
                <w:szCs w:val="24"/>
                <w:highlight w:val="none"/>
              </w:rPr>
              <w:t>Mb≥1.5m</w:t>
            </w:r>
            <w:r>
              <w:rPr>
                <w:rFonts w:ascii="Times New Roman" w:hAnsi="宋体"/>
                <w:color w:val="auto"/>
                <w:sz w:val="24"/>
                <w:szCs w:val="24"/>
                <w:highlight w:val="none"/>
              </w:rPr>
              <w:t>，</w:t>
            </w:r>
            <w:r>
              <w:rPr>
                <w:rFonts w:ascii="Times New Roman" w:hAnsi="Times New Roman"/>
                <w:color w:val="auto"/>
                <w:sz w:val="24"/>
                <w:szCs w:val="24"/>
                <w:highlight w:val="none"/>
              </w:rPr>
              <w:t>K≤10</w:t>
            </w:r>
            <w:r>
              <w:rPr>
                <w:rFonts w:ascii="Times New Roman" w:hAnsi="Times New Roman"/>
                <w:color w:val="auto"/>
                <w:sz w:val="24"/>
                <w:szCs w:val="24"/>
                <w:highlight w:val="none"/>
                <w:vertAlign w:val="superscript"/>
              </w:rPr>
              <w:t>-7</w:t>
            </w:r>
            <w:r>
              <w:rPr>
                <w:rFonts w:ascii="Times New Roman" w:hAnsi="Times New Roman"/>
                <w:color w:val="auto"/>
                <w:sz w:val="24"/>
                <w:szCs w:val="24"/>
                <w:highlight w:val="none"/>
              </w:rPr>
              <w:t>cm/s</w:t>
            </w:r>
          </w:p>
        </w:tc>
      </w:tr>
      <w:tr w14:paraId="459EB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noWrap w:val="0"/>
            <w:vAlign w:val="center"/>
          </w:tcPr>
          <w:p w14:paraId="1D8C2ABF">
            <w:pPr>
              <w:snapToGrid w:val="0"/>
              <w:spacing w:line="276" w:lineRule="auto"/>
              <w:jc w:val="center"/>
              <w:rPr>
                <w:rFonts w:ascii="Times New Roman" w:hAnsi="Times New Roman"/>
                <w:color w:val="auto"/>
                <w:sz w:val="24"/>
                <w:szCs w:val="24"/>
                <w:highlight w:val="none"/>
              </w:rPr>
            </w:pPr>
            <w:r>
              <w:rPr>
                <w:rFonts w:ascii="Times New Roman" w:hAnsi="宋体"/>
                <w:color w:val="auto"/>
                <w:sz w:val="24"/>
                <w:szCs w:val="24"/>
                <w:highlight w:val="none"/>
              </w:rPr>
              <w:t>生态保护措施</w:t>
            </w:r>
          </w:p>
        </w:tc>
        <w:tc>
          <w:tcPr>
            <w:tcW w:w="7844" w:type="dxa"/>
            <w:gridSpan w:val="4"/>
            <w:noWrap w:val="0"/>
            <w:vAlign w:val="center"/>
          </w:tcPr>
          <w:p w14:paraId="69EC1976">
            <w:pPr>
              <w:snapToGrid w:val="0"/>
              <w:spacing w:line="276" w:lineRule="auto"/>
              <w:rPr>
                <w:rFonts w:ascii="Times New Roman" w:hAnsi="宋体"/>
                <w:color w:val="auto"/>
                <w:sz w:val="24"/>
                <w:szCs w:val="24"/>
                <w:highlight w:val="none"/>
              </w:rPr>
            </w:pPr>
            <w:r>
              <w:rPr>
                <w:rFonts w:ascii="Times New Roman" w:hAnsi="宋体"/>
                <w:color w:val="auto"/>
                <w:sz w:val="24"/>
                <w:szCs w:val="24"/>
                <w:highlight w:val="none"/>
              </w:rPr>
              <w:t>本项目所属用地为工业用地，区域内无珍稀动物、植物，无文物古迹保护对象，对区域内生态环境产生破坏和影响较小</w:t>
            </w:r>
          </w:p>
        </w:tc>
      </w:tr>
      <w:tr w14:paraId="7382E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noWrap w:val="0"/>
            <w:vAlign w:val="center"/>
          </w:tcPr>
          <w:p w14:paraId="4D8C485F">
            <w:pPr>
              <w:snapToGrid w:val="0"/>
              <w:spacing w:line="276" w:lineRule="auto"/>
              <w:jc w:val="center"/>
              <w:rPr>
                <w:rFonts w:ascii="Times New Roman" w:hAnsi="Times New Roman"/>
                <w:color w:val="auto"/>
                <w:spacing w:val="-8"/>
                <w:sz w:val="24"/>
                <w:szCs w:val="24"/>
                <w:highlight w:val="none"/>
              </w:rPr>
            </w:pPr>
            <w:r>
              <w:rPr>
                <w:rFonts w:ascii="Times New Roman" w:hAnsi="宋体"/>
                <w:color w:val="auto"/>
                <w:spacing w:val="-8"/>
                <w:sz w:val="24"/>
                <w:szCs w:val="24"/>
                <w:highlight w:val="none"/>
              </w:rPr>
              <w:t>环境风险防范措施</w:t>
            </w:r>
          </w:p>
        </w:tc>
        <w:tc>
          <w:tcPr>
            <w:tcW w:w="7844" w:type="dxa"/>
            <w:gridSpan w:val="4"/>
            <w:noWrap w:val="0"/>
            <w:vAlign w:val="center"/>
          </w:tcPr>
          <w:p w14:paraId="19A869D0">
            <w:pPr>
              <w:snapToGrid w:val="0"/>
              <w:spacing w:line="276" w:lineRule="auto"/>
              <w:rPr>
                <w:rFonts w:ascii="Times New Roman" w:hAnsi="宋体"/>
                <w:bCs/>
                <w:color w:val="auto"/>
                <w:sz w:val="24"/>
                <w:szCs w:val="24"/>
                <w:highlight w:val="none"/>
              </w:rPr>
            </w:pPr>
            <w:r>
              <w:rPr>
                <w:rFonts w:hint="eastAsia" w:ascii="Times New Roman" w:hAnsi="宋体"/>
                <w:bCs/>
                <w:color w:val="auto"/>
                <w:sz w:val="24"/>
                <w:szCs w:val="24"/>
                <w:highlight w:val="none"/>
                <w:lang w:eastAsia="zh-CN"/>
              </w:rPr>
              <w:t>化学品库</w:t>
            </w:r>
            <w:r>
              <w:rPr>
                <w:rFonts w:hint="eastAsia" w:ascii="Times New Roman" w:hAnsi="宋体"/>
                <w:bCs/>
                <w:color w:val="auto"/>
                <w:sz w:val="24"/>
                <w:szCs w:val="24"/>
                <w:highlight w:val="none"/>
              </w:rPr>
              <w:t>采取防腐防渗措施，</w:t>
            </w:r>
            <w:r>
              <w:rPr>
                <w:rFonts w:hint="eastAsia" w:ascii="Times New Roman" w:hAnsi="宋体"/>
                <w:bCs/>
                <w:color w:val="auto"/>
                <w:sz w:val="24"/>
                <w:szCs w:val="24"/>
                <w:highlight w:val="none"/>
                <w:lang w:eastAsia="zh-CN"/>
              </w:rPr>
              <w:t>润滑油</w:t>
            </w:r>
            <w:r>
              <w:rPr>
                <w:rFonts w:hint="eastAsia" w:ascii="Times New Roman" w:hAnsi="宋体"/>
                <w:bCs/>
                <w:color w:val="auto"/>
                <w:sz w:val="24"/>
                <w:szCs w:val="24"/>
                <w:highlight w:val="none"/>
              </w:rPr>
              <w:t>和</w:t>
            </w:r>
            <w:r>
              <w:rPr>
                <w:rFonts w:hint="eastAsia" w:ascii="Times New Roman" w:hAnsi="宋体"/>
                <w:bCs/>
                <w:color w:val="auto"/>
                <w:sz w:val="24"/>
                <w:szCs w:val="24"/>
                <w:highlight w:val="none"/>
                <w:lang w:eastAsia="zh-CN"/>
              </w:rPr>
              <w:t>高反射膜材料</w:t>
            </w:r>
            <w:r>
              <w:rPr>
                <w:rFonts w:hint="eastAsia" w:ascii="Times New Roman" w:hAnsi="宋体"/>
                <w:bCs/>
                <w:color w:val="auto"/>
                <w:sz w:val="24"/>
                <w:szCs w:val="24"/>
                <w:highlight w:val="none"/>
              </w:rPr>
              <w:t>采用桶装，设置在集液托盘内，并安装有火灾报警系统；</w:t>
            </w:r>
          </w:p>
          <w:p w14:paraId="55C611EA">
            <w:pPr>
              <w:snapToGrid w:val="0"/>
              <w:spacing w:line="276" w:lineRule="auto"/>
              <w:rPr>
                <w:rFonts w:ascii="Times New Roman" w:hAnsi="宋体"/>
                <w:bCs/>
                <w:color w:val="auto"/>
                <w:sz w:val="24"/>
                <w:szCs w:val="24"/>
                <w:highlight w:val="none"/>
              </w:rPr>
            </w:pPr>
            <w:r>
              <w:rPr>
                <w:rFonts w:hint="eastAsia" w:ascii="Times New Roman" w:hAnsi="宋体"/>
                <w:bCs/>
                <w:color w:val="auto"/>
                <w:sz w:val="24"/>
                <w:szCs w:val="24"/>
                <w:highlight w:val="none"/>
                <w:lang w:eastAsia="zh-CN"/>
              </w:rPr>
              <w:t>危废库</w:t>
            </w:r>
            <w:r>
              <w:rPr>
                <w:rFonts w:ascii="Times New Roman" w:hAnsi="宋体"/>
                <w:bCs/>
                <w:color w:val="auto"/>
                <w:sz w:val="24"/>
                <w:szCs w:val="24"/>
                <w:highlight w:val="none"/>
              </w:rPr>
              <w:t>设置</w:t>
            </w:r>
            <w:r>
              <w:rPr>
                <w:rFonts w:hint="eastAsia" w:ascii="Times New Roman" w:hAnsi="宋体"/>
                <w:bCs/>
                <w:color w:val="auto"/>
                <w:sz w:val="24"/>
                <w:szCs w:val="24"/>
                <w:highlight w:val="none"/>
              </w:rPr>
              <w:t>集液</w:t>
            </w:r>
            <w:r>
              <w:rPr>
                <w:rFonts w:ascii="Times New Roman" w:hAnsi="宋体"/>
                <w:bCs/>
                <w:color w:val="auto"/>
                <w:sz w:val="24"/>
                <w:szCs w:val="24"/>
                <w:highlight w:val="none"/>
              </w:rPr>
              <w:t>托盘，并</w:t>
            </w:r>
            <w:r>
              <w:rPr>
                <w:rFonts w:hint="eastAsia" w:ascii="Times New Roman" w:hAnsi="宋体"/>
                <w:bCs/>
                <w:color w:val="auto"/>
                <w:sz w:val="24"/>
                <w:szCs w:val="24"/>
                <w:highlight w:val="none"/>
              </w:rPr>
              <w:t>将废</w:t>
            </w:r>
            <w:r>
              <w:rPr>
                <w:rFonts w:hint="eastAsia" w:ascii="Times New Roman" w:hAnsi="宋体"/>
                <w:bCs/>
                <w:color w:val="auto"/>
                <w:sz w:val="24"/>
                <w:szCs w:val="24"/>
                <w:highlight w:val="none"/>
                <w:lang w:eastAsia="zh-CN"/>
              </w:rPr>
              <w:t>润滑油</w:t>
            </w:r>
            <w:r>
              <w:rPr>
                <w:rFonts w:hint="eastAsia" w:ascii="Times New Roman" w:hAnsi="宋体"/>
                <w:bCs/>
                <w:color w:val="auto"/>
                <w:sz w:val="24"/>
                <w:szCs w:val="24"/>
                <w:highlight w:val="none"/>
                <w:lang w:val="en-US" w:eastAsia="zh-CN"/>
              </w:rPr>
              <w:t>等危废</w:t>
            </w:r>
            <w:r>
              <w:rPr>
                <w:rFonts w:ascii="Times New Roman" w:hAnsi="宋体"/>
                <w:bCs/>
                <w:color w:val="auto"/>
                <w:sz w:val="24"/>
                <w:szCs w:val="24"/>
                <w:highlight w:val="none"/>
              </w:rPr>
              <w:t>置于集液托盘内，单层码放；</w:t>
            </w:r>
          </w:p>
          <w:p w14:paraId="392C2B09">
            <w:pPr>
              <w:snapToGrid w:val="0"/>
              <w:spacing w:line="276" w:lineRule="auto"/>
              <w:rPr>
                <w:rFonts w:ascii="Times New Roman" w:hAnsi="宋体"/>
                <w:bCs/>
                <w:color w:val="auto"/>
                <w:sz w:val="24"/>
                <w:szCs w:val="24"/>
                <w:highlight w:val="none"/>
              </w:rPr>
            </w:pPr>
            <w:r>
              <w:rPr>
                <w:rFonts w:ascii="Times New Roman" w:hAnsi="宋体"/>
                <w:bCs/>
                <w:color w:val="auto"/>
                <w:sz w:val="24"/>
                <w:szCs w:val="24"/>
                <w:highlight w:val="none"/>
              </w:rPr>
              <w:t>定期检修设备，加强日常维护保养</w:t>
            </w:r>
            <w:r>
              <w:rPr>
                <w:rFonts w:hint="eastAsia" w:ascii="Times New Roman" w:hAnsi="宋体"/>
                <w:bCs/>
                <w:color w:val="auto"/>
                <w:sz w:val="24"/>
                <w:szCs w:val="24"/>
                <w:highlight w:val="none"/>
              </w:rPr>
              <w:t>。</w:t>
            </w:r>
          </w:p>
        </w:tc>
      </w:tr>
      <w:tr w14:paraId="00620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noWrap w:val="0"/>
            <w:vAlign w:val="center"/>
          </w:tcPr>
          <w:p w14:paraId="1D882FE8">
            <w:pPr>
              <w:snapToGrid w:val="0"/>
              <w:spacing w:line="276" w:lineRule="auto"/>
              <w:jc w:val="center"/>
              <w:rPr>
                <w:rFonts w:ascii="Times New Roman" w:hAnsi="Times New Roman"/>
                <w:color w:val="auto"/>
                <w:spacing w:val="-8"/>
                <w:sz w:val="24"/>
                <w:szCs w:val="24"/>
                <w:highlight w:val="none"/>
              </w:rPr>
            </w:pPr>
            <w:r>
              <w:rPr>
                <w:rFonts w:ascii="Times New Roman" w:hAnsi="宋体"/>
                <w:bCs/>
                <w:color w:val="auto"/>
                <w:sz w:val="24"/>
                <w:szCs w:val="24"/>
                <w:highlight w:val="none"/>
              </w:rPr>
              <w:t>其他环境管理要求</w:t>
            </w:r>
          </w:p>
        </w:tc>
        <w:tc>
          <w:tcPr>
            <w:tcW w:w="7844" w:type="dxa"/>
            <w:gridSpan w:val="4"/>
            <w:noWrap w:val="0"/>
            <w:vAlign w:val="top"/>
          </w:tcPr>
          <w:p w14:paraId="6ABBC686">
            <w:pPr>
              <w:snapToGrid w:val="0"/>
              <w:spacing w:line="276" w:lineRule="auto"/>
              <w:rPr>
                <w:rFonts w:ascii="Times New Roman" w:hAnsi="Times New Roman"/>
                <w:color w:val="auto"/>
                <w:sz w:val="24"/>
                <w:szCs w:val="24"/>
                <w:highlight w:val="none"/>
              </w:rPr>
            </w:pPr>
            <w:r>
              <w:rPr>
                <w:rFonts w:ascii="Times New Roman" w:hAnsi="宋体"/>
                <w:color w:val="auto"/>
                <w:sz w:val="24"/>
                <w:szCs w:val="24"/>
                <w:highlight w:val="none"/>
              </w:rPr>
              <w:t>项目需遵守下列要求：</w:t>
            </w:r>
          </w:p>
          <w:p w14:paraId="068DC3EC">
            <w:pPr>
              <w:snapToGrid w:val="0"/>
              <w:spacing w:line="276" w:lineRule="auto"/>
              <w:rPr>
                <w:rFonts w:ascii="Times New Roman" w:hAnsi="Times New Roman"/>
                <w:color w:val="auto"/>
                <w:sz w:val="24"/>
                <w:szCs w:val="24"/>
                <w:highlight w:val="none"/>
              </w:rPr>
            </w:pPr>
            <w:r>
              <w:rPr>
                <w:rFonts w:ascii="Times New Roman" w:hAnsi="宋体"/>
                <w:color w:val="auto"/>
                <w:sz w:val="24"/>
                <w:szCs w:val="24"/>
                <w:highlight w:val="none"/>
              </w:rPr>
              <w:t>（</w:t>
            </w:r>
            <w:r>
              <w:rPr>
                <w:rFonts w:ascii="Times New Roman" w:hAnsi="Times New Roman"/>
                <w:color w:val="auto"/>
                <w:sz w:val="24"/>
                <w:szCs w:val="24"/>
                <w:highlight w:val="none"/>
              </w:rPr>
              <w:t>1</w:t>
            </w:r>
            <w:r>
              <w:rPr>
                <w:rFonts w:ascii="Times New Roman" w:hAnsi="宋体"/>
                <w:color w:val="auto"/>
                <w:sz w:val="24"/>
                <w:szCs w:val="24"/>
                <w:highlight w:val="none"/>
              </w:rPr>
              <w:t>）项目实际的生产地点、主要生产单元、生产工艺、生产设施、污染防治设施应与排污许可证相符，实际情况与排污许可证载明的规模、参数等信息基本相符。所有有组织排放口的个数、类别、排放方式和去向等与排污许可证载明信息一致</w:t>
            </w:r>
          </w:p>
          <w:p w14:paraId="2DB611D1">
            <w:pPr>
              <w:snapToGrid w:val="0"/>
              <w:spacing w:line="276" w:lineRule="auto"/>
              <w:rPr>
                <w:rFonts w:ascii="Times New Roman" w:hAnsi="Times New Roman"/>
                <w:color w:val="auto"/>
                <w:sz w:val="24"/>
                <w:szCs w:val="24"/>
                <w:highlight w:val="none"/>
              </w:rPr>
            </w:pPr>
            <w:r>
              <w:rPr>
                <w:rFonts w:ascii="Times New Roman" w:hAnsi="宋体"/>
                <w:color w:val="auto"/>
                <w:sz w:val="24"/>
                <w:szCs w:val="24"/>
                <w:highlight w:val="none"/>
              </w:rPr>
              <w:t>（</w:t>
            </w:r>
            <w:r>
              <w:rPr>
                <w:rFonts w:ascii="Times New Roman" w:hAnsi="Times New Roman"/>
                <w:color w:val="auto"/>
                <w:sz w:val="24"/>
                <w:szCs w:val="24"/>
                <w:highlight w:val="none"/>
              </w:rPr>
              <w:t>2</w:t>
            </w:r>
            <w:r>
              <w:rPr>
                <w:rFonts w:ascii="Times New Roman" w:hAnsi="宋体"/>
                <w:color w:val="auto"/>
                <w:sz w:val="24"/>
                <w:szCs w:val="24"/>
                <w:highlight w:val="none"/>
              </w:rPr>
              <w:t>）企业应强化对环保设施运行监督、管理的职能，建立全厂完善的环保设施运行、维护、维修等技术档案，以及加强对环保设施操作人员的技术培训，确保环保设施处于正常运行情况，污染物排放连续达标。</w:t>
            </w:r>
          </w:p>
          <w:p w14:paraId="0C00B6E8">
            <w:pPr>
              <w:snapToGrid w:val="0"/>
              <w:spacing w:line="276" w:lineRule="auto"/>
              <w:rPr>
                <w:rFonts w:ascii="Times New Roman" w:hAnsi="宋体"/>
                <w:color w:val="auto"/>
                <w:sz w:val="24"/>
                <w:szCs w:val="24"/>
                <w:highlight w:val="none"/>
              </w:rPr>
            </w:pPr>
            <w:r>
              <w:rPr>
                <w:rFonts w:ascii="Times New Roman" w:hAnsi="宋体"/>
                <w:color w:val="auto"/>
                <w:sz w:val="24"/>
                <w:szCs w:val="24"/>
                <w:highlight w:val="none"/>
              </w:rPr>
              <w:t>（</w:t>
            </w:r>
            <w:r>
              <w:rPr>
                <w:rFonts w:ascii="Times New Roman" w:hAnsi="Times New Roman"/>
                <w:color w:val="auto"/>
                <w:sz w:val="24"/>
                <w:szCs w:val="24"/>
                <w:highlight w:val="none"/>
              </w:rPr>
              <w:t>3</w:t>
            </w:r>
            <w:r>
              <w:rPr>
                <w:rFonts w:ascii="Times New Roman" w:hAnsi="宋体"/>
                <w:color w:val="auto"/>
                <w:sz w:val="24"/>
                <w:szCs w:val="24"/>
                <w:highlight w:val="none"/>
              </w:rPr>
              <w:t>）企业应按照《排污单位自行监测技术指南总则》（</w:t>
            </w:r>
            <w:r>
              <w:rPr>
                <w:rFonts w:ascii="Times New Roman" w:hAnsi="Times New Roman"/>
                <w:color w:val="auto"/>
                <w:sz w:val="24"/>
                <w:szCs w:val="24"/>
                <w:highlight w:val="none"/>
              </w:rPr>
              <w:t>H</w:t>
            </w:r>
            <w:r>
              <w:rPr>
                <w:rFonts w:hint="eastAsia" w:ascii="Times New Roman" w:hAnsi="Times New Roman"/>
                <w:color w:val="auto"/>
                <w:sz w:val="24"/>
                <w:szCs w:val="24"/>
                <w:highlight w:val="none"/>
                <w:lang w:val="en-US" w:eastAsia="zh-CN"/>
              </w:rPr>
              <w:t>J</w:t>
            </w:r>
            <w:r>
              <w:rPr>
                <w:rFonts w:ascii="Times New Roman" w:hAnsi="Times New Roman"/>
                <w:color w:val="auto"/>
                <w:sz w:val="24"/>
                <w:szCs w:val="24"/>
                <w:highlight w:val="none"/>
              </w:rPr>
              <w:t xml:space="preserve"> 819-2017</w:t>
            </w:r>
            <w:r>
              <w:rPr>
                <w:rFonts w:ascii="Times New Roman" w:hAnsi="宋体"/>
                <w:color w:val="auto"/>
                <w:sz w:val="24"/>
                <w:szCs w:val="24"/>
                <w:highlight w:val="none"/>
              </w:rPr>
              <w:t>）中的要求落实运营期自行监测计划，主动公开项目环评文件和验收报告，接受社会监督。</w:t>
            </w:r>
          </w:p>
          <w:p w14:paraId="6A9CC685">
            <w:pPr>
              <w:snapToGrid w:val="0"/>
              <w:spacing w:line="276" w:lineRule="auto"/>
              <w:rPr>
                <w:rFonts w:ascii="Times New Roman" w:hAnsi="宋体"/>
                <w:color w:val="auto"/>
                <w:sz w:val="24"/>
                <w:szCs w:val="24"/>
                <w:highlight w:val="none"/>
              </w:rPr>
            </w:pPr>
          </w:p>
          <w:p w14:paraId="745B3386">
            <w:pPr>
              <w:snapToGrid w:val="0"/>
              <w:spacing w:line="276" w:lineRule="auto"/>
              <w:rPr>
                <w:rFonts w:ascii="Times New Roman" w:hAnsi="宋体"/>
                <w:color w:val="auto"/>
                <w:sz w:val="24"/>
                <w:szCs w:val="24"/>
                <w:highlight w:val="none"/>
              </w:rPr>
            </w:pPr>
          </w:p>
          <w:p w14:paraId="5D6B9361">
            <w:pPr>
              <w:snapToGrid w:val="0"/>
              <w:spacing w:line="276" w:lineRule="auto"/>
              <w:rPr>
                <w:rFonts w:ascii="Times New Roman" w:hAnsi="宋体"/>
                <w:color w:val="auto"/>
                <w:sz w:val="24"/>
                <w:szCs w:val="24"/>
                <w:highlight w:val="none"/>
              </w:rPr>
            </w:pPr>
          </w:p>
          <w:p w14:paraId="1DA5DDBC">
            <w:pPr>
              <w:snapToGrid w:val="0"/>
              <w:spacing w:line="276" w:lineRule="auto"/>
              <w:rPr>
                <w:rFonts w:ascii="Times New Roman" w:hAnsi="宋体"/>
                <w:color w:val="auto"/>
                <w:sz w:val="24"/>
                <w:szCs w:val="24"/>
                <w:highlight w:val="none"/>
              </w:rPr>
            </w:pPr>
          </w:p>
          <w:p w14:paraId="1BC79F25">
            <w:pPr>
              <w:snapToGrid w:val="0"/>
              <w:spacing w:line="276" w:lineRule="auto"/>
              <w:rPr>
                <w:rFonts w:ascii="Times New Roman" w:hAnsi="宋体"/>
                <w:color w:val="auto"/>
                <w:sz w:val="24"/>
                <w:szCs w:val="24"/>
                <w:highlight w:val="none"/>
              </w:rPr>
            </w:pPr>
          </w:p>
          <w:p w14:paraId="3EEA8CE4">
            <w:pPr>
              <w:snapToGrid w:val="0"/>
              <w:spacing w:line="276" w:lineRule="auto"/>
              <w:rPr>
                <w:rFonts w:ascii="Times New Roman" w:hAnsi="宋体"/>
                <w:color w:val="auto"/>
                <w:sz w:val="24"/>
                <w:szCs w:val="24"/>
                <w:highlight w:val="none"/>
              </w:rPr>
            </w:pPr>
          </w:p>
          <w:p w14:paraId="6B2415B3">
            <w:pPr>
              <w:snapToGrid w:val="0"/>
              <w:spacing w:line="276" w:lineRule="auto"/>
              <w:rPr>
                <w:rFonts w:ascii="Times New Roman" w:hAnsi="宋体"/>
                <w:color w:val="auto"/>
                <w:sz w:val="24"/>
                <w:szCs w:val="24"/>
                <w:highlight w:val="none"/>
              </w:rPr>
            </w:pPr>
          </w:p>
          <w:p w14:paraId="0E534337">
            <w:pPr>
              <w:snapToGrid w:val="0"/>
              <w:spacing w:line="276" w:lineRule="auto"/>
              <w:rPr>
                <w:rFonts w:ascii="Times New Roman" w:hAnsi="宋体"/>
                <w:color w:val="auto"/>
                <w:sz w:val="24"/>
                <w:szCs w:val="24"/>
                <w:highlight w:val="none"/>
              </w:rPr>
            </w:pPr>
          </w:p>
          <w:p w14:paraId="5470880C">
            <w:pPr>
              <w:snapToGrid w:val="0"/>
              <w:spacing w:line="276" w:lineRule="auto"/>
              <w:rPr>
                <w:rFonts w:ascii="Times New Roman" w:hAnsi="宋体"/>
                <w:color w:val="auto"/>
                <w:sz w:val="24"/>
                <w:szCs w:val="24"/>
                <w:highlight w:val="none"/>
              </w:rPr>
            </w:pPr>
          </w:p>
          <w:p w14:paraId="3A337F3D">
            <w:pPr>
              <w:snapToGrid w:val="0"/>
              <w:spacing w:line="276" w:lineRule="auto"/>
              <w:rPr>
                <w:rFonts w:ascii="Times New Roman" w:hAnsi="宋体"/>
                <w:color w:val="auto"/>
                <w:sz w:val="24"/>
                <w:szCs w:val="24"/>
                <w:highlight w:val="none"/>
              </w:rPr>
            </w:pPr>
          </w:p>
          <w:p w14:paraId="3CA4E972">
            <w:pPr>
              <w:snapToGrid w:val="0"/>
              <w:spacing w:line="276" w:lineRule="auto"/>
              <w:rPr>
                <w:rFonts w:ascii="Times New Roman" w:hAnsi="Times New Roman"/>
                <w:color w:val="auto"/>
                <w:sz w:val="24"/>
                <w:szCs w:val="24"/>
                <w:highlight w:val="none"/>
              </w:rPr>
            </w:pPr>
          </w:p>
        </w:tc>
      </w:tr>
    </w:tbl>
    <w:p w14:paraId="708A902D">
      <w:pPr>
        <w:widowControl/>
        <w:spacing w:before="100" w:beforeAutospacing="1" w:after="100" w:afterAutospacing="1" w:line="240" w:lineRule="atLeast"/>
        <w:ind w:firstLine="600"/>
        <w:jc w:val="center"/>
        <w:outlineLvl w:val="0"/>
        <w:rPr>
          <w:rFonts w:ascii="黑体" w:hAnsi="黑体" w:eastAsia="黑体"/>
          <w:snapToGrid w:val="0"/>
          <w:color w:val="auto"/>
          <w:kern w:val="0"/>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C133FA6">
      <w:pPr>
        <w:widowControl/>
        <w:spacing w:before="100" w:beforeAutospacing="1" w:after="100" w:afterAutospacing="1"/>
        <w:ind w:firstLine="600"/>
        <w:jc w:val="center"/>
        <w:outlineLvl w:val="0"/>
        <w:rPr>
          <w:rFonts w:ascii="黑体" w:hAnsi="黑体" w:eastAsia="黑体"/>
          <w:snapToGrid w:val="0"/>
          <w:color w:val="auto"/>
          <w:kern w:val="0"/>
          <w:sz w:val="30"/>
          <w:szCs w:val="30"/>
          <w:highlight w:val="none"/>
        </w:rPr>
      </w:pPr>
      <w:r>
        <w:rPr>
          <w:rFonts w:hint="eastAsia" w:ascii="黑体" w:hAnsi="黑体" w:eastAsia="黑体"/>
          <w:snapToGrid w:val="0"/>
          <w:color w:val="auto"/>
          <w:kern w:val="0"/>
          <w:sz w:val="30"/>
          <w:szCs w:val="30"/>
          <w:highlight w:val="none"/>
        </w:rPr>
        <w:t>六、结论</w:t>
      </w:r>
    </w:p>
    <w:tbl>
      <w:tblPr>
        <w:tblStyle w:val="20"/>
        <w:tblW w:w="8522"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5E3778A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12563" w:hRule="atLeast"/>
        </w:trPr>
        <w:tc>
          <w:tcPr>
            <w:tcW w:w="8522" w:type="dxa"/>
            <w:noWrap w:val="0"/>
            <w:vAlign w:val="top"/>
          </w:tcPr>
          <w:p w14:paraId="3B925AF7">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本评价报告认为，项目的建设符合国家及地方产业政策</w:t>
            </w:r>
            <w:r>
              <w:rPr>
                <w:rFonts w:hint="eastAsia" w:ascii="Times New Roman" w:hAnsi="Times New Roman"/>
                <w:color w:val="auto"/>
                <w:sz w:val="24"/>
                <w:highlight w:val="none"/>
              </w:rPr>
              <w:t>，</w:t>
            </w:r>
            <w:r>
              <w:rPr>
                <w:rFonts w:ascii="Times New Roman" w:hAnsi="Times New Roman"/>
                <w:color w:val="auto"/>
                <w:sz w:val="24"/>
                <w:highlight w:val="none"/>
              </w:rPr>
              <w:t>选址符合用地规划，布局基本合理；项目污染防治措施可行，在建设单位在严格落实环境保护“三同时制度”并加强污染治理设施运行管理的前提下，各项污染物可做到达标排放。因此，从环境保护的角度而言，项目的建设是可行的。</w:t>
            </w:r>
          </w:p>
        </w:tc>
      </w:tr>
    </w:tbl>
    <w:p w14:paraId="67EC756A">
      <w:pPr>
        <w:widowControl/>
        <w:jc w:val="left"/>
        <w:rPr>
          <w:rFonts w:ascii="宋体" w:cs="宋体"/>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443DC2E2">
      <w:pPr>
        <w:widowControl/>
        <w:spacing w:after="100" w:afterAutospacing="1" w:line="360" w:lineRule="auto"/>
        <w:ind w:firstLine="760"/>
        <w:jc w:val="center"/>
        <w:outlineLvl w:val="0"/>
        <w:rPr>
          <w:rFonts w:ascii="宋体" w:hAnsi="宋体"/>
          <w:snapToGrid w:val="0"/>
          <w:color w:val="auto"/>
          <w:kern w:val="0"/>
          <w:sz w:val="38"/>
          <w:szCs w:val="38"/>
          <w:highlight w:val="none"/>
        </w:rPr>
      </w:pPr>
      <w:r>
        <w:rPr>
          <w:rFonts w:hint="eastAsia" w:ascii="宋体" w:hAnsi="宋体"/>
          <w:snapToGrid w:val="0"/>
          <w:color w:val="auto"/>
          <w:kern w:val="0"/>
          <w:sz w:val="38"/>
          <w:szCs w:val="38"/>
          <w:highlight w:val="none"/>
        </w:rPr>
        <w:t>建设项目污染物排放量汇总表</w:t>
      </w:r>
    </w:p>
    <w:tbl>
      <w:tblPr>
        <w:tblStyle w:val="20"/>
        <w:tblW w:w="132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080"/>
        <w:gridCol w:w="1757"/>
        <w:gridCol w:w="1417"/>
        <w:gridCol w:w="992"/>
        <w:gridCol w:w="1417"/>
        <w:gridCol w:w="1417"/>
        <w:gridCol w:w="1133"/>
        <w:gridCol w:w="1417"/>
        <w:gridCol w:w="1218"/>
      </w:tblGrid>
      <w:tr w14:paraId="4B418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tcBorders>
              <w:tl2br w:val="single" w:color="auto" w:sz="4" w:space="0"/>
            </w:tcBorders>
            <w:noWrap w:val="0"/>
            <w:tcMar>
              <w:left w:w="28" w:type="dxa"/>
              <w:right w:w="28" w:type="dxa"/>
            </w:tcMar>
            <w:vAlign w:val="center"/>
          </w:tcPr>
          <w:p w14:paraId="3DE6018E">
            <w:pPr>
              <w:spacing w:line="276" w:lineRule="auto"/>
              <w:jc w:val="right"/>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4AA93EFC">
            <w:pPr>
              <w:spacing w:line="276"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2837" w:type="dxa"/>
            <w:gridSpan w:val="2"/>
            <w:noWrap w:val="0"/>
            <w:tcMar>
              <w:left w:w="28" w:type="dxa"/>
              <w:right w:w="28" w:type="dxa"/>
            </w:tcMar>
            <w:vAlign w:val="center"/>
          </w:tcPr>
          <w:p w14:paraId="293ACA53">
            <w:pPr>
              <w:spacing w:line="276" w:lineRule="auto"/>
              <w:jc w:val="center"/>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417" w:type="dxa"/>
            <w:noWrap w:val="0"/>
            <w:tcMar>
              <w:left w:w="28" w:type="dxa"/>
              <w:right w:w="28" w:type="dxa"/>
            </w:tcMar>
            <w:vAlign w:val="center"/>
          </w:tcPr>
          <w:p w14:paraId="2EBB812D">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625B74BC">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szCs w:val="21"/>
                <w:highlight w:val="none"/>
              </w:rPr>
              <w:t>①</w:t>
            </w:r>
            <w:r>
              <w:rPr>
                <w:rFonts w:ascii="黑体" w:hAnsi="黑体" w:eastAsia="黑体"/>
                <w:snapToGrid w:val="0"/>
                <w:color w:val="auto"/>
                <w:spacing w:val="-6"/>
                <w:kern w:val="21"/>
                <w:szCs w:val="21"/>
                <w:highlight w:val="none"/>
              </w:rPr>
              <w:fldChar w:fldCharType="end"/>
            </w:r>
          </w:p>
        </w:tc>
        <w:tc>
          <w:tcPr>
            <w:tcW w:w="992" w:type="dxa"/>
            <w:noWrap w:val="0"/>
            <w:tcMar>
              <w:left w:w="28" w:type="dxa"/>
              <w:right w:w="28" w:type="dxa"/>
            </w:tcMar>
            <w:vAlign w:val="center"/>
          </w:tcPr>
          <w:p w14:paraId="515F3FA6">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14:paraId="100FF942">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417" w:type="dxa"/>
            <w:noWrap w:val="0"/>
            <w:tcMar>
              <w:left w:w="28" w:type="dxa"/>
              <w:right w:w="28" w:type="dxa"/>
            </w:tcMar>
            <w:vAlign w:val="center"/>
          </w:tcPr>
          <w:p w14:paraId="1173D5DB">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14:paraId="70A2FCEA">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szCs w:val="21"/>
                <w:highlight w:val="none"/>
              </w:rPr>
              <w:t>③</w:t>
            </w:r>
            <w:r>
              <w:rPr>
                <w:rFonts w:ascii="黑体" w:hAnsi="黑体" w:eastAsia="黑体"/>
                <w:snapToGrid w:val="0"/>
                <w:color w:val="auto"/>
                <w:spacing w:val="-6"/>
                <w:kern w:val="21"/>
                <w:szCs w:val="21"/>
                <w:highlight w:val="none"/>
              </w:rPr>
              <w:fldChar w:fldCharType="end"/>
            </w:r>
          </w:p>
        </w:tc>
        <w:tc>
          <w:tcPr>
            <w:tcW w:w="1417" w:type="dxa"/>
            <w:noWrap w:val="0"/>
            <w:tcMar>
              <w:left w:w="28" w:type="dxa"/>
              <w:right w:w="28" w:type="dxa"/>
            </w:tcMar>
            <w:vAlign w:val="center"/>
          </w:tcPr>
          <w:p w14:paraId="7E5944E9">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14:paraId="1D501099">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szCs w:val="21"/>
                <w:highlight w:val="none"/>
              </w:rPr>
              <w:t>④</w:t>
            </w:r>
            <w:r>
              <w:rPr>
                <w:rFonts w:ascii="黑体" w:hAnsi="黑体" w:eastAsia="黑体"/>
                <w:snapToGrid w:val="0"/>
                <w:color w:val="auto"/>
                <w:spacing w:val="-6"/>
                <w:kern w:val="21"/>
                <w:szCs w:val="21"/>
                <w:highlight w:val="none"/>
              </w:rPr>
              <w:fldChar w:fldCharType="end"/>
            </w:r>
          </w:p>
        </w:tc>
        <w:tc>
          <w:tcPr>
            <w:tcW w:w="1133" w:type="dxa"/>
            <w:noWrap w:val="0"/>
            <w:tcMar>
              <w:left w:w="28" w:type="dxa"/>
              <w:right w:w="28" w:type="dxa"/>
            </w:tcMar>
            <w:vAlign w:val="center"/>
          </w:tcPr>
          <w:p w14:paraId="4656D3E1">
            <w:pPr>
              <w:spacing w:line="276" w:lineRule="auto"/>
              <w:jc w:val="center"/>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szCs w:val="21"/>
                <w:highlight w:val="none"/>
              </w:rPr>
              <w:t>⑤</w:t>
            </w:r>
            <w:r>
              <w:rPr>
                <w:rFonts w:ascii="黑体" w:hAnsi="黑体" w:eastAsia="黑体"/>
                <w:snapToGrid w:val="0"/>
                <w:color w:val="auto"/>
                <w:spacing w:val="-16"/>
                <w:kern w:val="21"/>
                <w:szCs w:val="21"/>
                <w:highlight w:val="none"/>
              </w:rPr>
              <w:fldChar w:fldCharType="end"/>
            </w:r>
          </w:p>
        </w:tc>
        <w:tc>
          <w:tcPr>
            <w:tcW w:w="1417" w:type="dxa"/>
            <w:noWrap w:val="0"/>
            <w:tcMar>
              <w:left w:w="28" w:type="dxa"/>
              <w:right w:w="28" w:type="dxa"/>
            </w:tcMar>
            <w:vAlign w:val="center"/>
          </w:tcPr>
          <w:p w14:paraId="750D4F10">
            <w:pPr>
              <w:spacing w:line="276" w:lineRule="auto"/>
              <w:jc w:val="center"/>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14:paraId="79756C8A">
            <w:pPr>
              <w:spacing w:line="276" w:lineRule="auto"/>
              <w:jc w:val="center"/>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szCs w:val="21"/>
                <w:highlight w:val="none"/>
              </w:rPr>
              <w:t>⑥</w:t>
            </w:r>
            <w:r>
              <w:rPr>
                <w:rFonts w:ascii="黑体" w:hAnsi="黑体" w:eastAsia="黑体"/>
                <w:snapToGrid w:val="0"/>
                <w:color w:val="auto"/>
                <w:spacing w:val="-16"/>
                <w:kern w:val="21"/>
                <w:szCs w:val="21"/>
                <w:highlight w:val="none"/>
              </w:rPr>
              <w:fldChar w:fldCharType="end"/>
            </w:r>
          </w:p>
        </w:tc>
        <w:tc>
          <w:tcPr>
            <w:tcW w:w="1218" w:type="dxa"/>
            <w:noWrap w:val="0"/>
            <w:tcMar>
              <w:left w:w="28" w:type="dxa"/>
              <w:right w:w="28" w:type="dxa"/>
            </w:tcMar>
            <w:vAlign w:val="center"/>
          </w:tcPr>
          <w:p w14:paraId="603B212D">
            <w:pPr>
              <w:spacing w:line="276"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szCs w:val="21"/>
                <w:highlight w:val="none"/>
              </w:rPr>
              <w:t>⑦</w:t>
            </w:r>
            <w:r>
              <w:rPr>
                <w:rFonts w:ascii="黑体" w:hAnsi="黑体" w:eastAsia="黑体"/>
                <w:snapToGrid w:val="0"/>
                <w:color w:val="auto"/>
                <w:spacing w:val="-6"/>
                <w:kern w:val="21"/>
                <w:szCs w:val="21"/>
                <w:highlight w:val="none"/>
              </w:rPr>
              <w:fldChar w:fldCharType="end"/>
            </w:r>
          </w:p>
        </w:tc>
      </w:tr>
      <w:tr w14:paraId="480A9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noWrap w:val="0"/>
            <w:vAlign w:val="center"/>
          </w:tcPr>
          <w:p w14:paraId="73ECCA82">
            <w:pPr>
              <w:spacing w:line="276" w:lineRule="auto"/>
              <w:jc w:val="center"/>
              <w:rPr>
                <w:rFonts w:ascii="宋体" w:hAnsi="宋体" w:cs="宋体"/>
                <w:snapToGrid w:val="0"/>
                <w:color w:val="auto"/>
                <w:kern w:val="21"/>
                <w:szCs w:val="21"/>
                <w:highlight w:val="none"/>
              </w:rPr>
            </w:pPr>
            <w:r>
              <w:rPr>
                <w:rFonts w:hint="eastAsia" w:ascii="宋体" w:hAnsi="宋体" w:cs="宋体"/>
                <w:snapToGrid w:val="0"/>
                <w:color w:val="auto"/>
                <w:kern w:val="21"/>
                <w:szCs w:val="21"/>
                <w:highlight w:val="none"/>
              </w:rPr>
              <w:t>废气</w:t>
            </w:r>
          </w:p>
        </w:tc>
        <w:tc>
          <w:tcPr>
            <w:tcW w:w="1080" w:type="dxa"/>
            <w:noWrap w:val="0"/>
            <w:vAlign w:val="center"/>
          </w:tcPr>
          <w:p w14:paraId="14A5699B">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有组织</w:t>
            </w:r>
          </w:p>
        </w:tc>
        <w:tc>
          <w:tcPr>
            <w:tcW w:w="1757" w:type="dxa"/>
            <w:noWrap w:val="0"/>
            <w:vAlign w:val="center"/>
          </w:tcPr>
          <w:p w14:paraId="76C3A58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非甲烷总烃</w:t>
            </w:r>
          </w:p>
        </w:tc>
        <w:tc>
          <w:tcPr>
            <w:tcW w:w="1417" w:type="dxa"/>
            <w:noWrap w:val="0"/>
            <w:vAlign w:val="center"/>
          </w:tcPr>
          <w:p w14:paraId="11933AC0">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04D21553">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2573D403">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62B7C2E1">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lang w:val="en-US" w:eastAsia="zh-CN"/>
              </w:rPr>
              <w:t>1.103</w:t>
            </w:r>
            <w:r>
              <w:rPr>
                <w:rFonts w:hint="eastAsia" w:ascii="Times New Roman" w:hAnsi="Times New Roman"/>
                <w:snapToGrid w:val="0"/>
                <w:color w:val="auto"/>
                <w:kern w:val="21"/>
                <w:szCs w:val="21"/>
                <w:highlight w:val="none"/>
              </w:rPr>
              <w:t>t/a</w:t>
            </w:r>
          </w:p>
        </w:tc>
        <w:tc>
          <w:tcPr>
            <w:tcW w:w="1133" w:type="dxa"/>
            <w:noWrap w:val="0"/>
            <w:vAlign w:val="center"/>
          </w:tcPr>
          <w:p w14:paraId="78C7B991">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139452F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lang w:eastAsia="zh-CN"/>
              </w:rPr>
              <w:t>1.103</w:t>
            </w:r>
            <w:r>
              <w:rPr>
                <w:rFonts w:hint="eastAsia" w:ascii="Times New Roman" w:hAnsi="Times New Roman"/>
                <w:snapToGrid w:val="0"/>
                <w:color w:val="auto"/>
                <w:kern w:val="21"/>
                <w:szCs w:val="21"/>
                <w:highlight w:val="none"/>
              </w:rPr>
              <w:t>t/a</w:t>
            </w:r>
          </w:p>
        </w:tc>
        <w:tc>
          <w:tcPr>
            <w:tcW w:w="1218" w:type="dxa"/>
            <w:noWrap w:val="0"/>
            <w:vAlign w:val="center"/>
          </w:tcPr>
          <w:p w14:paraId="228E3B03">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eastAsia" w:ascii="Times New Roman" w:hAnsi="Times New Roman"/>
                <w:snapToGrid w:val="0"/>
                <w:color w:val="auto"/>
                <w:kern w:val="21"/>
                <w:szCs w:val="21"/>
                <w:highlight w:val="none"/>
                <w:lang w:eastAsia="zh-CN"/>
              </w:rPr>
              <w:t>1.103</w:t>
            </w:r>
            <w:r>
              <w:rPr>
                <w:rFonts w:hint="eastAsia" w:ascii="Times New Roman" w:hAnsi="Times New Roman"/>
                <w:snapToGrid w:val="0"/>
                <w:color w:val="auto"/>
                <w:kern w:val="21"/>
                <w:szCs w:val="21"/>
                <w:highlight w:val="none"/>
              </w:rPr>
              <w:t>t/a</w:t>
            </w:r>
          </w:p>
        </w:tc>
      </w:tr>
      <w:tr w14:paraId="3C8B0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185D0330">
            <w:pPr>
              <w:spacing w:line="276" w:lineRule="auto"/>
              <w:ind w:firstLine="480"/>
              <w:jc w:val="center"/>
              <w:rPr>
                <w:rFonts w:ascii="宋体" w:hAnsi="宋体" w:cs="宋体"/>
                <w:snapToGrid w:val="0"/>
                <w:color w:val="auto"/>
                <w:kern w:val="21"/>
                <w:szCs w:val="21"/>
                <w:highlight w:val="none"/>
              </w:rPr>
            </w:pPr>
          </w:p>
        </w:tc>
        <w:tc>
          <w:tcPr>
            <w:tcW w:w="1080" w:type="dxa"/>
            <w:noWrap w:val="0"/>
            <w:vAlign w:val="center"/>
          </w:tcPr>
          <w:p w14:paraId="6E4010FE">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无组织</w:t>
            </w:r>
          </w:p>
        </w:tc>
        <w:tc>
          <w:tcPr>
            <w:tcW w:w="1757" w:type="dxa"/>
            <w:noWrap w:val="0"/>
            <w:vAlign w:val="center"/>
          </w:tcPr>
          <w:p w14:paraId="0AB08B1F">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非甲烷总烃</w:t>
            </w:r>
          </w:p>
        </w:tc>
        <w:tc>
          <w:tcPr>
            <w:tcW w:w="1417" w:type="dxa"/>
            <w:noWrap w:val="0"/>
            <w:vAlign w:val="center"/>
          </w:tcPr>
          <w:p w14:paraId="463A6563">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3407A4AA">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053446DE">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73BB14B6">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lang w:eastAsia="zh-CN"/>
              </w:rPr>
              <w:t>0.225</w:t>
            </w:r>
            <w:r>
              <w:rPr>
                <w:rFonts w:hint="eastAsia" w:ascii="Times New Roman" w:hAnsi="Times New Roman"/>
                <w:color w:val="auto"/>
                <w:szCs w:val="21"/>
                <w:highlight w:val="none"/>
              </w:rPr>
              <w:t>t/a</w:t>
            </w:r>
          </w:p>
        </w:tc>
        <w:tc>
          <w:tcPr>
            <w:tcW w:w="1133" w:type="dxa"/>
            <w:noWrap w:val="0"/>
            <w:vAlign w:val="center"/>
          </w:tcPr>
          <w:p w14:paraId="4A3DA76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3D6458D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lang w:eastAsia="zh-CN"/>
              </w:rPr>
              <w:t>0.225</w:t>
            </w:r>
            <w:r>
              <w:rPr>
                <w:rFonts w:hint="eastAsia" w:ascii="Times New Roman" w:hAnsi="Times New Roman"/>
                <w:color w:val="auto"/>
                <w:szCs w:val="21"/>
                <w:highlight w:val="none"/>
              </w:rPr>
              <w:t>t/a</w:t>
            </w:r>
          </w:p>
        </w:tc>
        <w:tc>
          <w:tcPr>
            <w:tcW w:w="1218" w:type="dxa"/>
            <w:noWrap w:val="0"/>
            <w:vAlign w:val="center"/>
          </w:tcPr>
          <w:p w14:paraId="46300AE8">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eastAsia" w:ascii="Times New Roman" w:hAnsi="Times New Roman"/>
                <w:snapToGrid w:val="0"/>
                <w:color w:val="auto"/>
                <w:kern w:val="21"/>
                <w:szCs w:val="21"/>
                <w:highlight w:val="none"/>
                <w:lang w:eastAsia="zh-CN"/>
              </w:rPr>
              <w:t>0.225</w:t>
            </w:r>
            <w:r>
              <w:rPr>
                <w:rFonts w:hint="eastAsia" w:ascii="Times New Roman" w:hAnsi="Times New Roman"/>
                <w:color w:val="auto"/>
                <w:szCs w:val="21"/>
                <w:highlight w:val="none"/>
              </w:rPr>
              <w:t>t/a</w:t>
            </w:r>
          </w:p>
        </w:tc>
      </w:tr>
      <w:tr w14:paraId="3F7DE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noWrap w:val="0"/>
            <w:vAlign w:val="center"/>
          </w:tcPr>
          <w:p w14:paraId="6F8393CA">
            <w:pPr>
              <w:spacing w:line="276" w:lineRule="auto"/>
              <w:jc w:val="center"/>
              <w:rPr>
                <w:rFonts w:ascii="宋体" w:hAnsi="宋体" w:cs="宋体"/>
                <w:snapToGrid w:val="0"/>
                <w:color w:val="auto"/>
                <w:kern w:val="21"/>
                <w:szCs w:val="21"/>
                <w:highlight w:val="none"/>
              </w:rPr>
            </w:pPr>
            <w:r>
              <w:rPr>
                <w:rFonts w:hint="eastAsia" w:ascii="宋体" w:hAnsi="宋体" w:cs="宋体"/>
                <w:snapToGrid w:val="0"/>
                <w:color w:val="auto"/>
                <w:kern w:val="21"/>
                <w:szCs w:val="21"/>
                <w:highlight w:val="none"/>
              </w:rPr>
              <w:t>废水</w:t>
            </w:r>
          </w:p>
        </w:tc>
        <w:tc>
          <w:tcPr>
            <w:tcW w:w="2837" w:type="dxa"/>
            <w:gridSpan w:val="2"/>
            <w:noWrap w:val="0"/>
            <w:vAlign w:val="center"/>
          </w:tcPr>
          <w:p w14:paraId="78FB9B3F">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COD</w:t>
            </w:r>
            <w:r>
              <w:rPr>
                <w:rFonts w:hint="eastAsia" w:ascii="Times New Roman" w:hAnsi="Times New Roman"/>
                <w:snapToGrid w:val="0"/>
                <w:color w:val="auto"/>
                <w:kern w:val="21"/>
                <w:szCs w:val="21"/>
                <w:highlight w:val="none"/>
                <w:vertAlign w:val="subscript"/>
              </w:rPr>
              <w:t>Cr</w:t>
            </w:r>
          </w:p>
        </w:tc>
        <w:tc>
          <w:tcPr>
            <w:tcW w:w="1417" w:type="dxa"/>
            <w:noWrap w:val="0"/>
            <w:vAlign w:val="center"/>
          </w:tcPr>
          <w:p w14:paraId="7C010646">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27FAD09F">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7C4B6154">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60BC2470">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32</w:t>
            </w:r>
            <w:r>
              <w:rPr>
                <w:rFonts w:hint="eastAsia" w:ascii="Times New Roman" w:hAnsi="Times New Roman"/>
                <w:color w:val="auto"/>
                <w:szCs w:val="21"/>
                <w:highlight w:val="none"/>
              </w:rPr>
              <w:t>t/a</w:t>
            </w:r>
          </w:p>
        </w:tc>
        <w:tc>
          <w:tcPr>
            <w:tcW w:w="1133" w:type="dxa"/>
            <w:noWrap w:val="0"/>
            <w:vAlign w:val="center"/>
          </w:tcPr>
          <w:p w14:paraId="0990723C">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5894163E">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32</w:t>
            </w:r>
            <w:r>
              <w:rPr>
                <w:rFonts w:hint="eastAsia" w:ascii="Times New Roman" w:hAnsi="Times New Roman"/>
                <w:color w:val="auto"/>
                <w:szCs w:val="21"/>
                <w:highlight w:val="none"/>
              </w:rPr>
              <w:t>t/a</w:t>
            </w:r>
          </w:p>
        </w:tc>
        <w:tc>
          <w:tcPr>
            <w:tcW w:w="1218" w:type="dxa"/>
            <w:noWrap w:val="0"/>
            <w:vAlign w:val="center"/>
          </w:tcPr>
          <w:p w14:paraId="05D69BCD">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32</w:t>
            </w:r>
            <w:r>
              <w:rPr>
                <w:rFonts w:hint="eastAsia" w:ascii="Times New Roman" w:hAnsi="Times New Roman"/>
                <w:color w:val="auto"/>
                <w:szCs w:val="21"/>
                <w:highlight w:val="none"/>
              </w:rPr>
              <w:t>t/a</w:t>
            </w:r>
          </w:p>
        </w:tc>
      </w:tr>
      <w:tr w14:paraId="190A2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248905E5">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1704BB81">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BOD</w:t>
            </w:r>
            <w:r>
              <w:rPr>
                <w:rFonts w:ascii="Times New Roman" w:hAnsi="Times New Roman"/>
                <w:snapToGrid w:val="0"/>
                <w:color w:val="auto"/>
                <w:kern w:val="21"/>
                <w:szCs w:val="21"/>
                <w:highlight w:val="none"/>
                <w:vertAlign w:val="subscript"/>
              </w:rPr>
              <w:t>5</w:t>
            </w:r>
          </w:p>
        </w:tc>
        <w:tc>
          <w:tcPr>
            <w:tcW w:w="1417" w:type="dxa"/>
            <w:noWrap w:val="0"/>
            <w:vAlign w:val="center"/>
          </w:tcPr>
          <w:p w14:paraId="011AD0DA">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44D79B96">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2CD96490">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5052B686">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color w:val="auto"/>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133" w:type="dxa"/>
            <w:noWrap w:val="0"/>
            <w:vAlign w:val="center"/>
          </w:tcPr>
          <w:p w14:paraId="70E4E1EA">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25EB7831">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color w:val="auto"/>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18" w:type="dxa"/>
            <w:noWrap w:val="0"/>
            <w:vAlign w:val="center"/>
          </w:tcPr>
          <w:p w14:paraId="06BF0BB3">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color w:val="auto"/>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31846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4DA1416D">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394B0D08">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SS</w:t>
            </w:r>
          </w:p>
        </w:tc>
        <w:tc>
          <w:tcPr>
            <w:tcW w:w="1417" w:type="dxa"/>
            <w:noWrap w:val="0"/>
            <w:vAlign w:val="center"/>
          </w:tcPr>
          <w:p w14:paraId="79E43F7A">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56B77E70">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4FFF382A">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3B57E4C3">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16</w:t>
            </w:r>
            <w:r>
              <w:rPr>
                <w:rFonts w:hint="eastAsia" w:ascii="Times New Roman" w:hAnsi="Times New Roman"/>
                <w:color w:val="auto"/>
                <w:szCs w:val="21"/>
                <w:highlight w:val="none"/>
              </w:rPr>
              <w:t>t/a</w:t>
            </w:r>
          </w:p>
        </w:tc>
        <w:tc>
          <w:tcPr>
            <w:tcW w:w="1133" w:type="dxa"/>
            <w:noWrap w:val="0"/>
            <w:vAlign w:val="center"/>
          </w:tcPr>
          <w:p w14:paraId="4D8A47B6">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1AE4DE13">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16</w:t>
            </w:r>
            <w:r>
              <w:rPr>
                <w:rFonts w:hint="eastAsia" w:ascii="Times New Roman" w:hAnsi="Times New Roman"/>
                <w:color w:val="auto"/>
                <w:szCs w:val="21"/>
                <w:highlight w:val="none"/>
              </w:rPr>
              <w:t>t/a</w:t>
            </w:r>
          </w:p>
        </w:tc>
        <w:tc>
          <w:tcPr>
            <w:tcW w:w="1218" w:type="dxa"/>
            <w:noWrap w:val="0"/>
            <w:vAlign w:val="center"/>
          </w:tcPr>
          <w:p w14:paraId="7A5A40C5">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16</w:t>
            </w:r>
            <w:r>
              <w:rPr>
                <w:rFonts w:hint="eastAsia" w:ascii="Times New Roman" w:hAnsi="Times New Roman"/>
                <w:color w:val="auto"/>
                <w:szCs w:val="21"/>
                <w:highlight w:val="none"/>
              </w:rPr>
              <w:t>t/a</w:t>
            </w:r>
          </w:p>
        </w:tc>
      </w:tr>
      <w:tr w14:paraId="6DE4C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19E6102D">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0BDFB169">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NH</w:t>
            </w:r>
            <w:r>
              <w:rPr>
                <w:rFonts w:ascii="Times New Roman" w:hAnsi="Times New Roman"/>
                <w:snapToGrid w:val="0"/>
                <w:color w:val="auto"/>
                <w:kern w:val="21"/>
                <w:szCs w:val="21"/>
                <w:highlight w:val="none"/>
                <w:vertAlign w:val="subscript"/>
              </w:rPr>
              <w:t>3</w:t>
            </w:r>
            <w:r>
              <w:rPr>
                <w:rFonts w:ascii="Times New Roman" w:hAnsi="Times New Roman"/>
                <w:snapToGrid w:val="0"/>
                <w:color w:val="auto"/>
                <w:kern w:val="21"/>
                <w:szCs w:val="21"/>
                <w:highlight w:val="none"/>
              </w:rPr>
              <w:t>-N</w:t>
            </w:r>
          </w:p>
        </w:tc>
        <w:tc>
          <w:tcPr>
            <w:tcW w:w="1417" w:type="dxa"/>
            <w:noWrap w:val="0"/>
            <w:vAlign w:val="center"/>
          </w:tcPr>
          <w:p w14:paraId="52DF059F">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44FFCDD2">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319BB67D">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63A0DD14">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color w:val="auto"/>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133" w:type="dxa"/>
            <w:noWrap w:val="0"/>
            <w:vAlign w:val="center"/>
          </w:tcPr>
          <w:p w14:paraId="5F3CC737">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05AD9BB9">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color w:val="auto"/>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218" w:type="dxa"/>
            <w:noWrap w:val="0"/>
            <w:vAlign w:val="center"/>
          </w:tcPr>
          <w:p w14:paraId="201A4E8C">
            <w:pPr>
              <w:keepNext w:val="0"/>
              <w:keepLines w:val="0"/>
              <w:widowControl/>
              <w:suppressLineNumbers w:val="0"/>
              <w:jc w:val="center"/>
              <w:textAlignment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color w:val="auto"/>
                <w:szCs w:val="21"/>
                <w:highlight w:val="none"/>
              </w:rPr>
              <w:t>t/a</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7AD6E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noWrap w:val="0"/>
            <w:vAlign w:val="center"/>
          </w:tcPr>
          <w:p w14:paraId="36F15464">
            <w:pPr>
              <w:spacing w:line="276" w:lineRule="auto"/>
              <w:jc w:val="center"/>
              <w:rPr>
                <w:rFonts w:ascii="宋体" w:hAnsi="宋体" w:cs="宋体"/>
                <w:snapToGrid w:val="0"/>
                <w:color w:val="auto"/>
                <w:kern w:val="21"/>
                <w:szCs w:val="21"/>
                <w:highlight w:val="none"/>
              </w:rPr>
            </w:pPr>
            <w:r>
              <w:rPr>
                <w:rFonts w:hint="eastAsia" w:ascii="宋体" w:hAnsi="宋体" w:cs="宋体"/>
                <w:snapToGrid w:val="0"/>
                <w:color w:val="auto"/>
                <w:kern w:val="21"/>
                <w:szCs w:val="21"/>
                <w:highlight w:val="none"/>
              </w:rPr>
              <w:t>一般工业固体废物</w:t>
            </w:r>
          </w:p>
        </w:tc>
        <w:tc>
          <w:tcPr>
            <w:tcW w:w="2837" w:type="dxa"/>
            <w:gridSpan w:val="2"/>
            <w:noWrap w:val="0"/>
            <w:vAlign w:val="center"/>
          </w:tcPr>
          <w:p w14:paraId="11BA9F76">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bCs/>
                <w:color w:val="auto"/>
                <w:sz w:val="21"/>
                <w:szCs w:val="21"/>
                <w:highlight w:val="none"/>
              </w:rPr>
              <w:t>不合格品</w:t>
            </w:r>
          </w:p>
        </w:tc>
        <w:tc>
          <w:tcPr>
            <w:tcW w:w="1417" w:type="dxa"/>
            <w:noWrap w:val="0"/>
            <w:vAlign w:val="center"/>
          </w:tcPr>
          <w:p w14:paraId="16FE6A6E">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739C51AD">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24AF8DA9">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46A14266">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5</w:t>
            </w:r>
            <w:r>
              <w:rPr>
                <w:rFonts w:hint="eastAsia" w:ascii="Times New Roman" w:hAnsi="Times New Roman"/>
                <w:snapToGrid w:val="0"/>
                <w:color w:val="auto"/>
                <w:kern w:val="21"/>
                <w:szCs w:val="21"/>
                <w:highlight w:val="none"/>
              </w:rPr>
              <w:t>t/a</w:t>
            </w:r>
          </w:p>
        </w:tc>
        <w:tc>
          <w:tcPr>
            <w:tcW w:w="1133" w:type="dxa"/>
            <w:noWrap w:val="0"/>
            <w:vAlign w:val="center"/>
          </w:tcPr>
          <w:p w14:paraId="558E1B92">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22AE38E7">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5</w:t>
            </w:r>
            <w:r>
              <w:rPr>
                <w:rFonts w:hint="eastAsia" w:ascii="Times New Roman" w:hAnsi="Times New Roman"/>
                <w:snapToGrid w:val="0"/>
                <w:color w:val="auto"/>
                <w:kern w:val="21"/>
                <w:szCs w:val="21"/>
                <w:highlight w:val="none"/>
              </w:rPr>
              <w:t>t/a</w:t>
            </w:r>
          </w:p>
        </w:tc>
        <w:tc>
          <w:tcPr>
            <w:tcW w:w="1218" w:type="dxa"/>
            <w:noWrap w:val="0"/>
            <w:vAlign w:val="center"/>
          </w:tcPr>
          <w:p w14:paraId="5F682BC7">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5</w:t>
            </w:r>
            <w:r>
              <w:rPr>
                <w:rFonts w:hint="eastAsia" w:ascii="Times New Roman" w:hAnsi="Times New Roman"/>
                <w:snapToGrid w:val="0"/>
                <w:color w:val="auto"/>
                <w:kern w:val="21"/>
                <w:szCs w:val="21"/>
                <w:highlight w:val="none"/>
              </w:rPr>
              <w:t>t/a</w:t>
            </w:r>
          </w:p>
        </w:tc>
      </w:tr>
      <w:tr w14:paraId="17A75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46" w:type="dxa"/>
            <w:vMerge w:val="continue"/>
            <w:noWrap w:val="0"/>
            <w:vAlign w:val="center"/>
          </w:tcPr>
          <w:p w14:paraId="6FE658FB">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1E19EFBB">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bCs/>
                <w:color w:val="auto"/>
                <w:sz w:val="21"/>
                <w:szCs w:val="21"/>
                <w:highlight w:val="none"/>
              </w:rPr>
              <w:t>废</w:t>
            </w:r>
            <w:r>
              <w:rPr>
                <w:rFonts w:hint="eastAsia" w:ascii="宋体" w:hAnsi="宋体" w:eastAsia="宋体" w:cs="宋体"/>
                <w:bCs/>
                <w:color w:val="auto"/>
                <w:sz w:val="21"/>
                <w:szCs w:val="21"/>
                <w:highlight w:val="none"/>
                <w:lang w:val="en-US" w:eastAsia="zh-CN"/>
              </w:rPr>
              <w:t>玻璃屑</w:t>
            </w:r>
          </w:p>
        </w:tc>
        <w:tc>
          <w:tcPr>
            <w:tcW w:w="1417" w:type="dxa"/>
            <w:noWrap w:val="0"/>
            <w:vAlign w:val="center"/>
          </w:tcPr>
          <w:p w14:paraId="6C640D0D">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2B2366BE">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15AA35D8">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039EA849">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30</w:t>
            </w:r>
            <w:r>
              <w:rPr>
                <w:rFonts w:hint="eastAsia" w:ascii="Times New Roman" w:hAnsi="Times New Roman"/>
                <w:snapToGrid w:val="0"/>
                <w:color w:val="auto"/>
                <w:kern w:val="21"/>
                <w:szCs w:val="21"/>
                <w:highlight w:val="none"/>
              </w:rPr>
              <w:t>t/a</w:t>
            </w:r>
          </w:p>
        </w:tc>
        <w:tc>
          <w:tcPr>
            <w:tcW w:w="1133" w:type="dxa"/>
            <w:noWrap w:val="0"/>
            <w:vAlign w:val="center"/>
          </w:tcPr>
          <w:p w14:paraId="483710DE">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08461686">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30</w:t>
            </w:r>
            <w:r>
              <w:rPr>
                <w:rFonts w:hint="eastAsia" w:ascii="Times New Roman" w:hAnsi="Times New Roman"/>
                <w:snapToGrid w:val="0"/>
                <w:color w:val="auto"/>
                <w:kern w:val="21"/>
                <w:szCs w:val="21"/>
                <w:highlight w:val="none"/>
              </w:rPr>
              <w:t>t/a</w:t>
            </w:r>
          </w:p>
        </w:tc>
        <w:tc>
          <w:tcPr>
            <w:tcW w:w="1218" w:type="dxa"/>
            <w:noWrap w:val="0"/>
            <w:vAlign w:val="center"/>
          </w:tcPr>
          <w:p w14:paraId="3FAD3B47">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30</w:t>
            </w:r>
            <w:r>
              <w:rPr>
                <w:rFonts w:hint="eastAsia" w:ascii="Times New Roman" w:hAnsi="Times New Roman"/>
                <w:snapToGrid w:val="0"/>
                <w:color w:val="auto"/>
                <w:kern w:val="21"/>
                <w:szCs w:val="21"/>
                <w:highlight w:val="none"/>
              </w:rPr>
              <w:t>t/a</w:t>
            </w:r>
          </w:p>
        </w:tc>
      </w:tr>
      <w:tr w14:paraId="0D41B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46" w:type="dxa"/>
            <w:vMerge w:val="continue"/>
            <w:noWrap w:val="0"/>
            <w:vAlign w:val="center"/>
          </w:tcPr>
          <w:p w14:paraId="4E10A764">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72027089">
            <w:pPr>
              <w:snapToGrid w:val="0"/>
              <w:spacing w:line="276" w:lineRule="auto"/>
              <w:jc w:val="center"/>
              <w:rPr>
                <w:rFonts w:hint="eastAsia" w:ascii="Times New Roman" w:hAnsi="Times New Roman"/>
                <w:snapToGrid w:val="0"/>
                <w:color w:val="auto"/>
                <w:kern w:val="21"/>
                <w:szCs w:val="21"/>
                <w:highlight w:val="none"/>
              </w:rPr>
            </w:pPr>
            <w:r>
              <w:rPr>
                <w:rFonts w:hint="eastAsia" w:ascii="宋体" w:hAnsi="宋体" w:eastAsia="宋体" w:cs="宋体"/>
                <w:bCs/>
                <w:color w:val="auto"/>
                <w:sz w:val="21"/>
                <w:szCs w:val="21"/>
                <w:highlight w:val="none"/>
                <w:lang w:val="en-US" w:eastAsia="zh-CN"/>
              </w:rPr>
              <w:t>废包装材料</w:t>
            </w:r>
          </w:p>
        </w:tc>
        <w:tc>
          <w:tcPr>
            <w:tcW w:w="1417" w:type="dxa"/>
            <w:noWrap w:val="0"/>
            <w:vAlign w:val="center"/>
          </w:tcPr>
          <w:p w14:paraId="5F45DABD">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3E42A8E1">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18E3DE73">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58320940">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kern w:val="0"/>
                <w:szCs w:val="21"/>
                <w:highlight w:val="none"/>
              </w:rPr>
              <w:t>5</w:t>
            </w:r>
            <w:r>
              <w:rPr>
                <w:rFonts w:hint="eastAsia" w:ascii="Times New Roman" w:hAnsi="Times New Roman"/>
                <w:snapToGrid w:val="0"/>
                <w:color w:val="auto"/>
                <w:kern w:val="21"/>
                <w:szCs w:val="21"/>
                <w:highlight w:val="none"/>
              </w:rPr>
              <w:t>t/a</w:t>
            </w:r>
          </w:p>
        </w:tc>
        <w:tc>
          <w:tcPr>
            <w:tcW w:w="1133" w:type="dxa"/>
            <w:noWrap w:val="0"/>
            <w:vAlign w:val="center"/>
          </w:tcPr>
          <w:p w14:paraId="49EFFAA2">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07C1CCE8">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kern w:val="0"/>
                <w:szCs w:val="21"/>
                <w:highlight w:val="none"/>
              </w:rPr>
              <w:t>5</w:t>
            </w:r>
            <w:r>
              <w:rPr>
                <w:rFonts w:hint="eastAsia" w:ascii="Times New Roman" w:hAnsi="Times New Roman"/>
                <w:snapToGrid w:val="0"/>
                <w:color w:val="auto"/>
                <w:kern w:val="21"/>
                <w:szCs w:val="21"/>
                <w:highlight w:val="none"/>
              </w:rPr>
              <w:t>t/a</w:t>
            </w:r>
          </w:p>
        </w:tc>
        <w:tc>
          <w:tcPr>
            <w:tcW w:w="1218" w:type="dxa"/>
            <w:noWrap w:val="0"/>
            <w:vAlign w:val="center"/>
          </w:tcPr>
          <w:p w14:paraId="5BF81A27">
            <w:pPr>
              <w:snapToGrid w:val="0"/>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kern w:val="0"/>
                <w:szCs w:val="21"/>
                <w:highlight w:val="none"/>
              </w:rPr>
              <w:t>5</w:t>
            </w:r>
            <w:r>
              <w:rPr>
                <w:rFonts w:hint="eastAsia" w:ascii="Times New Roman" w:hAnsi="Times New Roman"/>
                <w:snapToGrid w:val="0"/>
                <w:color w:val="auto"/>
                <w:kern w:val="21"/>
                <w:szCs w:val="21"/>
                <w:highlight w:val="none"/>
              </w:rPr>
              <w:t>t/a</w:t>
            </w:r>
          </w:p>
        </w:tc>
      </w:tr>
      <w:tr w14:paraId="3ED13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46" w:type="dxa"/>
            <w:vMerge w:val="continue"/>
            <w:noWrap w:val="0"/>
            <w:vAlign w:val="center"/>
          </w:tcPr>
          <w:p w14:paraId="2DEC45D1">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2E92C5EC">
            <w:pPr>
              <w:snapToGrid w:val="0"/>
              <w:spacing w:line="276" w:lineRule="auto"/>
              <w:jc w:val="center"/>
              <w:rPr>
                <w:rFonts w:hint="eastAsia" w:ascii="Times New Roman" w:hAnsi="Times New Roman"/>
                <w:snapToGrid w:val="0"/>
                <w:color w:val="auto"/>
                <w:kern w:val="21"/>
                <w:szCs w:val="21"/>
                <w:highlight w:val="none"/>
              </w:rPr>
            </w:pPr>
            <w:r>
              <w:rPr>
                <w:rFonts w:hint="eastAsia" w:ascii="宋体" w:hAnsi="宋体" w:eastAsia="宋体" w:cs="宋体"/>
                <w:bCs/>
                <w:color w:val="auto"/>
                <w:sz w:val="21"/>
                <w:szCs w:val="21"/>
                <w:highlight w:val="none"/>
                <w:lang w:val="en-US" w:eastAsia="zh-CN"/>
              </w:rPr>
              <w:t>废耗材</w:t>
            </w:r>
          </w:p>
        </w:tc>
        <w:tc>
          <w:tcPr>
            <w:tcW w:w="1417" w:type="dxa"/>
            <w:noWrap w:val="0"/>
            <w:vAlign w:val="center"/>
          </w:tcPr>
          <w:p w14:paraId="15577BCF">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55D6225D">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701E33E3">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5A0CA90F">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kern w:val="0"/>
                <w:szCs w:val="21"/>
                <w:highlight w:val="none"/>
                <w:lang w:val="en-US" w:eastAsia="zh-CN"/>
              </w:rPr>
              <w:t>0.01</w:t>
            </w:r>
            <w:r>
              <w:rPr>
                <w:rFonts w:hint="eastAsia" w:ascii="Times New Roman" w:hAnsi="Times New Roman"/>
                <w:snapToGrid w:val="0"/>
                <w:color w:val="auto"/>
                <w:kern w:val="21"/>
                <w:szCs w:val="21"/>
                <w:highlight w:val="none"/>
              </w:rPr>
              <w:t>t/a</w:t>
            </w:r>
          </w:p>
        </w:tc>
        <w:tc>
          <w:tcPr>
            <w:tcW w:w="1133" w:type="dxa"/>
            <w:noWrap w:val="0"/>
            <w:vAlign w:val="center"/>
          </w:tcPr>
          <w:p w14:paraId="2D2CE0D4">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6DB88D10">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kern w:val="0"/>
                <w:szCs w:val="21"/>
                <w:highlight w:val="none"/>
                <w:lang w:val="en-US" w:eastAsia="zh-CN"/>
              </w:rPr>
              <w:t>0.01</w:t>
            </w:r>
            <w:r>
              <w:rPr>
                <w:rFonts w:hint="eastAsia" w:ascii="Times New Roman" w:hAnsi="Times New Roman"/>
                <w:snapToGrid w:val="0"/>
                <w:color w:val="auto"/>
                <w:kern w:val="21"/>
                <w:szCs w:val="21"/>
                <w:highlight w:val="none"/>
              </w:rPr>
              <w:t>t/a</w:t>
            </w:r>
          </w:p>
        </w:tc>
        <w:tc>
          <w:tcPr>
            <w:tcW w:w="1218" w:type="dxa"/>
            <w:noWrap w:val="0"/>
            <w:vAlign w:val="center"/>
          </w:tcPr>
          <w:p w14:paraId="30628833">
            <w:pPr>
              <w:snapToGrid w:val="0"/>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kern w:val="0"/>
                <w:szCs w:val="21"/>
                <w:highlight w:val="none"/>
                <w:lang w:val="en-US" w:eastAsia="zh-CN"/>
              </w:rPr>
              <w:t>0.01</w:t>
            </w:r>
            <w:r>
              <w:rPr>
                <w:rFonts w:hint="eastAsia" w:ascii="Times New Roman" w:hAnsi="Times New Roman"/>
                <w:snapToGrid w:val="0"/>
                <w:color w:val="auto"/>
                <w:kern w:val="21"/>
                <w:szCs w:val="21"/>
                <w:highlight w:val="none"/>
              </w:rPr>
              <w:t>t/a</w:t>
            </w:r>
          </w:p>
        </w:tc>
      </w:tr>
      <w:tr w14:paraId="5A8B7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72BF94A5">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425D5522">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color w:val="auto"/>
                <w:sz w:val="21"/>
                <w:szCs w:val="21"/>
                <w:highlight w:val="none"/>
                <w:lang w:val="en-US" w:eastAsia="zh-CN"/>
              </w:rPr>
              <w:t>污泥</w:t>
            </w:r>
          </w:p>
        </w:tc>
        <w:tc>
          <w:tcPr>
            <w:tcW w:w="1417" w:type="dxa"/>
            <w:noWrap w:val="0"/>
            <w:vAlign w:val="center"/>
          </w:tcPr>
          <w:p w14:paraId="7E05625F">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32F39E23">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313B51F4">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11C7FF44">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cs="Times New Roman"/>
                <w:color w:val="auto"/>
                <w:szCs w:val="21"/>
                <w:highlight w:val="none"/>
                <w:lang w:val="en-US" w:eastAsia="zh-CN"/>
              </w:rPr>
              <w:t>260.3</w:t>
            </w:r>
            <w:r>
              <w:rPr>
                <w:rFonts w:hint="eastAsia" w:ascii="Times New Roman" w:hAnsi="Times New Roman"/>
                <w:snapToGrid w:val="0"/>
                <w:color w:val="auto"/>
                <w:kern w:val="21"/>
                <w:szCs w:val="21"/>
                <w:highlight w:val="none"/>
              </w:rPr>
              <w:t>t/a</w:t>
            </w:r>
          </w:p>
        </w:tc>
        <w:tc>
          <w:tcPr>
            <w:tcW w:w="1133" w:type="dxa"/>
            <w:noWrap w:val="0"/>
            <w:vAlign w:val="center"/>
          </w:tcPr>
          <w:p w14:paraId="2198AC30">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513C148B">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cs="Times New Roman"/>
                <w:color w:val="auto"/>
                <w:szCs w:val="21"/>
                <w:highlight w:val="none"/>
                <w:lang w:val="en-US" w:eastAsia="zh-CN"/>
              </w:rPr>
              <w:t>260.3</w:t>
            </w:r>
            <w:r>
              <w:rPr>
                <w:rFonts w:hint="eastAsia" w:ascii="Times New Roman" w:hAnsi="Times New Roman"/>
                <w:snapToGrid w:val="0"/>
                <w:color w:val="auto"/>
                <w:kern w:val="21"/>
                <w:szCs w:val="21"/>
                <w:highlight w:val="none"/>
              </w:rPr>
              <w:t>t/a</w:t>
            </w:r>
          </w:p>
        </w:tc>
        <w:tc>
          <w:tcPr>
            <w:tcW w:w="1218" w:type="dxa"/>
            <w:noWrap w:val="0"/>
            <w:vAlign w:val="center"/>
          </w:tcPr>
          <w:p w14:paraId="2B95B8A9">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eastAsia" w:ascii="Times New Roman" w:hAnsi="Times New Roman" w:cs="Times New Roman"/>
                <w:color w:val="auto"/>
                <w:szCs w:val="21"/>
                <w:highlight w:val="none"/>
                <w:lang w:val="en-US" w:eastAsia="zh-CN"/>
              </w:rPr>
              <w:t>260.3</w:t>
            </w:r>
            <w:r>
              <w:rPr>
                <w:rFonts w:hint="eastAsia" w:ascii="Times New Roman" w:hAnsi="Times New Roman"/>
                <w:snapToGrid w:val="0"/>
                <w:color w:val="auto"/>
                <w:kern w:val="21"/>
                <w:szCs w:val="21"/>
                <w:highlight w:val="none"/>
              </w:rPr>
              <w:t>t/a</w:t>
            </w:r>
          </w:p>
        </w:tc>
      </w:tr>
      <w:tr w14:paraId="1F781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noWrap w:val="0"/>
            <w:vAlign w:val="center"/>
          </w:tcPr>
          <w:p w14:paraId="6B8C95C2">
            <w:pPr>
              <w:spacing w:line="276" w:lineRule="auto"/>
              <w:jc w:val="center"/>
              <w:rPr>
                <w:rFonts w:ascii="宋体" w:hAnsi="宋体" w:cs="宋体"/>
                <w:snapToGrid w:val="0"/>
                <w:color w:val="auto"/>
                <w:kern w:val="21"/>
                <w:szCs w:val="21"/>
                <w:highlight w:val="none"/>
              </w:rPr>
            </w:pPr>
            <w:r>
              <w:rPr>
                <w:rFonts w:hint="eastAsia" w:ascii="宋体" w:hAnsi="宋体" w:cs="宋体"/>
                <w:snapToGrid w:val="0"/>
                <w:color w:val="auto"/>
                <w:kern w:val="21"/>
                <w:szCs w:val="21"/>
                <w:highlight w:val="none"/>
              </w:rPr>
              <w:t>危险废物</w:t>
            </w:r>
          </w:p>
        </w:tc>
        <w:tc>
          <w:tcPr>
            <w:tcW w:w="2837" w:type="dxa"/>
            <w:gridSpan w:val="2"/>
            <w:noWrap w:val="0"/>
            <w:vAlign w:val="center"/>
          </w:tcPr>
          <w:p w14:paraId="471E41C1">
            <w:pPr>
              <w:snapToGrid w:val="0"/>
              <w:spacing w:line="276" w:lineRule="auto"/>
              <w:jc w:val="center"/>
              <w:rPr>
                <w:rFonts w:hint="eastAsia" w:ascii="Times New Roman" w:hAnsi="Times New Roman" w:eastAsia="宋体"/>
                <w:snapToGrid w:val="0"/>
                <w:color w:val="auto"/>
                <w:kern w:val="21"/>
                <w:szCs w:val="21"/>
                <w:highlight w:val="none"/>
                <w:lang w:eastAsia="zh-CN"/>
              </w:rPr>
            </w:pPr>
            <w:r>
              <w:rPr>
                <w:rFonts w:hint="eastAsia" w:ascii="宋体" w:hAnsi="宋体" w:eastAsia="宋体" w:cs="宋体"/>
                <w:color w:val="auto"/>
                <w:sz w:val="21"/>
                <w:szCs w:val="21"/>
                <w:highlight w:val="none"/>
              </w:rPr>
              <w:t>废</w:t>
            </w:r>
            <w:r>
              <w:rPr>
                <w:rFonts w:hint="eastAsia" w:ascii="宋体" w:hAnsi="宋体" w:eastAsia="宋体" w:cs="宋体"/>
                <w:color w:val="auto"/>
                <w:sz w:val="21"/>
                <w:szCs w:val="21"/>
                <w:highlight w:val="none"/>
                <w:lang w:eastAsia="zh-CN"/>
              </w:rPr>
              <w:t>润滑油</w:t>
            </w:r>
          </w:p>
        </w:tc>
        <w:tc>
          <w:tcPr>
            <w:tcW w:w="1417" w:type="dxa"/>
            <w:noWrap w:val="0"/>
            <w:vAlign w:val="center"/>
          </w:tcPr>
          <w:p w14:paraId="16B7BBD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5B4164C4">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7A923D07">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608A93A0">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0.1</w:t>
            </w:r>
            <w:r>
              <w:rPr>
                <w:rFonts w:hint="eastAsia" w:ascii="Times New Roman" w:hAnsi="Times New Roman"/>
                <w:snapToGrid w:val="0"/>
                <w:color w:val="auto"/>
                <w:kern w:val="21"/>
                <w:szCs w:val="21"/>
                <w:highlight w:val="none"/>
              </w:rPr>
              <w:t>t/a</w:t>
            </w:r>
          </w:p>
        </w:tc>
        <w:tc>
          <w:tcPr>
            <w:tcW w:w="1133" w:type="dxa"/>
            <w:noWrap w:val="0"/>
            <w:vAlign w:val="center"/>
          </w:tcPr>
          <w:p w14:paraId="10034AED">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33A5AC78">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0.1</w:t>
            </w:r>
            <w:r>
              <w:rPr>
                <w:rFonts w:hint="eastAsia" w:ascii="Times New Roman" w:hAnsi="Times New Roman"/>
                <w:snapToGrid w:val="0"/>
                <w:color w:val="auto"/>
                <w:kern w:val="21"/>
                <w:szCs w:val="21"/>
                <w:highlight w:val="none"/>
              </w:rPr>
              <w:t>t/a</w:t>
            </w:r>
          </w:p>
        </w:tc>
        <w:tc>
          <w:tcPr>
            <w:tcW w:w="1218" w:type="dxa"/>
            <w:noWrap w:val="0"/>
            <w:vAlign w:val="center"/>
          </w:tcPr>
          <w:p w14:paraId="55C11093">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0.1</w:t>
            </w:r>
            <w:r>
              <w:rPr>
                <w:rFonts w:hint="eastAsia" w:ascii="Times New Roman" w:hAnsi="Times New Roman"/>
                <w:snapToGrid w:val="0"/>
                <w:color w:val="auto"/>
                <w:kern w:val="21"/>
                <w:szCs w:val="21"/>
                <w:highlight w:val="none"/>
              </w:rPr>
              <w:t>t/a</w:t>
            </w:r>
          </w:p>
        </w:tc>
      </w:tr>
      <w:tr w14:paraId="6F04C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46" w:type="dxa"/>
            <w:vMerge w:val="continue"/>
            <w:noWrap w:val="0"/>
            <w:vAlign w:val="center"/>
          </w:tcPr>
          <w:p w14:paraId="1DBDB1A9">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3762F084">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color w:val="auto"/>
                <w:sz w:val="21"/>
                <w:szCs w:val="21"/>
                <w:highlight w:val="none"/>
              </w:rPr>
              <w:t>废</w:t>
            </w:r>
            <w:r>
              <w:rPr>
                <w:rFonts w:hint="eastAsia" w:ascii="宋体" w:hAnsi="宋体" w:eastAsia="宋体" w:cs="宋体"/>
                <w:color w:val="auto"/>
                <w:sz w:val="21"/>
                <w:szCs w:val="21"/>
                <w:highlight w:val="none"/>
                <w:lang w:eastAsia="zh-CN"/>
              </w:rPr>
              <w:t>润滑油</w:t>
            </w:r>
            <w:r>
              <w:rPr>
                <w:rFonts w:hint="eastAsia" w:ascii="宋体" w:hAnsi="宋体" w:eastAsia="宋体" w:cs="宋体"/>
                <w:color w:val="auto"/>
                <w:sz w:val="21"/>
                <w:szCs w:val="21"/>
                <w:highlight w:val="none"/>
              </w:rPr>
              <w:t>桶</w:t>
            </w:r>
          </w:p>
        </w:tc>
        <w:tc>
          <w:tcPr>
            <w:tcW w:w="1417" w:type="dxa"/>
            <w:noWrap w:val="0"/>
            <w:vAlign w:val="center"/>
          </w:tcPr>
          <w:p w14:paraId="20511714">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002BE02E">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38CB867F">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71934A70">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0.02</w:t>
            </w:r>
            <w:r>
              <w:rPr>
                <w:rFonts w:hint="eastAsia" w:ascii="Times New Roman" w:hAnsi="Times New Roman"/>
                <w:snapToGrid w:val="0"/>
                <w:color w:val="auto"/>
                <w:kern w:val="21"/>
                <w:szCs w:val="21"/>
                <w:highlight w:val="none"/>
              </w:rPr>
              <w:t>t/a</w:t>
            </w:r>
          </w:p>
        </w:tc>
        <w:tc>
          <w:tcPr>
            <w:tcW w:w="1133" w:type="dxa"/>
            <w:noWrap w:val="0"/>
            <w:vAlign w:val="center"/>
          </w:tcPr>
          <w:p w14:paraId="2D210A3C">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5A8FA07F">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0.02</w:t>
            </w:r>
            <w:r>
              <w:rPr>
                <w:rFonts w:hint="eastAsia" w:ascii="Times New Roman" w:hAnsi="Times New Roman"/>
                <w:snapToGrid w:val="0"/>
                <w:color w:val="auto"/>
                <w:kern w:val="21"/>
                <w:szCs w:val="21"/>
                <w:highlight w:val="none"/>
              </w:rPr>
              <w:t>t/a</w:t>
            </w:r>
          </w:p>
        </w:tc>
        <w:tc>
          <w:tcPr>
            <w:tcW w:w="1218" w:type="dxa"/>
            <w:noWrap w:val="0"/>
            <w:vAlign w:val="center"/>
          </w:tcPr>
          <w:p w14:paraId="1F953ACB">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0.02</w:t>
            </w:r>
            <w:r>
              <w:rPr>
                <w:rFonts w:hint="eastAsia" w:ascii="Times New Roman" w:hAnsi="Times New Roman"/>
                <w:snapToGrid w:val="0"/>
                <w:color w:val="auto"/>
                <w:kern w:val="21"/>
                <w:szCs w:val="21"/>
                <w:highlight w:val="none"/>
              </w:rPr>
              <w:t>t/a</w:t>
            </w:r>
          </w:p>
        </w:tc>
      </w:tr>
      <w:tr w14:paraId="7B1F6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3E2C06A4">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7CC2E5ED">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color w:val="auto"/>
                <w:sz w:val="21"/>
                <w:szCs w:val="21"/>
                <w:highlight w:val="none"/>
              </w:rPr>
              <w:t>含润滑油抹布</w:t>
            </w:r>
          </w:p>
        </w:tc>
        <w:tc>
          <w:tcPr>
            <w:tcW w:w="1417" w:type="dxa"/>
            <w:noWrap w:val="0"/>
            <w:vAlign w:val="center"/>
          </w:tcPr>
          <w:p w14:paraId="5D7B660E">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33492BFB">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491C123E">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767FC775">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0.05</w:t>
            </w:r>
            <w:r>
              <w:rPr>
                <w:rFonts w:hint="eastAsia" w:ascii="Times New Roman" w:hAnsi="Times New Roman"/>
                <w:snapToGrid w:val="0"/>
                <w:color w:val="auto"/>
                <w:kern w:val="21"/>
                <w:szCs w:val="21"/>
                <w:highlight w:val="none"/>
              </w:rPr>
              <w:t>t/a</w:t>
            </w:r>
          </w:p>
        </w:tc>
        <w:tc>
          <w:tcPr>
            <w:tcW w:w="1133" w:type="dxa"/>
            <w:noWrap w:val="0"/>
            <w:vAlign w:val="center"/>
          </w:tcPr>
          <w:p w14:paraId="375BF23B">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3A5EDF4E">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0.05</w:t>
            </w:r>
            <w:r>
              <w:rPr>
                <w:rFonts w:hint="eastAsia" w:ascii="Times New Roman" w:hAnsi="Times New Roman"/>
                <w:snapToGrid w:val="0"/>
                <w:color w:val="auto"/>
                <w:kern w:val="21"/>
                <w:szCs w:val="21"/>
                <w:highlight w:val="none"/>
              </w:rPr>
              <w:t>t/a</w:t>
            </w:r>
          </w:p>
        </w:tc>
        <w:tc>
          <w:tcPr>
            <w:tcW w:w="1218" w:type="dxa"/>
            <w:noWrap w:val="0"/>
            <w:vAlign w:val="center"/>
          </w:tcPr>
          <w:p w14:paraId="150C353A">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0.05</w:t>
            </w:r>
            <w:r>
              <w:rPr>
                <w:rFonts w:hint="eastAsia" w:ascii="Times New Roman" w:hAnsi="Times New Roman"/>
                <w:snapToGrid w:val="0"/>
                <w:color w:val="auto"/>
                <w:kern w:val="21"/>
                <w:szCs w:val="21"/>
                <w:highlight w:val="none"/>
              </w:rPr>
              <w:t>t/a</w:t>
            </w:r>
          </w:p>
        </w:tc>
      </w:tr>
      <w:tr w14:paraId="405B1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0584197D">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22FD9578">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bCs/>
                <w:color w:val="auto"/>
                <w:sz w:val="21"/>
                <w:szCs w:val="21"/>
                <w:highlight w:val="none"/>
              </w:rPr>
              <w:t>废</w:t>
            </w:r>
            <w:r>
              <w:rPr>
                <w:rFonts w:hint="eastAsia" w:ascii="宋体" w:hAnsi="宋体" w:eastAsia="宋体" w:cs="宋体"/>
                <w:bCs/>
                <w:color w:val="auto"/>
                <w:sz w:val="21"/>
                <w:szCs w:val="21"/>
                <w:highlight w:val="none"/>
                <w:lang w:eastAsia="zh-CN"/>
              </w:rPr>
              <w:t>高反射膜材料</w:t>
            </w:r>
            <w:r>
              <w:rPr>
                <w:rFonts w:hint="eastAsia" w:ascii="宋体" w:hAnsi="宋体" w:eastAsia="宋体" w:cs="宋体"/>
                <w:bCs/>
                <w:color w:val="auto"/>
                <w:sz w:val="21"/>
                <w:szCs w:val="21"/>
                <w:highlight w:val="none"/>
              </w:rPr>
              <w:t>桶</w:t>
            </w:r>
          </w:p>
        </w:tc>
        <w:tc>
          <w:tcPr>
            <w:tcW w:w="1417" w:type="dxa"/>
            <w:noWrap w:val="0"/>
            <w:vAlign w:val="center"/>
          </w:tcPr>
          <w:p w14:paraId="1BD68862">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539C5BF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70613FCF">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51FD2336">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2.5</w:t>
            </w:r>
            <w:r>
              <w:rPr>
                <w:rFonts w:hint="eastAsia" w:ascii="Times New Roman" w:hAnsi="Times New Roman"/>
                <w:snapToGrid w:val="0"/>
                <w:color w:val="auto"/>
                <w:kern w:val="21"/>
                <w:szCs w:val="21"/>
                <w:highlight w:val="none"/>
              </w:rPr>
              <w:t>t/a</w:t>
            </w:r>
          </w:p>
        </w:tc>
        <w:tc>
          <w:tcPr>
            <w:tcW w:w="1133" w:type="dxa"/>
            <w:noWrap w:val="0"/>
            <w:vAlign w:val="center"/>
          </w:tcPr>
          <w:p w14:paraId="0C435168">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64905662">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2.5</w:t>
            </w:r>
            <w:r>
              <w:rPr>
                <w:rFonts w:hint="eastAsia" w:ascii="Times New Roman" w:hAnsi="Times New Roman"/>
                <w:snapToGrid w:val="0"/>
                <w:color w:val="auto"/>
                <w:kern w:val="21"/>
                <w:szCs w:val="21"/>
                <w:highlight w:val="none"/>
              </w:rPr>
              <w:t>t/a</w:t>
            </w:r>
          </w:p>
        </w:tc>
        <w:tc>
          <w:tcPr>
            <w:tcW w:w="1218" w:type="dxa"/>
            <w:noWrap w:val="0"/>
            <w:vAlign w:val="center"/>
          </w:tcPr>
          <w:p w14:paraId="03D98B24">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2.5</w:t>
            </w:r>
            <w:r>
              <w:rPr>
                <w:rFonts w:hint="eastAsia" w:ascii="Times New Roman" w:hAnsi="Times New Roman"/>
                <w:snapToGrid w:val="0"/>
                <w:color w:val="auto"/>
                <w:kern w:val="21"/>
                <w:szCs w:val="21"/>
                <w:highlight w:val="none"/>
              </w:rPr>
              <w:t>t/a</w:t>
            </w:r>
          </w:p>
        </w:tc>
      </w:tr>
      <w:tr w14:paraId="6D759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16F7C11A">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6FA61158">
            <w:pPr>
              <w:snapToGrid w:val="0"/>
              <w:spacing w:line="276" w:lineRule="auto"/>
              <w:jc w:val="center"/>
              <w:rPr>
                <w:rFonts w:hint="eastAsia" w:ascii="Times New Roman" w:hAnsi="Times New Roman"/>
                <w:snapToGrid w:val="0"/>
                <w:color w:val="auto"/>
                <w:kern w:val="21"/>
                <w:szCs w:val="21"/>
                <w:highlight w:val="none"/>
              </w:rPr>
            </w:pPr>
            <w:r>
              <w:rPr>
                <w:rFonts w:hint="eastAsia" w:ascii="宋体" w:hAnsi="宋体" w:eastAsia="宋体" w:cs="宋体"/>
                <w:color w:val="auto"/>
                <w:spacing w:val="-2"/>
                <w:sz w:val="21"/>
                <w:szCs w:val="21"/>
                <w:highlight w:val="none"/>
              </w:rPr>
              <w:t>含</w:t>
            </w:r>
            <w:r>
              <w:rPr>
                <w:rFonts w:hint="eastAsia" w:ascii="宋体" w:hAnsi="宋体" w:eastAsia="宋体" w:cs="宋体"/>
                <w:color w:val="auto"/>
                <w:spacing w:val="-2"/>
                <w:sz w:val="21"/>
                <w:szCs w:val="21"/>
                <w:highlight w:val="none"/>
                <w:lang w:eastAsia="zh-CN"/>
              </w:rPr>
              <w:t>高反射膜材料</w:t>
            </w:r>
            <w:r>
              <w:rPr>
                <w:rFonts w:hint="eastAsia" w:ascii="宋体" w:hAnsi="宋体" w:eastAsia="宋体" w:cs="宋体"/>
                <w:color w:val="auto"/>
                <w:spacing w:val="-2"/>
                <w:sz w:val="21"/>
                <w:szCs w:val="21"/>
                <w:highlight w:val="none"/>
              </w:rPr>
              <w:t>抹布</w:t>
            </w:r>
          </w:p>
        </w:tc>
        <w:tc>
          <w:tcPr>
            <w:tcW w:w="1417" w:type="dxa"/>
            <w:noWrap w:val="0"/>
            <w:vAlign w:val="center"/>
          </w:tcPr>
          <w:p w14:paraId="36F1CF29">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0EC09E58">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2E4E6F8B">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047CA0CD">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1</w:t>
            </w:r>
            <w:r>
              <w:rPr>
                <w:rFonts w:hint="eastAsia" w:ascii="Times New Roman" w:hAnsi="Times New Roman"/>
                <w:snapToGrid w:val="0"/>
                <w:color w:val="auto"/>
                <w:kern w:val="21"/>
                <w:szCs w:val="21"/>
                <w:highlight w:val="none"/>
              </w:rPr>
              <w:t>t/a</w:t>
            </w:r>
          </w:p>
        </w:tc>
        <w:tc>
          <w:tcPr>
            <w:tcW w:w="1133" w:type="dxa"/>
            <w:noWrap w:val="0"/>
            <w:vAlign w:val="center"/>
          </w:tcPr>
          <w:p w14:paraId="02F556E4">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6BA07258">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1</w:t>
            </w:r>
            <w:r>
              <w:rPr>
                <w:rFonts w:hint="eastAsia" w:ascii="Times New Roman" w:hAnsi="Times New Roman"/>
                <w:snapToGrid w:val="0"/>
                <w:color w:val="auto"/>
                <w:kern w:val="21"/>
                <w:szCs w:val="21"/>
                <w:highlight w:val="none"/>
              </w:rPr>
              <w:t>t/a</w:t>
            </w:r>
          </w:p>
        </w:tc>
        <w:tc>
          <w:tcPr>
            <w:tcW w:w="1218" w:type="dxa"/>
            <w:noWrap w:val="0"/>
            <w:vAlign w:val="center"/>
          </w:tcPr>
          <w:p w14:paraId="51D4DE6A">
            <w:pPr>
              <w:snapToGrid w:val="0"/>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1</w:t>
            </w:r>
            <w:r>
              <w:rPr>
                <w:rFonts w:hint="eastAsia" w:ascii="Times New Roman" w:hAnsi="Times New Roman"/>
                <w:snapToGrid w:val="0"/>
                <w:color w:val="auto"/>
                <w:kern w:val="21"/>
                <w:szCs w:val="21"/>
                <w:highlight w:val="none"/>
              </w:rPr>
              <w:t>t/a</w:t>
            </w:r>
          </w:p>
        </w:tc>
      </w:tr>
      <w:tr w14:paraId="0ABD1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noWrap w:val="0"/>
            <w:vAlign w:val="center"/>
          </w:tcPr>
          <w:p w14:paraId="2373F5A7">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24E48C35">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color w:val="auto"/>
                <w:sz w:val="21"/>
                <w:szCs w:val="21"/>
                <w:highlight w:val="none"/>
              </w:rPr>
              <w:t>废活性炭</w:t>
            </w:r>
          </w:p>
        </w:tc>
        <w:tc>
          <w:tcPr>
            <w:tcW w:w="1417" w:type="dxa"/>
            <w:noWrap w:val="0"/>
            <w:vAlign w:val="center"/>
          </w:tcPr>
          <w:p w14:paraId="3AA5A8FA">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35FD0CCF">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0F9FC464">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44681940">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cs="Times New Roman"/>
                <w:color w:val="auto"/>
                <w:szCs w:val="21"/>
                <w:highlight w:val="none"/>
                <w:lang w:val="en-US" w:eastAsia="zh-CN"/>
              </w:rPr>
              <w:t>17.3</w:t>
            </w:r>
            <w:r>
              <w:rPr>
                <w:rFonts w:hint="eastAsia" w:ascii="Times New Roman" w:hAnsi="Times New Roman"/>
                <w:snapToGrid w:val="0"/>
                <w:color w:val="auto"/>
                <w:kern w:val="21"/>
                <w:szCs w:val="21"/>
                <w:highlight w:val="none"/>
              </w:rPr>
              <w:t>t/a</w:t>
            </w:r>
          </w:p>
        </w:tc>
        <w:tc>
          <w:tcPr>
            <w:tcW w:w="1133" w:type="dxa"/>
            <w:noWrap w:val="0"/>
            <w:vAlign w:val="center"/>
          </w:tcPr>
          <w:p w14:paraId="7839ADC2">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22DC9997">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cs="Times New Roman"/>
                <w:color w:val="auto"/>
                <w:szCs w:val="21"/>
                <w:highlight w:val="none"/>
                <w:lang w:val="en-US" w:eastAsia="zh-CN"/>
              </w:rPr>
              <w:t>17.3</w:t>
            </w:r>
            <w:r>
              <w:rPr>
                <w:rFonts w:hint="eastAsia" w:ascii="Times New Roman" w:hAnsi="Times New Roman"/>
                <w:snapToGrid w:val="0"/>
                <w:color w:val="auto"/>
                <w:kern w:val="21"/>
                <w:szCs w:val="21"/>
                <w:highlight w:val="none"/>
              </w:rPr>
              <w:t>t/a</w:t>
            </w:r>
          </w:p>
        </w:tc>
        <w:tc>
          <w:tcPr>
            <w:tcW w:w="1218" w:type="dxa"/>
            <w:noWrap w:val="0"/>
            <w:vAlign w:val="center"/>
          </w:tcPr>
          <w:p w14:paraId="7325DA85">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eastAsia" w:ascii="Times New Roman" w:hAnsi="Times New Roman" w:cs="Times New Roman"/>
                <w:color w:val="auto"/>
                <w:szCs w:val="21"/>
                <w:highlight w:val="none"/>
                <w:lang w:val="en-US" w:eastAsia="zh-CN"/>
              </w:rPr>
              <w:t>17.3</w:t>
            </w:r>
            <w:r>
              <w:rPr>
                <w:rFonts w:hint="eastAsia" w:ascii="Times New Roman" w:hAnsi="Times New Roman"/>
                <w:snapToGrid w:val="0"/>
                <w:color w:val="auto"/>
                <w:kern w:val="21"/>
                <w:szCs w:val="21"/>
                <w:highlight w:val="none"/>
              </w:rPr>
              <w:t>t/a</w:t>
            </w:r>
          </w:p>
        </w:tc>
      </w:tr>
      <w:tr w14:paraId="60E1A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noWrap w:val="0"/>
            <w:vAlign w:val="center"/>
          </w:tcPr>
          <w:p w14:paraId="24D51698">
            <w:pPr>
              <w:spacing w:line="276" w:lineRule="auto"/>
              <w:ind w:firstLine="480"/>
              <w:jc w:val="center"/>
              <w:rPr>
                <w:rFonts w:ascii="宋体" w:hAnsi="宋体" w:cs="宋体"/>
                <w:snapToGrid w:val="0"/>
                <w:color w:val="auto"/>
                <w:kern w:val="21"/>
                <w:szCs w:val="21"/>
                <w:highlight w:val="none"/>
              </w:rPr>
            </w:pPr>
          </w:p>
        </w:tc>
        <w:tc>
          <w:tcPr>
            <w:tcW w:w="2837" w:type="dxa"/>
            <w:gridSpan w:val="2"/>
            <w:noWrap w:val="0"/>
            <w:vAlign w:val="center"/>
          </w:tcPr>
          <w:p w14:paraId="220787A7">
            <w:pPr>
              <w:snapToGrid w:val="0"/>
              <w:spacing w:line="276"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废印版</w:t>
            </w:r>
          </w:p>
        </w:tc>
        <w:tc>
          <w:tcPr>
            <w:tcW w:w="1417" w:type="dxa"/>
            <w:noWrap w:val="0"/>
            <w:vAlign w:val="center"/>
          </w:tcPr>
          <w:p w14:paraId="741D7C06">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992" w:type="dxa"/>
            <w:noWrap w:val="0"/>
            <w:vAlign w:val="center"/>
          </w:tcPr>
          <w:p w14:paraId="35725795">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04C122CD">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21662FDB">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0.1</w:t>
            </w:r>
            <w:r>
              <w:rPr>
                <w:rFonts w:hint="eastAsia" w:ascii="Times New Roman" w:hAnsi="Times New Roman"/>
                <w:snapToGrid w:val="0"/>
                <w:color w:val="auto"/>
                <w:kern w:val="21"/>
                <w:szCs w:val="21"/>
                <w:highlight w:val="none"/>
              </w:rPr>
              <w:t>t/a</w:t>
            </w:r>
          </w:p>
        </w:tc>
        <w:tc>
          <w:tcPr>
            <w:tcW w:w="1133" w:type="dxa"/>
            <w:noWrap w:val="0"/>
            <w:vAlign w:val="center"/>
          </w:tcPr>
          <w:p w14:paraId="57CA68EE">
            <w:pPr>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0F2F5554">
            <w:pPr>
              <w:snapToGrid w:val="0"/>
              <w:spacing w:line="276" w:lineRule="auto"/>
              <w:jc w:val="center"/>
              <w:rPr>
                <w:rFonts w:hint="eastAsia"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0.1</w:t>
            </w:r>
            <w:r>
              <w:rPr>
                <w:rFonts w:hint="eastAsia" w:ascii="Times New Roman" w:hAnsi="Times New Roman"/>
                <w:snapToGrid w:val="0"/>
                <w:color w:val="auto"/>
                <w:kern w:val="21"/>
                <w:szCs w:val="21"/>
                <w:highlight w:val="none"/>
              </w:rPr>
              <w:t>t/a</w:t>
            </w:r>
          </w:p>
        </w:tc>
        <w:tc>
          <w:tcPr>
            <w:tcW w:w="1218" w:type="dxa"/>
            <w:noWrap w:val="0"/>
            <w:vAlign w:val="center"/>
          </w:tcPr>
          <w:p w14:paraId="0C92E98C">
            <w:pPr>
              <w:snapToGrid w:val="0"/>
              <w:spacing w:line="276" w:lineRule="auto"/>
              <w:jc w:val="center"/>
              <w:rPr>
                <w:rFonts w:hint="eastAsia"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0.1</w:t>
            </w:r>
            <w:r>
              <w:rPr>
                <w:rFonts w:hint="eastAsia" w:ascii="Times New Roman" w:hAnsi="Times New Roman"/>
                <w:snapToGrid w:val="0"/>
                <w:color w:val="auto"/>
                <w:kern w:val="21"/>
                <w:szCs w:val="21"/>
                <w:highlight w:val="none"/>
              </w:rPr>
              <w:t>t/a</w:t>
            </w:r>
          </w:p>
        </w:tc>
      </w:tr>
      <w:tr w14:paraId="02723D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noWrap w:val="0"/>
            <w:vAlign w:val="center"/>
          </w:tcPr>
          <w:p w14:paraId="635D1C48">
            <w:pPr>
              <w:spacing w:line="276" w:lineRule="auto"/>
              <w:jc w:val="center"/>
              <w:rPr>
                <w:rFonts w:ascii="宋体" w:hAnsi="宋体" w:cs="宋体"/>
                <w:snapToGrid w:val="0"/>
                <w:color w:val="auto"/>
                <w:kern w:val="21"/>
                <w:szCs w:val="21"/>
                <w:highlight w:val="none"/>
              </w:rPr>
            </w:pPr>
            <w:r>
              <w:rPr>
                <w:rFonts w:ascii="宋体" w:hAnsi="宋体" w:cs="宋体"/>
                <w:snapToGrid w:val="0"/>
                <w:color w:val="auto"/>
                <w:kern w:val="21"/>
                <w:szCs w:val="21"/>
                <w:highlight w:val="none"/>
              </w:rPr>
              <w:t>生活垃圾</w:t>
            </w:r>
          </w:p>
        </w:tc>
        <w:tc>
          <w:tcPr>
            <w:tcW w:w="2837" w:type="dxa"/>
            <w:gridSpan w:val="2"/>
            <w:noWrap w:val="0"/>
            <w:vAlign w:val="center"/>
          </w:tcPr>
          <w:p w14:paraId="26BA6E27">
            <w:pPr>
              <w:snapToGrid w:val="0"/>
              <w:spacing w:line="276" w:lineRule="auto"/>
              <w:jc w:val="center"/>
              <w:rPr>
                <w:rFonts w:ascii="Times New Roman" w:hAnsi="Times New Roman"/>
                <w:snapToGrid w:val="0"/>
                <w:color w:val="auto"/>
                <w:kern w:val="21"/>
                <w:szCs w:val="21"/>
                <w:highlight w:val="none"/>
              </w:rPr>
            </w:pPr>
            <w:r>
              <w:rPr>
                <w:rFonts w:hint="eastAsia" w:ascii="宋体" w:hAnsi="宋体" w:eastAsia="宋体" w:cs="宋体"/>
                <w:color w:val="auto"/>
                <w:sz w:val="21"/>
                <w:szCs w:val="21"/>
                <w:highlight w:val="none"/>
              </w:rPr>
              <w:t>生活垃圾</w:t>
            </w:r>
          </w:p>
        </w:tc>
        <w:tc>
          <w:tcPr>
            <w:tcW w:w="1417" w:type="dxa"/>
            <w:noWrap w:val="0"/>
            <w:vAlign w:val="center"/>
          </w:tcPr>
          <w:p w14:paraId="1E35E252">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992" w:type="dxa"/>
            <w:noWrap w:val="0"/>
            <w:vAlign w:val="center"/>
          </w:tcPr>
          <w:p w14:paraId="6420B518">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78173C16">
            <w:pPr>
              <w:spacing w:line="276" w:lineRule="auto"/>
              <w:jc w:val="center"/>
              <w:rPr>
                <w:rFonts w:ascii="Times New Roman" w:hAnsi="Times New Roman"/>
                <w:snapToGrid w:val="0"/>
                <w:color w:val="auto"/>
                <w:kern w:val="21"/>
                <w:szCs w:val="21"/>
                <w:highlight w:val="none"/>
              </w:rPr>
            </w:pPr>
            <w:r>
              <w:rPr>
                <w:rFonts w:ascii="Times New Roman" w:hAnsi="Times New Roman"/>
                <w:snapToGrid w:val="0"/>
                <w:color w:val="auto"/>
                <w:kern w:val="21"/>
                <w:szCs w:val="21"/>
                <w:highlight w:val="none"/>
              </w:rPr>
              <w:t>/</w:t>
            </w:r>
          </w:p>
        </w:tc>
        <w:tc>
          <w:tcPr>
            <w:tcW w:w="1417" w:type="dxa"/>
            <w:noWrap w:val="0"/>
            <w:vAlign w:val="center"/>
          </w:tcPr>
          <w:p w14:paraId="7C3F4942">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9</w:t>
            </w:r>
            <w:r>
              <w:rPr>
                <w:rFonts w:hint="eastAsia" w:ascii="Times New Roman" w:hAnsi="Times New Roman"/>
                <w:snapToGrid w:val="0"/>
                <w:color w:val="auto"/>
                <w:kern w:val="21"/>
                <w:szCs w:val="21"/>
                <w:highlight w:val="none"/>
              </w:rPr>
              <w:t>t/a</w:t>
            </w:r>
          </w:p>
        </w:tc>
        <w:tc>
          <w:tcPr>
            <w:tcW w:w="1133" w:type="dxa"/>
            <w:noWrap w:val="0"/>
            <w:vAlign w:val="center"/>
          </w:tcPr>
          <w:p w14:paraId="46D90080">
            <w:pPr>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p>
        </w:tc>
        <w:tc>
          <w:tcPr>
            <w:tcW w:w="1417" w:type="dxa"/>
            <w:noWrap w:val="0"/>
            <w:vAlign w:val="center"/>
          </w:tcPr>
          <w:p w14:paraId="68005396">
            <w:pPr>
              <w:snapToGrid w:val="0"/>
              <w:spacing w:line="276" w:lineRule="auto"/>
              <w:jc w:val="center"/>
              <w:rPr>
                <w:rFonts w:ascii="Times New Roman" w:hAnsi="Times New Roman"/>
                <w:snapToGrid w:val="0"/>
                <w:color w:val="auto"/>
                <w:kern w:val="21"/>
                <w:szCs w:val="21"/>
                <w:highlight w:val="none"/>
              </w:rPr>
            </w:pPr>
            <w:r>
              <w:rPr>
                <w:rFonts w:hint="default" w:ascii="Times New Roman" w:hAnsi="Times New Roman" w:cs="Times New Roman"/>
                <w:color w:val="auto"/>
                <w:szCs w:val="21"/>
                <w:highlight w:val="none"/>
                <w:lang w:val="en-US" w:eastAsia="zh-CN"/>
              </w:rPr>
              <w:t>9</w:t>
            </w:r>
            <w:r>
              <w:rPr>
                <w:rFonts w:hint="eastAsia" w:ascii="Times New Roman" w:hAnsi="Times New Roman"/>
                <w:snapToGrid w:val="0"/>
                <w:color w:val="auto"/>
                <w:kern w:val="21"/>
                <w:szCs w:val="21"/>
                <w:highlight w:val="none"/>
              </w:rPr>
              <w:t>t/a</w:t>
            </w:r>
          </w:p>
        </w:tc>
        <w:tc>
          <w:tcPr>
            <w:tcW w:w="1218" w:type="dxa"/>
            <w:noWrap w:val="0"/>
            <w:vAlign w:val="center"/>
          </w:tcPr>
          <w:p w14:paraId="12E558BF">
            <w:pPr>
              <w:snapToGrid w:val="0"/>
              <w:spacing w:line="276" w:lineRule="auto"/>
              <w:jc w:val="center"/>
              <w:rPr>
                <w:rFonts w:ascii="Times New Roman" w:hAnsi="Times New Roman"/>
                <w:snapToGrid w:val="0"/>
                <w:color w:val="auto"/>
                <w:kern w:val="21"/>
                <w:szCs w:val="21"/>
                <w:highlight w:val="none"/>
              </w:rPr>
            </w:pPr>
            <w:r>
              <w:rPr>
                <w:rFonts w:hint="eastAsia" w:ascii="Times New Roman" w:hAnsi="Times New Roman"/>
                <w:snapToGrid w:val="0"/>
                <w:color w:val="auto"/>
                <w:kern w:val="21"/>
                <w:szCs w:val="21"/>
                <w:highlight w:val="none"/>
              </w:rPr>
              <w:t>+</w:t>
            </w:r>
            <w:r>
              <w:rPr>
                <w:rFonts w:hint="default" w:ascii="Times New Roman" w:hAnsi="Times New Roman" w:cs="Times New Roman"/>
                <w:color w:val="auto"/>
                <w:szCs w:val="21"/>
                <w:highlight w:val="none"/>
                <w:lang w:val="en-US" w:eastAsia="zh-CN"/>
              </w:rPr>
              <w:t>9</w:t>
            </w:r>
            <w:r>
              <w:rPr>
                <w:rFonts w:hint="eastAsia" w:ascii="Times New Roman" w:hAnsi="Times New Roman"/>
                <w:snapToGrid w:val="0"/>
                <w:color w:val="auto"/>
                <w:kern w:val="21"/>
                <w:szCs w:val="21"/>
                <w:highlight w:val="none"/>
              </w:rPr>
              <w:t>t/a</w:t>
            </w:r>
          </w:p>
        </w:tc>
      </w:tr>
    </w:tbl>
    <w:p w14:paraId="38783771">
      <w:pPr>
        <w:pStyle w:val="52"/>
        <w:spacing w:before="249" w:beforeLines="80" w:after="31"/>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①</w:t>
      </w:r>
      <w:r>
        <w:rPr>
          <w:rFonts w:hAnsi="宋体"/>
          <w:snapToGrid w:val="0"/>
          <w:color w:val="auto"/>
          <w:spacing w:val="-6"/>
          <w:kern w:val="21"/>
          <w:szCs w:val="21"/>
          <w:highlight w:val="none"/>
        </w:rPr>
        <w:fldChar w:fldCharType="end"/>
      </w:r>
    </w:p>
    <w:sectPr>
      <w:pgSz w:w="16838" w:h="11906" w:orient="landscape"/>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2C17">
    <w:pPr>
      <w:pStyle w:val="11"/>
      <w:ind w:firstLine="360"/>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10</w:t>
    </w:r>
    <w:r>
      <w:rPr>
        <w:rFonts w:ascii="Times New Roman" w:hAnsi="Times New Roman"/>
        <w:sz w:val="20"/>
        <w:szCs w:val="20"/>
      </w:rPr>
      <w:fldChar w:fldCharType="end"/>
    </w:r>
  </w:p>
  <w:p w14:paraId="6A754C8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82FF2">
    <w:pPr>
      <w:pStyle w:val="11"/>
      <w:ind w:firstLine="360"/>
      <w:jc w:val="cente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lang w:val="zh-CN"/>
      </w:rPr>
      <w:t>58</w:t>
    </w:r>
    <w:r>
      <w:rPr>
        <w:rFonts w:ascii="Times New Roman" w:hAnsi="Times New Roman"/>
        <w:sz w:val="20"/>
        <w:szCs w:val="20"/>
      </w:rPr>
      <w:fldChar w:fldCharType="end"/>
    </w:r>
  </w:p>
  <w:p w14:paraId="6FD5AB92">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CDC33">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9FDA6">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0A45C"/>
    <w:multiLevelType w:val="singleLevel"/>
    <w:tmpl w:val="0540A45C"/>
    <w:lvl w:ilvl="0" w:tentative="0">
      <w:start w:val="2"/>
      <w:numFmt w:val="decimal"/>
      <w:suff w:val="nothing"/>
      <w:lvlText w:val="%1、"/>
      <w:lvlJc w:val="left"/>
    </w:lvl>
  </w:abstractNum>
  <w:abstractNum w:abstractNumId="1">
    <w:nsid w:val="29FE42FD"/>
    <w:multiLevelType w:val="multilevel"/>
    <w:tmpl w:val="29FE42FD"/>
    <w:lvl w:ilvl="0" w:tentative="0">
      <w:start w:val="1"/>
      <w:numFmt w:val="decimal"/>
      <w:suff w:val="space"/>
      <w:lvlText w:val="%1"/>
      <w:lvlJc w:val="left"/>
      <w:pPr>
        <w:ind w:left="0" w:firstLine="0"/>
      </w:pPr>
      <w:rPr>
        <w:rFonts w:hint="eastAsia"/>
        <w:sz w:val="30"/>
        <w:szCs w:val="30"/>
      </w:rPr>
    </w:lvl>
    <w:lvl w:ilvl="1" w:tentative="0">
      <w:start w:val="1"/>
      <w:numFmt w:val="decimal"/>
      <w:pStyle w:val="40"/>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71DB362"/>
    <w:multiLevelType w:val="multilevel"/>
    <w:tmpl w:val="571DB362"/>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yMDA2YTI3MjBiODJiN2RlMmY3NzljNjg4MWM4ZDUifQ=="/>
  </w:docVars>
  <w:rsids>
    <w:rsidRoot w:val="00FD299D"/>
    <w:rsid w:val="0000037A"/>
    <w:rsid w:val="00000ABA"/>
    <w:rsid w:val="00000C30"/>
    <w:rsid w:val="00000EEC"/>
    <w:rsid w:val="00000F9B"/>
    <w:rsid w:val="00001264"/>
    <w:rsid w:val="000014BF"/>
    <w:rsid w:val="00001565"/>
    <w:rsid w:val="000020D7"/>
    <w:rsid w:val="000024B5"/>
    <w:rsid w:val="00002B39"/>
    <w:rsid w:val="00003341"/>
    <w:rsid w:val="0000376D"/>
    <w:rsid w:val="00003D35"/>
    <w:rsid w:val="000042C1"/>
    <w:rsid w:val="00004371"/>
    <w:rsid w:val="00004C0B"/>
    <w:rsid w:val="0000520F"/>
    <w:rsid w:val="0000641C"/>
    <w:rsid w:val="00006695"/>
    <w:rsid w:val="0000691F"/>
    <w:rsid w:val="00006A7B"/>
    <w:rsid w:val="00006D0B"/>
    <w:rsid w:val="00006F6C"/>
    <w:rsid w:val="000074DF"/>
    <w:rsid w:val="00007CAE"/>
    <w:rsid w:val="00007FE0"/>
    <w:rsid w:val="0001005D"/>
    <w:rsid w:val="00010B50"/>
    <w:rsid w:val="00010F7C"/>
    <w:rsid w:val="000110EC"/>
    <w:rsid w:val="00011501"/>
    <w:rsid w:val="000117FA"/>
    <w:rsid w:val="00012083"/>
    <w:rsid w:val="000122FC"/>
    <w:rsid w:val="00012418"/>
    <w:rsid w:val="0001301A"/>
    <w:rsid w:val="00013C81"/>
    <w:rsid w:val="000150C6"/>
    <w:rsid w:val="000161FD"/>
    <w:rsid w:val="00016271"/>
    <w:rsid w:val="0001636E"/>
    <w:rsid w:val="00016874"/>
    <w:rsid w:val="00017140"/>
    <w:rsid w:val="000173FC"/>
    <w:rsid w:val="00017AF6"/>
    <w:rsid w:val="00020530"/>
    <w:rsid w:val="00020940"/>
    <w:rsid w:val="00020A02"/>
    <w:rsid w:val="00020C44"/>
    <w:rsid w:val="000212C1"/>
    <w:rsid w:val="000214D8"/>
    <w:rsid w:val="00021CB0"/>
    <w:rsid w:val="000225B6"/>
    <w:rsid w:val="00022633"/>
    <w:rsid w:val="000231CB"/>
    <w:rsid w:val="0002344F"/>
    <w:rsid w:val="0002373B"/>
    <w:rsid w:val="00023865"/>
    <w:rsid w:val="00023886"/>
    <w:rsid w:val="00023C0C"/>
    <w:rsid w:val="00024B40"/>
    <w:rsid w:val="00025253"/>
    <w:rsid w:val="00025709"/>
    <w:rsid w:val="00025E46"/>
    <w:rsid w:val="00026200"/>
    <w:rsid w:val="00026345"/>
    <w:rsid w:val="0002642D"/>
    <w:rsid w:val="00026506"/>
    <w:rsid w:val="000267BB"/>
    <w:rsid w:val="00026AF6"/>
    <w:rsid w:val="00026FA7"/>
    <w:rsid w:val="0002730A"/>
    <w:rsid w:val="00027345"/>
    <w:rsid w:val="000274F6"/>
    <w:rsid w:val="000277C9"/>
    <w:rsid w:val="00027B0F"/>
    <w:rsid w:val="00027BCD"/>
    <w:rsid w:val="00027C4B"/>
    <w:rsid w:val="000300EA"/>
    <w:rsid w:val="00030180"/>
    <w:rsid w:val="00030268"/>
    <w:rsid w:val="000306A8"/>
    <w:rsid w:val="00030CA0"/>
    <w:rsid w:val="00030D9E"/>
    <w:rsid w:val="00030E8B"/>
    <w:rsid w:val="000322BF"/>
    <w:rsid w:val="000322DA"/>
    <w:rsid w:val="0003237D"/>
    <w:rsid w:val="00032827"/>
    <w:rsid w:val="00033279"/>
    <w:rsid w:val="000333C1"/>
    <w:rsid w:val="0003342F"/>
    <w:rsid w:val="00033B8C"/>
    <w:rsid w:val="00033D2D"/>
    <w:rsid w:val="0003403E"/>
    <w:rsid w:val="00034091"/>
    <w:rsid w:val="00034826"/>
    <w:rsid w:val="00034A5B"/>
    <w:rsid w:val="00034AB1"/>
    <w:rsid w:val="00034C12"/>
    <w:rsid w:val="00035053"/>
    <w:rsid w:val="00035BC5"/>
    <w:rsid w:val="00036469"/>
    <w:rsid w:val="00036DA6"/>
    <w:rsid w:val="00036F08"/>
    <w:rsid w:val="0004041B"/>
    <w:rsid w:val="0004048D"/>
    <w:rsid w:val="000411B3"/>
    <w:rsid w:val="00041DE9"/>
    <w:rsid w:val="000420EE"/>
    <w:rsid w:val="0004274F"/>
    <w:rsid w:val="00042A8B"/>
    <w:rsid w:val="00042BA3"/>
    <w:rsid w:val="00043028"/>
    <w:rsid w:val="0004316B"/>
    <w:rsid w:val="00044405"/>
    <w:rsid w:val="00044645"/>
    <w:rsid w:val="00044E38"/>
    <w:rsid w:val="00044FDF"/>
    <w:rsid w:val="00045959"/>
    <w:rsid w:val="00045AD1"/>
    <w:rsid w:val="000460E1"/>
    <w:rsid w:val="000461F9"/>
    <w:rsid w:val="00046C76"/>
    <w:rsid w:val="00046E9A"/>
    <w:rsid w:val="00047158"/>
    <w:rsid w:val="0004747B"/>
    <w:rsid w:val="000475B0"/>
    <w:rsid w:val="000475B9"/>
    <w:rsid w:val="00047CB4"/>
    <w:rsid w:val="00047DA8"/>
    <w:rsid w:val="00047E46"/>
    <w:rsid w:val="000501C5"/>
    <w:rsid w:val="000501F0"/>
    <w:rsid w:val="0005032E"/>
    <w:rsid w:val="00050712"/>
    <w:rsid w:val="00050C9E"/>
    <w:rsid w:val="00050D18"/>
    <w:rsid w:val="00050EB7"/>
    <w:rsid w:val="00051ACD"/>
    <w:rsid w:val="00051DCF"/>
    <w:rsid w:val="0005222D"/>
    <w:rsid w:val="00052436"/>
    <w:rsid w:val="00052E11"/>
    <w:rsid w:val="00052FC8"/>
    <w:rsid w:val="000538C8"/>
    <w:rsid w:val="00053B80"/>
    <w:rsid w:val="00053F84"/>
    <w:rsid w:val="00054283"/>
    <w:rsid w:val="00055112"/>
    <w:rsid w:val="0005512C"/>
    <w:rsid w:val="00055473"/>
    <w:rsid w:val="00055BC8"/>
    <w:rsid w:val="000560C7"/>
    <w:rsid w:val="00056476"/>
    <w:rsid w:val="00057B42"/>
    <w:rsid w:val="00057E43"/>
    <w:rsid w:val="00060148"/>
    <w:rsid w:val="00060719"/>
    <w:rsid w:val="000609BD"/>
    <w:rsid w:val="00060F2F"/>
    <w:rsid w:val="00061317"/>
    <w:rsid w:val="000616CB"/>
    <w:rsid w:val="000616D5"/>
    <w:rsid w:val="00061B17"/>
    <w:rsid w:val="00061B36"/>
    <w:rsid w:val="0006200A"/>
    <w:rsid w:val="0006211C"/>
    <w:rsid w:val="000624C8"/>
    <w:rsid w:val="00062536"/>
    <w:rsid w:val="0006293D"/>
    <w:rsid w:val="00062FB3"/>
    <w:rsid w:val="00064702"/>
    <w:rsid w:val="00064919"/>
    <w:rsid w:val="00064AA0"/>
    <w:rsid w:val="00066174"/>
    <w:rsid w:val="000669E3"/>
    <w:rsid w:val="00066AA4"/>
    <w:rsid w:val="00067875"/>
    <w:rsid w:val="000709A9"/>
    <w:rsid w:val="00070EB5"/>
    <w:rsid w:val="000713F0"/>
    <w:rsid w:val="0007159A"/>
    <w:rsid w:val="0007186C"/>
    <w:rsid w:val="00071C60"/>
    <w:rsid w:val="0007219A"/>
    <w:rsid w:val="00072E00"/>
    <w:rsid w:val="00075C54"/>
    <w:rsid w:val="00076248"/>
    <w:rsid w:val="00077581"/>
    <w:rsid w:val="00080045"/>
    <w:rsid w:val="00080C1F"/>
    <w:rsid w:val="000810C1"/>
    <w:rsid w:val="000810C3"/>
    <w:rsid w:val="00081266"/>
    <w:rsid w:val="00081392"/>
    <w:rsid w:val="00081AEF"/>
    <w:rsid w:val="00081E6A"/>
    <w:rsid w:val="00081EAE"/>
    <w:rsid w:val="0008207A"/>
    <w:rsid w:val="00082B26"/>
    <w:rsid w:val="00082CD0"/>
    <w:rsid w:val="00082E52"/>
    <w:rsid w:val="00083F5E"/>
    <w:rsid w:val="00084374"/>
    <w:rsid w:val="00084500"/>
    <w:rsid w:val="000847AC"/>
    <w:rsid w:val="000852F0"/>
    <w:rsid w:val="00085B55"/>
    <w:rsid w:val="00085BF4"/>
    <w:rsid w:val="00085EF5"/>
    <w:rsid w:val="00085F08"/>
    <w:rsid w:val="00085FFD"/>
    <w:rsid w:val="000861C1"/>
    <w:rsid w:val="000863ED"/>
    <w:rsid w:val="000867F9"/>
    <w:rsid w:val="00086A33"/>
    <w:rsid w:val="0008775C"/>
    <w:rsid w:val="00090457"/>
    <w:rsid w:val="0009048E"/>
    <w:rsid w:val="0009131B"/>
    <w:rsid w:val="0009160F"/>
    <w:rsid w:val="00091BF0"/>
    <w:rsid w:val="0009215D"/>
    <w:rsid w:val="000923D7"/>
    <w:rsid w:val="00092401"/>
    <w:rsid w:val="0009327F"/>
    <w:rsid w:val="00093CE7"/>
    <w:rsid w:val="00094238"/>
    <w:rsid w:val="000943F9"/>
    <w:rsid w:val="00094FC3"/>
    <w:rsid w:val="000951E7"/>
    <w:rsid w:val="00095BE9"/>
    <w:rsid w:val="00095DBD"/>
    <w:rsid w:val="0009650F"/>
    <w:rsid w:val="00096CB6"/>
    <w:rsid w:val="000978C5"/>
    <w:rsid w:val="00097DF3"/>
    <w:rsid w:val="000A06F3"/>
    <w:rsid w:val="000A0A69"/>
    <w:rsid w:val="000A0F75"/>
    <w:rsid w:val="000A1116"/>
    <w:rsid w:val="000A1E29"/>
    <w:rsid w:val="000A2611"/>
    <w:rsid w:val="000A2728"/>
    <w:rsid w:val="000A28C2"/>
    <w:rsid w:val="000A3539"/>
    <w:rsid w:val="000A37C9"/>
    <w:rsid w:val="000A38C6"/>
    <w:rsid w:val="000A3FD5"/>
    <w:rsid w:val="000A4265"/>
    <w:rsid w:val="000A46A6"/>
    <w:rsid w:val="000A53B3"/>
    <w:rsid w:val="000A59F1"/>
    <w:rsid w:val="000A698F"/>
    <w:rsid w:val="000A6A36"/>
    <w:rsid w:val="000A7583"/>
    <w:rsid w:val="000A7625"/>
    <w:rsid w:val="000A7A23"/>
    <w:rsid w:val="000A7D98"/>
    <w:rsid w:val="000B09D8"/>
    <w:rsid w:val="000B0A12"/>
    <w:rsid w:val="000B181D"/>
    <w:rsid w:val="000B1C2F"/>
    <w:rsid w:val="000B1EDA"/>
    <w:rsid w:val="000B1F55"/>
    <w:rsid w:val="000B2095"/>
    <w:rsid w:val="000B21C0"/>
    <w:rsid w:val="000B28F6"/>
    <w:rsid w:val="000B28FC"/>
    <w:rsid w:val="000B377C"/>
    <w:rsid w:val="000B3B18"/>
    <w:rsid w:val="000B43C9"/>
    <w:rsid w:val="000B4A05"/>
    <w:rsid w:val="000B504F"/>
    <w:rsid w:val="000B5445"/>
    <w:rsid w:val="000B5C81"/>
    <w:rsid w:val="000B62B8"/>
    <w:rsid w:val="000B6D8B"/>
    <w:rsid w:val="000B7279"/>
    <w:rsid w:val="000B790E"/>
    <w:rsid w:val="000B7B77"/>
    <w:rsid w:val="000B7CC9"/>
    <w:rsid w:val="000C0139"/>
    <w:rsid w:val="000C10EC"/>
    <w:rsid w:val="000C1BEE"/>
    <w:rsid w:val="000C1FC5"/>
    <w:rsid w:val="000C3287"/>
    <w:rsid w:val="000C34B5"/>
    <w:rsid w:val="000C3641"/>
    <w:rsid w:val="000C3B6E"/>
    <w:rsid w:val="000C3EE1"/>
    <w:rsid w:val="000C4B4E"/>
    <w:rsid w:val="000C4F5E"/>
    <w:rsid w:val="000C529A"/>
    <w:rsid w:val="000C599B"/>
    <w:rsid w:val="000C6343"/>
    <w:rsid w:val="000C650B"/>
    <w:rsid w:val="000C653F"/>
    <w:rsid w:val="000C6732"/>
    <w:rsid w:val="000C6B69"/>
    <w:rsid w:val="000C6C1F"/>
    <w:rsid w:val="000C71C8"/>
    <w:rsid w:val="000C71D0"/>
    <w:rsid w:val="000C7AAD"/>
    <w:rsid w:val="000D046B"/>
    <w:rsid w:val="000D0C4E"/>
    <w:rsid w:val="000D0F67"/>
    <w:rsid w:val="000D1AA4"/>
    <w:rsid w:val="000D1BD4"/>
    <w:rsid w:val="000D20E0"/>
    <w:rsid w:val="000D20EE"/>
    <w:rsid w:val="000D2107"/>
    <w:rsid w:val="000D2111"/>
    <w:rsid w:val="000D2290"/>
    <w:rsid w:val="000D2A89"/>
    <w:rsid w:val="000D2F04"/>
    <w:rsid w:val="000D33AA"/>
    <w:rsid w:val="000D342D"/>
    <w:rsid w:val="000D42F9"/>
    <w:rsid w:val="000D4609"/>
    <w:rsid w:val="000D4F80"/>
    <w:rsid w:val="000D5E3F"/>
    <w:rsid w:val="000D7D4A"/>
    <w:rsid w:val="000E0A21"/>
    <w:rsid w:val="000E0B6E"/>
    <w:rsid w:val="000E0D89"/>
    <w:rsid w:val="000E10C7"/>
    <w:rsid w:val="000E1DA9"/>
    <w:rsid w:val="000E1F31"/>
    <w:rsid w:val="000E256C"/>
    <w:rsid w:val="000E2614"/>
    <w:rsid w:val="000E322E"/>
    <w:rsid w:val="000E3F59"/>
    <w:rsid w:val="000E519A"/>
    <w:rsid w:val="000E5747"/>
    <w:rsid w:val="000E67D5"/>
    <w:rsid w:val="000E6A2D"/>
    <w:rsid w:val="000E6A33"/>
    <w:rsid w:val="000E73DE"/>
    <w:rsid w:val="000E7418"/>
    <w:rsid w:val="000E7C60"/>
    <w:rsid w:val="000F0EA0"/>
    <w:rsid w:val="000F102B"/>
    <w:rsid w:val="000F19F1"/>
    <w:rsid w:val="000F1B99"/>
    <w:rsid w:val="000F2231"/>
    <w:rsid w:val="000F348C"/>
    <w:rsid w:val="000F41FD"/>
    <w:rsid w:val="000F4646"/>
    <w:rsid w:val="000F4B31"/>
    <w:rsid w:val="000F4B68"/>
    <w:rsid w:val="000F4DB1"/>
    <w:rsid w:val="000F4F1F"/>
    <w:rsid w:val="000F51B4"/>
    <w:rsid w:val="000F54C0"/>
    <w:rsid w:val="000F57FE"/>
    <w:rsid w:val="000F5CEA"/>
    <w:rsid w:val="000F6C2D"/>
    <w:rsid w:val="000F710C"/>
    <w:rsid w:val="000F77F3"/>
    <w:rsid w:val="000F78A0"/>
    <w:rsid w:val="000F7EE9"/>
    <w:rsid w:val="000F7F43"/>
    <w:rsid w:val="001006F6"/>
    <w:rsid w:val="00100B23"/>
    <w:rsid w:val="00100EDF"/>
    <w:rsid w:val="001034E0"/>
    <w:rsid w:val="00103603"/>
    <w:rsid w:val="00103BD9"/>
    <w:rsid w:val="00103FB7"/>
    <w:rsid w:val="00104149"/>
    <w:rsid w:val="00104BBB"/>
    <w:rsid w:val="0010524E"/>
    <w:rsid w:val="00105933"/>
    <w:rsid w:val="00106304"/>
    <w:rsid w:val="00106795"/>
    <w:rsid w:val="001070AF"/>
    <w:rsid w:val="001074BE"/>
    <w:rsid w:val="00107594"/>
    <w:rsid w:val="00107C02"/>
    <w:rsid w:val="00110523"/>
    <w:rsid w:val="00110A49"/>
    <w:rsid w:val="00110F73"/>
    <w:rsid w:val="00111909"/>
    <w:rsid w:val="0011239C"/>
    <w:rsid w:val="00112FDD"/>
    <w:rsid w:val="001136D7"/>
    <w:rsid w:val="00113C10"/>
    <w:rsid w:val="001145D7"/>
    <w:rsid w:val="001154A9"/>
    <w:rsid w:val="00115620"/>
    <w:rsid w:val="00115D5E"/>
    <w:rsid w:val="00116500"/>
    <w:rsid w:val="00116F19"/>
    <w:rsid w:val="00116F1F"/>
    <w:rsid w:val="00117493"/>
    <w:rsid w:val="0011772A"/>
    <w:rsid w:val="00117AE4"/>
    <w:rsid w:val="00117B7B"/>
    <w:rsid w:val="0012010C"/>
    <w:rsid w:val="00120449"/>
    <w:rsid w:val="00120468"/>
    <w:rsid w:val="00120C0A"/>
    <w:rsid w:val="00121463"/>
    <w:rsid w:val="00121579"/>
    <w:rsid w:val="00121876"/>
    <w:rsid w:val="00121941"/>
    <w:rsid w:val="0012233D"/>
    <w:rsid w:val="00123277"/>
    <w:rsid w:val="001233C3"/>
    <w:rsid w:val="0012384F"/>
    <w:rsid w:val="00123FC0"/>
    <w:rsid w:val="001240DC"/>
    <w:rsid w:val="00124435"/>
    <w:rsid w:val="00124451"/>
    <w:rsid w:val="00124C5E"/>
    <w:rsid w:val="00125365"/>
    <w:rsid w:val="0012547A"/>
    <w:rsid w:val="00125A53"/>
    <w:rsid w:val="00125CFD"/>
    <w:rsid w:val="00125D05"/>
    <w:rsid w:val="0012640B"/>
    <w:rsid w:val="001265CE"/>
    <w:rsid w:val="00126B8D"/>
    <w:rsid w:val="00126BBB"/>
    <w:rsid w:val="00127058"/>
    <w:rsid w:val="0013002A"/>
    <w:rsid w:val="00130D1B"/>
    <w:rsid w:val="0013125C"/>
    <w:rsid w:val="00131329"/>
    <w:rsid w:val="00131FC9"/>
    <w:rsid w:val="001322A1"/>
    <w:rsid w:val="001324E3"/>
    <w:rsid w:val="001325FB"/>
    <w:rsid w:val="0013296E"/>
    <w:rsid w:val="00132E53"/>
    <w:rsid w:val="0013318B"/>
    <w:rsid w:val="001338ED"/>
    <w:rsid w:val="00133E6B"/>
    <w:rsid w:val="0013411C"/>
    <w:rsid w:val="00134827"/>
    <w:rsid w:val="00135109"/>
    <w:rsid w:val="00135507"/>
    <w:rsid w:val="00135855"/>
    <w:rsid w:val="00136590"/>
    <w:rsid w:val="001366EF"/>
    <w:rsid w:val="00136E51"/>
    <w:rsid w:val="00137303"/>
    <w:rsid w:val="001373CA"/>
    <w:rsid w:val="00140170"/>
    <w:rsid w:val="001401E7"/>
    <w:rsid w:val="00140E92"/>
    <w:rsid w:val="001411A2"/>
    <w:rsid w:val="00141AAA"/>
    <w:rsid w:val="00141EC2"/>
    <w:rsid w:val="0014234A"/>
    <w:rsid w:val="001433FB"/>
    <w:rsid w:val="00144F78"/>
    <w:rsid w:val="00145325"/>
    <w:rsid w:val="001455B2"/>
    <w:rsid w:val="0014616A"/>
    <w:rsid w:val="00146910"/>
    <w:rsid w:val="00146F3B"/>
    <w:rsid w:val="00147D42"/>
    <w:rsid w:val="00147E16"/>
    <w:rsid w:val="00150281"/>
    <w:rsid w:val="00150285"/>
    <w:rsid w:val="001505DB"/>
    <w:rsid w:val="001517AB"/>
    <w:rsid w:val="00151E9D"/>
    <w:rsid w:val="001522A4"/>
    <w:rsid w:val="001526C3"/>
    <w:rsid w:val="00152832"/>
    <w:rsid w:val="00152AFF"/>
    <w:rsid w:val="00153465"/>
    <w:rsid w:val="00153FEE"/>
    <w:rsid w:val="00154139"/>
    <w:rsid w:val="001557E5"/>
    <w:rsid w:val="00155B28"/>
    <w:rsid w:val="0015610D"/>
    <w:rsid w:val="00156423"/>
    <w:rsid w:val="00156563"/>
    <w:rsid w:val="00156565"/>
    <w:rsid w:val="001576E0"/>
    <w:rsid w:val="00157C34"/>
    <w:rsid w:val="00160B7F"/>
    <w:rsid w:val="00160B93"/>
    <w:rsid w:val="00162324"/>
    <w:rsid w:val="0016236F"/>
    <w:rsid w:val="00163A88"/>
    <w:rsid w:val="00163DB7"/>
    <w:rsid w:val="001644F9"/>
    <w:rsid w:val="001645F1"/>
    <w:rsid w:val="0016516C"/>
    <w:rsid w:val="00165478"/>
    <w:rsid w:val="001656CB"/>
    <w:rsid w:val="00165AEC"/>
    <w:rsid w:val="00165D57"/>
    <w:rsid w:val="001660EA"/>
    <w:rsid w:val="00166EE4"/>
    <w:rsid w:val="00166F50"/>
    <w:rsid w:val="00166FD5"/>
    <w:rsid w:val="00167370"/>
    <w:rsid w:val="001676D6"/>
    <w:rsid w:val="00167EA9"/>
    <w:rsid w:val="00167EC1"/>
    <w:rsid w:val="00167F3B"/>
    <w:rsid w:val="00170508"/>
    <w:rsid w:val="001708A4"/>
    <w:rsid w:val="00170C3B"/>
    <w:rsid w:val="00170ECE"/>
    <w:rsid w:val="00171478"/>
    <w:rsid w:val="00171B03"/>
    <w:rsid w:val="00172B0F"/>
    <w:rsid w:val="00172D31"/>
    <w:rsid w:val="001731D7"/>
    <w:rsid w:val="00173F53"/>
    <w:rsid w:val="0017480E"/>
    <w:rsid w:val="00174FE5"/>
    <w:rsid w:val="001750D7"/>
    <w:rsid w:val="001755D9"/>
    <w:rsid w:val="001756FA"/>
    <w:rsid w:val="00176012"/>
    <w:rsid w:val="001760D9"/>
    <w:rsid w:val="0017612C"/>
    <w:rsid w:val="0017617B"/>
    <w:rsid w:val="00176274"/>
    <w:rsid w:val="0017668E"/>
    <w:rsid w:val="00177005"/>
    <w:rsid w:val="0017729E"/>
    <w:rsid w:val="00177834"/>
    <w:rsid w:val="001778DE"/>
    <w:rsid w:val="001779AD"/>
    <w:rsid w:val="00177E6E"/>
    <w:rsid w:val="001800A0"/>
    <w:rsid w:val="001801B0"/>
    <w:rsid w:val="001801B5"/>
    <w:rsid w:val="00180577"/>
    <w:rsid w:val="00181326"/>
    <w:rsid w:val="001824A0"/>
    <w:rsid w:val="001834F0"/>
    <w:rsid w:val="00183F35"/>
    <w:rsid w:val="00183FC3"/>
    <w:rsid w:val="00184ABD"/>
    <w:rsid w:val="0018516C"/>
    <w:rsid w:val="00185355"/>
    <w:rsid w:val="0018575C"/>
    <w:rsid w:val="001863C6"/>
    <w:rsid w:val="00187EC9"/>
    <w:rsid w:val="00190385"/>
    <w:rsid w:val="00190602"/>
    <w:rsid w:val="00190BD3"/>
    <w:rsid w:val="00190CF8"/>
    <w:rsid w:val="001914C0"/>
    <w:rsid w:val="00191B90"/>
    <w:rsid w:val="00192434"/>
    <w:rsid w:val="0019318C"/>
    <w:rsid w:val="001938F4"/>
    <w:rsid w:val="00193C25"/>
    <w:rsid w:val="0019454A"/>
    <w:rsid w:val="00194F8A"/>
    <w:rsid w:val="001953B0"/>
    <w:rsid w:val="00195560"/>
    <w:rsid w:val="0019693B"/>
    <w:rsid w:val="00197B07"/>
    <w:rsid w:val="00197E22"/>
    <w:rsid w:val="001A1442"/>
    <w:rsid w:val="001A1C1F"/>
    <w:rsid w:val="001A2656"/>
    <w:rsid w:val="001A2B74"/>
    <w:rsid w:val="001A2D03"/>
    <w:rsid w:val="001A3544"/>
    <w:rsid w:val="001A38D1"/>
    <w:rsid w:val="001A4B54"/>
    <w:rsid w:val="001A4B97"/>
    <w:rsid w:val="001A56E7"/>
    <w:rsid w:val="001A598A"/>
    <w:rsid w:val="001A5A1C"/>
    <w:rsid w:val="001A6E0C"/>
    <w:rsid w:val="001B0017"/>
    <w:rsid w:val="001B033C"/>
    <w:rsid w:val="001B04E2"/>
    <w:rsid w:val="001B0A82"/>
    <w:rsid w:val="001B12D3"/>
    <w:rsid w:val="001B1D1E"/>
    <w:rsid w:val="001B22E9"/>
    <w:rsid w:val="001B2AA2"/>
    <w:rsid w:val="001B2D41"/>
    <w:rsid w:val="001B31A2"/>
    <w:rsid w:val="001B345E"/>
    <w:rsid w:val="001B3BF2"/>
    <w:rsid w:val="001B4036"/>
    <w:rsid w:val="001B45B1"/>
    <w:rsid w:val="001B49DF"/>
    <w:rsid w:val="001B58E5"/>
    <w:rsid w:val="001B5969"/>
    <w:rsid w:val="001B5A76"/>
    <w:rsid w:val="001B607E"/>
    <w:rsid w:val="001B6F2B"/>
    <w:rsid w:val="001B7085"/>
    <w:rsid w:val="001B7AD5"/>
    <w:rsid w:val="001B7AF0"/>
    <w:rsid w:val="001B7BB2"/>
    <w:rsid w:val="001C0073"/>
    <w:rsid w:val="001C058C"/>
    <w:rsid w:val="001C0BC4"/>
    <w:rsid w:val="001C0E71"/>
    <w:rsid w:val="001C100D"/>
    <w:rsid w:val="001C1589"/>
    <w:rsid w:val="001C17A2"/>
    <w:rsid w:val="001C19E4"/>
    <w:rsid w:val="001C1E70"/>
    <w:rsid w:val="001C237E"/>
    <w:rsid w:val="001C2D65"/>
    <w:rsid w:val="001C31D4"/>
    <w:rsid w:val="001C32C1"/>
    <w:rsid w:val="001C33B3"/>
    <w:rsid w:val="001C3AB4"/>
    <w:rsid w:val="001C4A4C"/>
    <w:rsid w:val="001C4B79"/>
    <w:rsid w:val="001C4CD9"/>
    <w:rsid w:val="001C4D1D"/>
    <w:rsid w:val="001C500B"/>
    <w:rsid w:val="001C5419"/>
    <w:rsid w:val="001C5E56"/>
    <w:rsid w:val="001C5EFD"/>
    <w:rsid w:val="001C6203"/>
    <w:rsid w:val="001C64F6"/>
    <w:rsid w:val="001C6D0C"/>
    <w:rsid w:val="001C6F07"/>
    <w:rsid w:val="001C6F8E"/>
    <w:rsid w:val="001C70E6"/>
    <w:rsid w:val="001C70E9"/>
    <w:rsid w:val="001C7110"/>
    <w:rsid w:val="001C73E5"/>
    <w:rsid w:val="001C799C"/>
    <w:rsid w:val="001C7D0D"/>
    <w:rsid w:val="001D0062"/>
    <w:rsid w:val="001D0E4D"/>
    <w:rsid w:val="001D1889"/>
    <w:rsid w:val="001D23D2"/>
    <w:rsid w:val="001D25FE"/>
    <w:rsid w:val="001D33AC"/>
    <w:rsid w:val="001D33AE"/>
    <w:rsid w:val="001D3A5B"/>
    <w:rsid w:val="001D3A98"/>
    <w:rsid w:val="001D48FD"/>
    <w:rsid w:val="001D5023"/>
    <w:rsid w:val="001D6095"/>
    <w:rsid w:val="001D62FB"/>
    <w:rsid w:val="001D6D1D"/>
    <w:rsid w:val="001D71A6"/>
    <w:rsid w:val="001D7B84"/>
    <w:rsid w:val="001D7F89"/>
    <w:rsid w:val="001E0252"/>
    <w:rsid w:val="001E0962"/>
    <w:rsid w:val="001E104D"/>
    <w:rsid w:val="001E154B"/>
    <w:rsid w:val="001E1C0B"/>
    <w:rsid w:val="001E1C8C"/>
    <w:rsid w:val="001E1F43"/>
    <w:rsid w:val="001E2E68"/>
    <w:rsid w:val="001E3212"/>
    <w:rsid w:val="001E35A3"/>
    <w:rsid w:val="001E3D4A"/>
    <w:rsid w:val="001E57DB"/>
    <w:rsid w:val="001E7260"/>
    <w:rsid w:val="001E7300"/>
    <w:rsid w:val="001E7670"/>
    <w:rsid w:val="001F094F"/>
    <w:rsid w:val="001F0CBD"/>
    <w:rsid w:val="001F0FB2"/>
    <w:rsid w:val="001F1132"/>
    <w:rsid w:val="001F1C9B"/>
    <w:rsid w:val="001F2712"/>
    <w:rsid w:val="001F369A"/>
    <w:rsid w:val="001F3D66"/>
    <w:rsid w:val="001F3EB4"/>
    <w:rsid w:val="001F4430"/>
    <w:rsid w:val="001F5691"/>
    <w:rsid w:val="001F5A01"/>
    <w:rsid w:val="001F6812"/>
    <w:rsid w:val="001F6F34"/>
    <w:rsid w:val="001F71BC"/>
    <w:rsid w:val="002001DA"/>
    <w:rsid w:val="00200789"/>
    <w:rsid w:val="00200FFA"/>
    <w:rsid w:val="00201696"/>
    <w:rsid w:val="00201DA3"/>
    <w:rsid w:val="00201E69"/>
    <w:rsid w:val="0020208A"/>
    <w:rsid w:val="00203544"/>
    <w:rsid w:val="00203ACD"/>
    <w:rsid w:val="00204448"/>
    <w:rsid w:val="00204ED3"/>
    <w:rsid w:val="00205553"/>
    <w:rsid w:val="002055AA"/>
    <w:rsid w:val="00206086"/>
    <w:rsid w:val="00206942"/>
    <w:rsid w:val="002069BE"/>
    <w:rsid w:val="002069C5"/>
    <w:rsid w:val="002078AC"/>
    <w:rsid w:val="00207B40"/>
    <w:rsid w:val="00207E63"/>
    <w:rsid w:val="00210039"/>
    <w:rsid w:val="002104BB"/>
    <w:rsid w:val="00210BD1"/>
    <w:rsid w:val="00210D0E"/>
    <w:rsid w:val="00211104"/>
    <w:rsid w:val="002113A4"/>
    <w:rsid w:val="002115F8"/>
    <w:rsid w:val="00211CF3"/>
    <w:rsid w:val="002125CF"/>
    <w:rsid w:val="0021347D"/>
    <w:rsid w:val="00213DBA"/>
    <w:rsid w:val="00214332"/>
    <w:rsid w:val="0021437C"/>
    <w:rsid w:val="00215215"/>
    <w:rsid w:val="00215EAD"/>
    <w:rsid w:val="00215ED2"/>
    <w:rsid w:val="002162E1"/>
    <w:rsid w:val="00216546"/>
    <w:rsid w:val="0021672B"/>
    <w:rsid w:val="00216D4F"/>
    <w:rsid w:val="00217340"/>
    <w:rsid w:val="00217387"/>
    <w:rsid w:val="00217483"/>
    <w:rsid w:val="00217B72"/>
    <w:rsid w:val="00220284"/>
    <w:rsid w:val="002202DA"/>
    <w:rsid w:val="00220D1B"/>
    <w:rsid w:val="00220EF1"/>
    <w:rsid w:val="002210D5"/>
    <w:rsid w:val="00221DF0"/>
    <w:rsid w:val="002224FE"/>
    <w:rsid w:val="002230ED"/>
    <w:rsid w:val="00224687"/>
    <w:rsid w:val="002248CB"/>
    <w:rsid w:val="00224E6F"/>
    <w:rsid w:val="00224E7E"/>
    <w:rsid w:val="00225983"/>
    <w:rsid w:val="00225CD5"/>
    <w:rsid w:val="00226924"/>
    <w:rsid w:val="00227598"/>
    <w:rsid w:val="0023053F"/>
    <w:rsid w:val="00230A2C"/>
    <w:rsid w:val="00230AF1"/>
    <w:rsid w:val="00230BBB"/>
    <w:rsid w:val="00230C4E"/>
    <w:rsid w:val="002315E3"/>
    <w:rsid w:val="00231B40"/>
    <w:rsid w:val="00231F87"/>
    <w:rsid w:val="00232499"/>
    <w:rsid w:val="00232B0C"/>
    <w:rsid w:val="00232EAC"/>
    <w:rsid w:val="00233655"/>
    <w:rsid w:val="0023453B"/>
    <w:rsid w:val="00234625"/>
    <w:rsid w:val="00235B30"/>
    <w:rsid w:val="00235DCD"/>
    <w:rsid w:val="002363AA"/>
    <w:rsid w:val="0023668B"/>
    <w:rsid w:val="0023722C"/>
    <w:rsid w:val="0023743F"/>
    <w:rsid w:val="00237AFC"/>
    <w:rsid w:val="00237CD4"/>
    <w:rsid w:val="00240A21"/>
    <w:rsid w:val="00240CAD"/>
    <w:rsid w:val="00240D15"/>
    <w:rsid w:val="0024110A"/>
    <w:rsid w:val="00241F6A"/>
    <w:rsid w:val="002427FB"/>
    <w:rsid w:val="00243104"/>
    <w:rsid w:val="0024363A"/>
    <w:rsid w:val="00243794"/>
    <w:rsid w:val="00243A1F"/>
    <w:rsid w:val="00243D7B"/>
    <w:rsid w:val="00243F25"/>
    <w:rsid w:val="002443B3"/>
    <w:rsid w:val="002446F6"/>
    <w:rsid w:val="0024539B"/>
    <w:rsid w:val="00245806"/>
    <w:rsid w:val="00245DBA"/>
    <w:rsid w:val="002461BD"/>
    <w:rsid w:val="00246B39"/>
    <w:rsid w:val="00246C65"/>
    <w:rsid w:val="002479CB"/>
    <w:rsid w:val="00247BD9"/>
    <w:rsid w:val="00250858"/>
    <w:rsid w:val="0025097E"/>
    <w:rsid w:val="002509F5"/>
    <w:rsid w:val="00250D8F"/>
    <w:rsid w:val="00250ED3"/>
    <w:rsid w:val="002518AE"/>
    <w:rsid w:val="00251962"/>
    <w:rsid w:val="00253FE8"/>
    <w:rsid w:val="00254145"/>
    <w:rsid w:val="0025450A"/>
    <w:rsid w:val="002549A0"/>
    <w:rsid w:val="002554B0"/>
    <w:rsid w:val="00255632"/>
    <w:rsid w:val="00255747"/>
    <w:rsid w:val="00255EDD"/>
    <w:rsid w:val="002563DE"/>
    <w:rsid w:val="00256CB5"/>
    <w:rsid w:val="002578BB"/>
    <w:rsid w:val="00260500"/>
    <w:rsid w:val="00260886"/>
    <w:rsid w:val="002617BF"/>
    <w:rsid w:val="00261F02"/>
    <w:rsid w:val="00262328"/>
    <w:rsid w:val="0026244D"/>
    <w:rsid w:val="00262919"/>
    <w:rsid w:val="00263510"/>
    <w:rsid w:val="00263589"/>
    <w:rsid w:val="00263BBC"/>
    <w:rsid w:val="00263CEE"/>
    <w:rsid w:val="00264047"/>
    <w:rsid w:val="00264D82"/>
    <w:rsid w:val="00265DA2"/>
    <w:rsid w:val="00266C04"/>
    <w:rsid w:val="00266D0A"/>
    <w:rsid w:val="00266DED"/>
    <w:rsid w:val="00266E9D"/>
    <w:rsid w:val="002676F3"/>
    <w:rsid w:val="00267772"/>
    <w:rsid w:val="00267907"/>
    <w:rsid w:val="00267AC3"/>
    <w:rsid w:val="00267C7E"/>
    <w:rsid w:val="002701B7"/>
    <w:rsid w:val="0027045F"/>
    <w:rsid w:val="00270932"/>
    <w:rsid w:val="00270BEB"/>
    <w:rsid w:val="00270E1B"/>
    <w:rsid w:val="002714C7"/>
    <w:rsid w:val="00273591"/>
    <w:rsid w:val="0027381D"/>
    <w:rsid w:val="00273F37"/>
    <w:rsid w:val="00274412"/>
    <w:rsid w:val="00274896"/>
    <w:rsid w:val="00274CA4"/>
    <w:rsid w:val="00274CCB"/>
    <w:rsid w:val="0027575B"/>
    <w:rsid w:val="00275B48"/>
    <w:rsid w:val="002760DC"/>
    <w:rsid w:val="00276D05"/>
    <w:rsid w:val="00276F20"/>
    <w:rsid w:val="00277C86"/>
    <w:rsid w:val="002801EF"/>
    <w:rsid w:val="0028084D"/>
    <w:rsid w:val="00280912"/>
    <w:rsid w:val="0028116A"/>
    <w:rsid w:val="00281B96"/>
    <w:rsid w:val="00282ABB"/>
    <w:rsid w:val="00283F37"/>
    <w:rsid w:val="0028447E"/>
    <w:rsid w:val="002844A8"/>
    <w:rsid w:val="00285787"/>
    <w:rsid w:val="00286DC5"/>
    <w:rsid w:val="00287CEF"/>
    <w:rsid w:val="00287FD9"/>
    <w:rsid w:val="00290912"/>
    <w:rsid w:val="002913EC"/>
    <w:rsid w:val="00291570"/>
    <w:rsid w:val="00291D2B"/>
    <w:rsid w:val="00292216"/>
    <w:rsid w:val="00292252"/>
    <w:rsid w:val="002926D7"/>
    <w:rsid w:val="0029285A"/>
    <w:rsid w:val="00292EF5"/>
    <w:rsid w:val="002933F4"/>
    <w:rsid w:val="0029368D"/>
    <w:rsid w:val="00293B82"/>
    <w:rsid w:val="00293D48"/>
    <w:rsid w:val="0029467C"/>
    <w:rsid w:val="00294D19"/>
    <w:rsid w:val="00295374"/>
    <w:rsid w:val="00295A23"/>
    <w:rsid w:val="002961AD"/>
    <w:rsid w:val="00296AD1"/>
    <w:rsid w:val="0029773A"/>
    <w:rsid w:val="00297C48"/>
    <w:rsid w:val="00297EF5"/>
    <w:rsid w:val="002A0B2E"/>
    <w:rsid w:val="002A1B20"/>
    <w:rsid w:val="002A1CF0"/>
    <w:rsid w:val="002A214E"/>
    <w:rsid w:val="002A26A0"/>
    <w:rsid w:val="002A2969"/>
    <w:rsid w:val="002A3047"/>
    <w:rsid w:val="002A3284"/>
    <w:rsid w:val="002A4F71"/>
    <w:rsid w:val="002A5191"/>
    <w:rsid w:val="002A5454"/>
    <w:rsid w:val="002A55D7"/>
    <w:rsid w:val="002A59AA"/>
    <w:rsid w:val="002A5B04"/>
    <w:rsid w:val="002A5FDB"/>
    <w:rsid w:val="002A62C6"/>
    <w:rsid w:val="002A729C"/>
    <w:rsid w:val="002A7E4F"/>
    <w:rsid w:val="002B03BD"/>
    <w:rsid w:val="002B07EC"/>
    <w:rsid w:val="002B0D63"/>
    <w:rsid w:val="002B0F15"/>
    <w:rsid w:val="002B1340"/>
    <w:rsid w:val="002B1740"/>
    <w:rsid w:val="002B195A"/>
    <w:rsid w:val="002B27F2"/>
    <w:rsid w:val="002B2CD4"/>
    <w:rsid w:val="002B2EC0"/>
    <w:rsid w:val="002B3094"/>
    <w:rsid w:val="002B329B"/>
    <w:rsid w:val="002B3364"/>
    <w:rsid w:val="002B3524"/>
    <w:rsid w:val="002B3726"/>
    <w:rsid w:val="002B4B77"/>
    <w:rsid w:val="002B4D94"/>
    <w:rsid w:val="002B4E98"/>
    <w:rsid w:val="002B5663"/>
    <w:rsid w:val="002B6551"/>
    <w:rsid w:val="002B6630"/>
    <w:rsid w:val="002B6FC5"/>
    <w:rsid w:val="002B734E"/>
    <w:rsid w:val="002B73BE"/>
    <w:rsid w:val="002B744F"/>
    <w:rsid w:val="002B799B"/>
    <w:rsid w:val="002C0077"/>
    <w:rsid w:val="002C0B22"/>
    <w:rsid w:val="002C0BAE"/>
    <w:rsid w:val="002C1157"/>
    <w:rsid w:val="002C1D1D"/>
    <w:rsid w:val="002C1E2D"/>
    <w:rsid w:val="002C29CC"/>
    <w:rsid w:val="002C336A"/>
    <w:rsid w:val="002C3C06"/>
    <w:rsid w:val="002C3D4F"/>
    <w:rsid w:val="002C5244"/>
    <w:rsid w:val="002C53B5"/>
    <w:rsid w:val="002C54C7"/>
    <w:rsid w:val="002C58A5"/>
    <w:rsid w:val="002C591F"/>
    <w:rsid w:val="002C639E"/>
    <w:rsid w:val="002C66AE"/>
    <w:rsid w:val="002C68FD"/>
    <w:rsid w:val="002C6AA5"/>
    <w:rsid w:val="002C759D"/>
    <w:rsid w:val="002C7FDC"/>
    <w:rsid w:val="002D0777"/>
    <w:rsid w:val="002D0AA6"/>
    <w:rsid w:val="002D0BAE"/>
    <w:rsid w:val="002D0CA6"/>
    <w:rsid w:val="002D18C5"/>
    <w:rsid w:val="002D1B07"/>
    <w:rsid w:val="002D248B"/>
    <w:rsid w:val="002D253C"/>
    <w:rsid w:val="002D26A7"/>
    <w:rsid w:val="002D2A8B"/>
    <w:rsid w:val="002D34AA"/>
    <w:rsid w:val="002D3506"/>
    <w:rsid w:val="002D35D8"/>
    <w:rsid w:val="002D3BD0"/>
    <w:rsid w:val="002D3C5A"/>
    <w:rsid w:val="002D3FD4"/>
    <w:rsid w:val="002D4EAF"/>
    <w:rsid w:val="002D55D4"/>
    <w:rsid w:val="002D56CA"/>
    <w:rsid w:val="002D578A"/>
    <w:rsid w:val="002D5D40"/>
    <w:rsid w:val="002D6044"/>
    <w:rsid w:val="002D63EB"/>
    <w:rsid w:val="002D6B5A"/>
    <w:rsid w:val="002D7599"/>
    <w:rsid w:val="002E04DF"/>
    <w:rsid w:val="002E069B"/>
    <w:rsid w:val="002E0C25"/>
    <w:rsid w:val="002E104F"/>
    <w:rsid w:val="002E1925"/>
    <w:rsid w:val="002E1A46"/>
    <w:rsid w:val="002E2637"/>
    <w:rsid w:val="002E36BE"/>
    <w:rsid w:val="002E3BF2"/>
    <w:rsid w:val="002E3C34"/>
    <w:rsid w:val="002E3CC6"/>
    <w:rsid w:val="002E40F6"/>
    <w:rsid w:val="002E4903"/>
    <w:rsid w:val="002E4DFF"/>
    <w:rsid w:val="002E545C"/>
    <w:rsid w:val="002E5A4D"/>
    <w:rsid w:val="002E612A"/>
    <w:rsid w:val="002E74A3"/>
    <w:rsid w:val="002E74D3"/>
    <w:rsid w:val="002E79EF"/>
    <w:rsid w:val="002E7CCE"/>
    <w:rsid w:val="002E7D06"/>
    <w:rsid w:val="002F00D1"/>
    <w:rsid w:val="002F03D4"/>
    <w:rsid w:val="002F042B"/>
    <w:rsid w:val="002F099B"/>
    <w:rsid w:val="002F11E3"/>
    <w:rsid w:val="002F191C"/>
    <w:rsid w:val="002F1B19"/>
    <w:rsid w:val="002F1E8C"/>
    <w:rsid w:val="002F1FB3"/>
    <w:rsid w:val="002F2553"/>
    <w:rsid w:val="002F28B2"/>
    <w:rsid w:val="002F2C4E"/>
    <w:rsid w:val="002F303B"/>
    <w:rsid w:val="002F44DD"/>
    <w:rsid w:val="002F458E"/>
    <w:rsid w:val="002F4AAE"/>
    <w:rsid w:val="002F4B81"/>
    <w:rsid w:val="002F515E"/>
    <w:rsid w:val="002F51F0"/>
    <w:rsid w:val="002F533E"/>
    <w:rsid w:val="002F5409"/>
    <w:rsid w:val="002F5AC8"/>
    <w:rsid w:val="002F66E2"/>
    <w:rsid w:val="002F6F44"/>
    <w:rsid w:val="002F7076"/>
    <w:rsid w:val="002F796B"/>
    <w:rsid w:val="002F7C34"/>
    <w:rsid w:val="002F7D3C"/>
    <w:rsid w:val="003003AD"/>
    <w:rsid w:val="00300599"/>
    <w:rsid w:val="00301E93"/>
    <w:rsid w:val="00302B74"/>
    <w:rsid w:val="00303367"/>
    <w:rsid w:val="00303C65"/>
    <w:rsid w:val="003045D4"/>
    <w:rsid w:val="0030483E"/>
    <w:rsid w:val="00304AD7"/>
    <w:rsid w:val="003058F8"/>
    <w:rsid w:val="00305EEA"/>
    <w:rsid w:val="003067FF"/>
    <w:rsid w:val="00307131"/>
    <w:rsid w:val="0030786B"/>
    <w:rsid w:val="00307F3F"/>
    <w:rsid w:val="003104F8"/>
    <w:rsid w:val="0031061D"/>
    <w:rsid w:val="00310BAF"/>
    <w:rsid w:val="00311734"/>
    <w:rsid w:val="0031213B"/>
    <w:rsid w:val="003137D9"/>
    <w:rsid w:val="00313C4A"/>
    <w:rsid w:val="003155B5"/>
    <w:rsid w:val="003155CD"/>
    <w:rsid w:val="00315835"/>
    <w:rsid w:val="00315A35"/>
    <w:rsid w:val="00315B2D"/>
    <w:rsid w:val="00316A04"/>
    <w:rsid w:val="00316F6D"/>
    <w:rsid w:val="0031750D"/>
    <w:rsid w:val="00317649"/>
    <w:rsid w:val="00320122"/>
    <w:rsid w:val="0032027B"/>
    <w:rsid w:val="00320638"/>
    <w:rsid w:val="0032070D"/>
    <w:rsid w:val="00320815"/>
    <w:rsid w:val="00320B88"/>
    <w:rsid w:val="00321002"/>
    <w:rsid w:val="003213C6"/>
    <w:rsid w:val="003215DD"/>
    <w:rsid w:val="00321E2D"/>
    <w:rsid w:val="00322D9D"/>
    <w:rsid w:val="00323458"/>
    <w:rsid w:val="00323A90"/>
    <w:rsid w:val="0032446A"/>
    <w:rsid w:val="00325031"/>
    <w:rsid w:val="00325B70"/>
    <w:rsid w:val="00325D92"/>
    <w:rsid w:val="00325E43"/>
    <w:rsid w:val="00325FEF"/>
    <w:rsid w:val="00326021"/>
    <w:rsid w:val="00326612"/>
    <w:rsid w:val="0032686F"/>
    <w:rsid w:val="00326DF2"/>
    <w:rsid w:val="00326FB0"/>
    <w:rsid w:val="003273BB"/>
    <w:rsid w:val="003276CE"/>
    <w:rsid w:val="00327F78"/>
    <w:rsid w:val="00330513"/>
    <w:rsid w:val="0033065A"/>
    <w:rsid w:val="00330C9A"/>
    <w:rsid w:val="003310E1"/>
    <w:rsid w:val="003311DF"/>
    <w:rsid w:val="00331441"/>
    <w:rsid w:val="0033151D"/>
    <w:rsid w:val="00331676"/>
    <w:rsid w:val="00332E0C"/>
    <w:rsid w:val="00334D7F"/>
    <w:rsid w:val="00335C96"/>
    <w:rsid w:val="00336391"/>
    <w:rsid w:val="0033671A"/>
    <w:rsid w:val="00336E96"/>
    <w:rsid w:val="003378F0"/>
    <w:rsid w:val="00337A8B"/>
    <w:rsid w:val="00337E1A"/>
    <w:rsid w:val="003401FB"/>
    <w:rsid w:val="00340556"/>
    <w:rsid w:val="00340894"/>
    <w:rsid w:val="00341337"/>
    <w:rsid w:val="00341974"/>
    <w:rsid w:val="00341B70"/>
    <w:rsid w:val="00341DF7"/>
    <w:rsid w:val="00342881"/>
    <w:rsid w:val="003429A6"/>
    <w:rsid w:val="00343086"/>
    <w:rsid w:val="003436CD"/>
    <w:rsid w:val="00343BBE"/>
    <w:rsid w:val="00343CBF"/>
    <w:rsid w:val="00344BD2"/>
    <w:rsid w:val="00344C71"/>
    <w:rsid w:val="00345015"/>
    <w:rsid w:val="00345616"/>
    <w:rsid w:val="003459AB"/>
    <w:rsid w:val="0034713A"/>
    <w:rsid w:val="003478A9"/>
    <w:rsid w:val="00347AB2"/>
    <w:rsid w:val="00347BAD"/>
    <w:rsid w:val="00347E06"/>
    <w:rsid w:val="00350F95"/>
    <w:rsid w:val="0035190B"/>
    <w:rsid w:val="00351949"/>
    <w:rsid w:val="003520F2"/>
    <w:rsid w:val="00352627"/>
    <w:rsid w:val="0035266F"/>
    <w:rsid w:val="00352ED8"/>
    <w:rsid w:val="00353A41"/>
    <w:rsid w:val="00353F5E"/>
    <w:rsid w:val="00353F64"/>
    <w:rsid w:val="00354229"/>
    <w:rsid w:val="00354F72"/>
    <w:rsid w:val="00355177"/>
    <w:rsid w:val="00355F01"/>
    <w:rsid w:val="00356914"/>
    <w:rsid w:val="00357234"/>
    <w:rsid w:val="00357280"/>
    <w:rsid w:val="0035744D"/>
    <w:rsid w:val="0036036A"/>
    <w:rsid w:val="00360EC6"/>
    <w:rsid w:val="00361306"/>
    <w:rsid w:val="00361C39"/>
    <w:rsid w:val="00362759"/>
    <w:rsid w:val="00362C55"/>
    <w:rsid w:val="00362C7B"/>
    <w:rsid w:val="003636EE"/>
    <w:rsid w:val="00364237"/>
    <w:rsid w:val="00364A47"/>
    <w:rsid w:val="00364C4D"/>
    <w:rsid w:val="003657A3"/>
    <w:rsid w:val="00365944"/>
    <w:rsid w:val="00365BE0"/>
    <w:rsid w:val="00366A45"/>
    <w:rsid w:val="00366BDB"/>
    <w:rsid w:val="00370750"/>
    <w:rsid w:val="003709B1"/>
    <w:rsid w:val="003709BA"/>
    <w:rsid w:val="0037123D"/>
    <w:rsid w:val="00371385"/>
    <w:rsid w:val="003715DF"/>
    <w:rsid w:val="0037167C"/>
    <w:rsid w:val="00371A7A"/>
    <w:rsid w:val="00371E33"/>
    <w:rsid w:val="0037223B"/>
    <w:rsid w:val="003724D8"/>
    <w:rsid w:val="00372AAA"/>
    <w:rsid w:val="00373776"/>
    <w:rsid w:val="003749FD"/>
    <w:rsid w:val="00374C34"/>
    <w:rsid w:val="00374F4C"/>
    <w:rsid w:val="00374FC9"/>
    <w:rsid w:val="00375260"/>
    <w:rsid w:val="00375349"/>
    <w:rsid w:val="00375910"/>
    <w:rsid w:val="003768DD"/>
    <w:rsid w:val="003774DE"/>
    <w:rsid w:val="00377556"/>
    <w:rsid w:val="00377D2A"/>
    <w:rsid w:val="00377E57"/>
    <w:rsid w:val="00380223"/>
    <w:rsid w:val="00380871"/>
    <w:rsid w:val="00380A84"/>
    <w:rsid w:val="00381BB7"/>
    <w:rsid w:val="00381DAD"/>
    <w:rsid w:val="0038287C"/>
    <w:rsid w:val="003829AC"/>
    <w:rsid w:val="00382E3A"/>
    <w:rsid w:val="0038324F"/>
    <w:rsid w:val="00383EC6"/>
    <w:rsid w:val="00384556"/>
    <w:rsid w:val="00385107"/>
    <w:rsid w:val="00385231"/>
    <w:rsid w:val="00385766"/>
    <w:rsid w:val="00385BDB"/>
    <w:rsid w:val="00385D21"/>
    <w:rsid w:val="0038729F"/>
    <w:rsid w:val="00387714"/>
    <w:rsid w:val="00387E6B"/>
    <w:rsid w:val="003901C6"/>
    <w:rsid w:val="00390456"/>
    <w:rsid w:val="00390698"/>
    <w:rsid w:val="003907B6"/>
    <w:rsid w:val="00390B4A"/>
    <w:rsid w:val="00390C99"/>
    <w:rsid w:val="00391251"/>
    <w:rsid w:val="00391506"/>
    <w:rsid w:val="00391919"/>
    <w:rsid w:val="00391CDE"/>
    <w:rsid w:val="00392B55"/>
    <w:rsid w:val="00392DF3"/>
    <w:rsid w:val="00393409"/>
    <w:rsid w:val="003935E0"/>
    <w:rsid w:val="00393A0C"/>
    <w:rsid w:val="003942DA"/>
    <w:rsid w:val="00394CDE"/>
    <w:rsid w:val="00394E44"/>
    <w:rsid w:val="00394E69"/>
    <w:rsid w:val="003950DA"/>
    <w:rsid w:val="00395251"/>
    <w:rsid w:val="003952AE"/>
    <w:rsid w:val="00395678"/>
    <w:rsid w:val="00395E81"/>
    <w:rsid w:val="00396ADA"/>
    <w:rsid w:val="0039764F"/>
    <w:rsid w:val="0039774C"/>
    <w:rsid w:val="00397AB5"/>
    <w:rsid w:val="00397DAE"/>
    <w:rsid w:val="003A0303"/>
    <w:rsid w:val="003A0DD2"/>
    <w:rsid w:val="003A1697"/>
    <w:rsid w:val="003A1732"/>
    <w:rsid w:val="003A1EC3"/>
    <w:rsid w:val="003A2ED1"/>
    <w:rsid w:val="003A2F45"/>
    <w:rsid w:val="003A3B81"/>
    <w:rsid w:val="003A4101"/>
    <w:rsid w:val="003A4751"/>
    <w:rsid w:val="003A49BD"/>
    <w:rsid w:val="003A4A11"/>
    <w:rsid w:val="003A4A61"/>
    <w:rsid w:val="003A5985"/>
    <w:rsid w:val="003A5D46"/>
    <w:rsid w:val="003A5EFC"/>
    <w:rsid w:val="003A6953"/>
    <w:rsid w:val="003A6E72"/>
    <w:rsid w:val="003A7392"/>
    <w:rsid w:val="003A74DD"/>
    <w:rsid w:val="003A7695"/>
    <w:rsid w:val="003A76AE"/>
    <w:rsid w:val="003A76DE"/>
    <w:rsid w:val="003A77EB"/>
    <w:rsid w:val="003A7D65"/>
    <w:rsid w:val="003B105A"/>
    <w:rsid w:val="003B11B0"/>
    <w:rsid w:val="003B150E"/>
    <w:rsid w:val="003B1A88"/>
    <w:rsid w:val="003B527C"/>
    <w:rsid w:val="003B5545"/>
    <w:rsid w:val="003B56C9"/>
    <w:rsid w:val="003B5955"/>
    <w:rsid w:val="003B630A"/>
    <w:rsid w:val="003B6F73"/>
    <w:rsid w:val="003B761A"/>
    <w:rsid w:val="003B79E3"/>
    <w:rsid w:val="003B7B9E"/>
    <w:rsid w:val="003C015B"/>
    <w:rsid w:val="003C0E10"/>
    <w:rsid w:val="003C1AC3"/>
    <w:rsid w:val="003C27B1"/>
    <w:rsid w:val="003C2C4C"/>
    <w:rsid w:val="003C2E61"/>
    <w:rsid w:val="003C33B0"/>
    <w:rsid w:val="003C35C4"/>
    <w:rsid w:val="003C3E8E"/>
    <w:rsid w:val="003C498F"/>
    <w:rsid w:val="003C49BE"/>
    <w:rsid w:val="003C4F56"/>
    <w:rsid w:val="003C588D"/>
    <w:rsid w:val="003C5C20"/>
    <w:rsid w:val="003C613F"/>
    <w:rsid w:val="003C629B"/>
    <w:rsid w:val="003C6767"/>
    <w:rsid w:val="003C6E0C"/>
    <w:rsid w:val="003C6F37"/>
    <w:rsid w:val="003C714B"/>
    <w:rsid w:val="003C71DB"/>
    <w:rsid w:val="003C7551"/>
    <w:rsid w:val="003C76CE"/>
    <w:rsid w:val="003C7E65"/>
    <w:rsid w:val="003D098A"/>
    <w:rsid w:val="003D0DF8"/>
    <w:rsid w:val="003D194E"/>
    <w:rsid w:val="003D1C79"/>
    <w:rsid w:val="003D1E2F"/>
    <w:rsid w:val="003D3001"/>
    <w:rsid w:val="003D3208"/>
    <w:rsid w:val="003D329C"/>
    <w:rsid w:val="003D3586"/>
    <w:rsid w:val="003D3A18"/>
    <w:rsid w:val="003D3D27"/>
    <w:rsid w:val="003D4CFA"/>
    <w:rsid w:val="003D4DEE"/>
    <w:rsid w:val="003D50A7"/>
    <w:rsid w:val="003D517F"/>
    <w:rsid w:val="003D5380"/>
    <w:rsid w:val="003D59FF"/>
    <w:rsid w:val="003D5A72"/>
    <w:rsid w:val="003D6333"/>
    <w:rsid w:val="003D63F4"/>
    <w:rsid w:val="003D6891"/>
    <w:rsid w:val="003D6C11"/>
    <w:rsid w:val="003D7610"/>
    <w:rsid w:val="003D7E48"/>
    <w:rsid w:val="003D7F03"/>
    <w:rsid w:val="003D7FBF"/>
    <w:rsid w:val="003E0132"/>
    <w:rsid w:val="003E01DC"/>
    <w:rsid w:val="003E05B5"/>
    <w:rsid w:val="003E0875"/>
    <w:rsid w:val="003E0FFC"/>
    <w:rsid w:val="003E12D7"/>
    <w:rsid w:val="003E1AFF"/>
    <w:rsid w:val="003E1EB2"/>
    <w:rsid w:val="003E2090"/>
    <w:rsid w:val="003E24E9"/>
    <w:rsid w:val="003E2C2D"/>
    <w:rsid w:val="003E2EB0"/>
    <w:rsid w:val="003E3323"/>
    <w:rsid w:val="003E3D38"/>
    <w:rsid w:val="003E3EF7"/>
    <w:rsid w:val="003E41B4"/>
    <w:rsid w:val="003E4583"/>
    <w:rsid w:val="003E5628"/>
    <w:rsid w:val="003E6BEF"/>
    <w:rsid w:val="003E7201"/>
    <w:rsid w:val="003E7263"/>
    <w:rsid w:val="003E7E5B"/>
    <w:rsid w:val="003F0739"/>
    <w:rsid w:val="003F0848"/>
    <w:rsid w:val="003F0C09"/>
    <w:rsid w:val="003F0EA0"/>
    <w:rsid w:val="003F10F0"/>
    <w:rsid w:val="003F266E"/>
    <w:rsid w:val="003F2AF7"/>
    <w:rsid w:val="003F2C9B"/>
    <w:rsid w:val="003F5092"/>
    <w:rsid w:val="003F54B8"/>
    <w:rsid w:val="003F5832"/>
    <w:rsid w:val="003F6B22"/>
    <w:rsid w:val="003F73F5"/>
    <w:rsid w:val="003F7E55"/>
    <w:rsid w:val="00400811"/>
    <w:rsid w:val="00400936"/>
    <w:rsid w:val="00400EE8"/>
    <w:rsid w:val="00401F61"/>
    <w:rsid w:val="00402B80"/>
    <w:rsid w:val="00403006"/>
    <w:rsid w:val="0040332D"/>
    <w:rsid w:val="00403B85"/>
    <w:rsid w:val="00403C89"/>
    <w:rsid w:val="00403C9D"/>
    <w:rsid w:val="00404913"/>
    <w:rsid w:val="00404A09"/>
    <w:rsid w:val="00404E65"/>
    <w:rsid w:val="00404E9B"/>
    <w:rsid w:val="00404F1E"/>
    <w:rsid w:val="00405704"/>
    <w:rsid w:val="00406027"/>
    <w:rsid w:val="00406107"/>
    <w:rsid w:val="004068EB"/>
    <w:rsid w:val="00406F16"/>
    <w:rsid w:val="00406F93"/>
    <w:rsid w:val="00406FCB"/>
    <w:rsid w:val="00407986"/>
    <w:rsid w:val="00407B53"/>
    <w:rsid w:val="004104A3"/>
    <w:rsid w:val="004104B4"/>
    <w:rsid w:val="00410ED1"/>
    <w:rsid w:val="00411040"/>
    <w:rsid w:val="00411069"/>
    <w:rsid w:val="00411A06"/>
    <w:rsid w:val="004123D6"/>
    <w:rsid w:val="004126DB"/>
    <w:rsid w:val="00413079"/>
    <w:rsid w:val="00413908"/>
    <w:rsid w:val="00414898"/>
    <w:rsid w:val="00414FE8"/>
    <w:rsid w:val="00414FED"/>
    <w:rsid w:val="0041522F"/>
    <w:rsid w:val="00415ECE"/>
    <w:rsid w:val="0041683F"/>
    <w:rsid w:val="00417143"/>
    <w:rsid w:val="004171D0"/>
    <w:rsid w:val="0041768F"/>
    <w:rsid w:val="00420476"/>
    <w:rsid w:val="00420970"/>
    <w:rsid w:val="004211FE"/>
    <w:rsid w:val="00421770"/>
    <w:rsid w:val="00421AE7"/>
    <w:rsid w:val="00421B4F"/>
    <w:rsid w:val="00421C3F"/>
    <w:rsid w:val="00422316"/>
    <w:rsid w:val="004229ED"/>
    <w:rsid w:val="00422DD2"/>
    <w:rsid w:val="00423275"/>
    <w:rsid w:val="00423FA7"/>
    <w:rsid w:val="004247BF"/>
    <w:rsid w:val="00424B91"/>
    <w:rsid w:val="00424BBB"/>
    <w:rsid w:val="00425801"/>
    <w:rsid w:val="004264A7"/>
    <w:rsid w:val="00426C7B"/>
    <w:rsid w:val="004271FF"/>
    <w:rsid w:val="00427603"/>
    <w:rsid w:val="004300C9"/>
    <w:rsid w:val="0043079D"/>
    <w:rsid w:val="00430A5F"/>
    <w:rsid w:val="004313C6"/>
    <w:rsid w:val="004317FB"/>
    <w:rsid w:val="00431DA9"/>
    <w:rsid w:val="00432BCA"/>
    <w:rsid w:val="00432C87"/>
    <w:rsid w:val="00432CAD"/>
    <w:rsid w:val="00433596"/>
    <w:rsid w:val="00433650"/>
    <w:rsid w:val="0043495A"/>
    <w:rsid w:val="004352AF"/>
    <w:rsid w:val="004353FF"/>
    <w:rsid w:val="004356BB"/>
    <w:rsid w:val="00436741"/>
    <w:rsid w:val="0043782D"/>
    <w:rsid w:val="00440002"/>
    <w:rsid w:val="004401B0"/>
    <w:rsid w:val="00440C2F"/>
    <w:rsid w:val="004410F0"/>
    <w:rsid w:val="004418C9"/>
    <w:rsid w:val="0044220F"/>
    <w:rsid w:val="004424F4"/>
    <w:rsid w:val="00442834"/>
    <w:rsid w:val="00444270"/>
    <w:rsid w:val="00444496"/>
    <w:rsid w:val="004449CE"/>
    <w:rsid w:val="00444CB5"/>
    <w:rsid w:val="00445BD0"/>
    <w:rsid w:val="00445CBC"/>
    <w:rsid w:val="00446182"/>
    <w:rsid w:val="00446496"/>
    <w:rsid w:val="00446711"/>
    <w:rsid w:val="00446F37"/>
    <w:rsid w:val="00446F8A"/>
    <w:rsid w:val="00447AFB"/>
    <w:rsid w:val="004500EE"/>
    <w:rsid w:val="00450B4D"/>
    <w:rsid w:val="00450C94"/>
    <w:rsid w:val="004514DF"/>
    <w:rsid w:val="00453397"/>
    <w:rsid w:val="0045348C"/>
    <w:rsid w:val="00453878"/>
    <w:rsid w:val="004539B9"/>
    <w:rsid w:val="00453ACC"/>
    <w:rsid w:val="00453B00"/>
    <w:rsid w:val="00454A31"/>
    <w:rsid w:val="00454A3F"/>
    <w:rsid w:val="004555C9"/>
    <w:rsid w:val="00455784"/>
    <w:rsid w:val="00455BB3"/>
    <w:rsid w:val="00455E11"/>
    <w:rsid w:val="00455ECC"/>
    <w:rsid w:val="00456445"/>
    <w:rsid w:val="004567FA"/>
    <w:rsid w:val="00456C79"/>
    <w:rsid w:val="00457694"/>
    <w:rsid w:val="00457B3D"/>
    <w:rsid w:val="00457E93"/>
    <w:rsid w:val="00457FCD"/>
    <w:rsid w:val="00460026"/>
    <w:rsid w:val="0046024A"/>
    <w:rsid w:val="00460BA6"/>
    <w:rsid w:val="00460BDC"/>
    <w:rsid w:val="00460BE7"/>
    <w:rsid w:val="00460F28"/>
    <w:rsid w:val="00461240"/>
    <w:rsid w:val="00461D3A"/>
    <w:rsid w:val="00462973"/>
    <w:rsid w:val="00462EC8"/>
    <w:rsid w:val="0046389D"/>
    <w:rsid w:val="004640F4"/>
    <w:rsid w:val="00464154"/>
    <w:rsid w:val="00464160"/>
    <w:rsid w:val="004648AB"/>
    <w:rsid w:val="00464FE2"/>
    <w:rsid w:val="004657B4"/>
    <w:rsid w:val="00465DB2"/>
    <w:rsid w:val="0046679D"/>
    <w:rsid w:val="0046761F"/>
    <w:rsid w:val="00467D1F"/>
    <w:rsid w:val="0047058A"/>
    <w:rsid w:val="0047112A"/>
    <w:rsid w:val="00471213"/>
    <w:rsid w:val="00471861"/>
    <w:rsid w:val="00471EF0"/>
    <w:rsid w:val="00471FA6"/>
    <w:rsid w:val="00471FC7"/>
    <w:rsid w:val="004722B7"/>
    <w:rsid w:val="004727C5"/>
    <w:rsid w:val="00473C7A"/>
    <w:rsid w:val="00473E15"/>
    <w:rsid w:val="00474053"/>
    <w:rsid w:val="00474E8F"/>
    <w:rsid w:val="00475264"/>
    <w:rsid w:val="004756D7"/>
    <w:rsid w:val="00475877"/>
    <w:rsid w:val="00475A9D"/>
    <w:rsid w:val="00475E82"/>
    <w:rsid w:val="0047660A"/>
    <w:rsid w:val="0047774F"/>
    <w:rsid w:val="00480105"/>
    <w:rsid w:val="00480C09"/>
    <w:rsid w:val="00481026"/>
    <w:rsid w:val="00481C30"/>
    <w:rsid w:val="00481EF7"/>
    <w:rsid w:val="00481F67"/>
    <w:rsid w:val="00482C2D"/>
    <w:rsid w:val="00482E12"/>
    <w:rsid w:val="00482E8E"/>
    <w:rsid w:val="004839CB"/>
    <w:rsid w:val="00483EA8"/>
    <w:rsid w:val="00484441"/>
    <w:rsid w:val="004846E2"/>
    <w:rsid w:val="004848CE"/>
    <w:rsid w:val="0048499D"/>
    <w:rsid w:val="0048554C"/>
    <w:rsid w:val="00485C7A"/>
    <w:rsid w:val="00485F67"/>
    <w:rsid w:val="00486154"/>
    <w:rsid w:val="0048618B"/>
    <w:rsid w:val="004864F7"/>
    <w:rsid w:val="00486C54"/>
    <w:rsid w:val="00486C5A"/>
    <w:rsid w:val="00486CD4"/>
    <w:rsid w:val="00486F26"/>
    <w:rsid w:val="00486FE7"/>
    <w:rsid w:val="00487A6F"/>
    <w:rsid w:val="00487E3B"/>
    <w:rsid w:val="0049061C"/>
    <w:rsid w:val="00490B4D"/>
    <w:rsid w:val="0049119D"/>
    <w:rsid w:val="004914E6"/>
    <w:rsid w:val="00491DDC"/>
    <w:rsid w:val="0049265A"/>
    <w:rsid w:val="00492A5F"/>
    <w:rsid w:val="0049326F"/>
    <w:rsid w:val="004933B8"/>
    <w:rsid w:val="00493E2B"/>
    <w:rsid w:val="00493F9F"/>
    <w:rsid w:val="00494518"/>
    <w:rsid w:val="00494905"/>
    <w:rsid w:val="00494C6F"/>
    <w:rsid w:val="00495B9F"/>
    <w:rsid w:val="0049610C"/>
    <w:rsid w:val="004966B2"/>
    <w:rsid w:val="00496F98"/>
    <w:rsid w:val="004970F1"/>
    <w:rsid w:val="0049765E"/>
    <w:rsid w:val="00497A06"/>
    <w:rsid w:val="00497BA7"/>
    <w:rsid w:val="004A00AC"/>
    <w:rsid w:val="004A0CF2"/>
    <w:rsid w:val="004A0E5C"/>
    <w:rsid w:val="004A12BA"/>
    <w:rsid w:val="004A1730"/>
    <w:rsid w:val="004A197B"/>
    <w:rsid w:val="004A1B08"/>
    <w:rsid w:val="004A1FBE"/>
    <w:rsid w:val="004A4163"/>
    <w:rsid w:val="004A470C"/>
    <w:rsid w:val="004A51EB"/>
    <w:rsid w:val="004A532E"/>
    <w:rsid w:val="004A5BDC"/>
    <w:rsid w:val="004A66D6"/>
    <w:rsid w:val="004B0122"/>
    <w:rsid w:val="004B0469"/>
    <w:rsid w:val="004B052C"/>
    <w:rsid w:val="004B0761"/>
    <w:rsid w:val="004B0C04"/>
    <w:rsid w:val="004B0DAA"/>
    <w:rsid w:val="004B0E87"/>
    <w:rsid w:val="004B0EBC"/>
    <w:rsid w:val="004B1216"/>
    <w:rsid w:val="004B1445"/>
    <w:rsid w:val="004B1D94"/>
    <w:rsid w:val="004B2474"/>
    <w:rsid w:val="004B251F"/>
    <w:rsid w:val="004B27DA"/>
    <w:rsid w:val="004B28CC"/>
    <w:rsid w:val="004B355C"/>
    <w:rsid w:val="004B4078"/>
    <w:rsid w:val="004B5DE1"/>
    <w:rsid w:val="004B63C4"/>
    <w:rsid w:val="004B6AD1"/>
    <w:rsid w:val="004B73A3"/>
    <w:rsid w:val="004C170D"/>
    <w:rsid w:val="004C1C4E"/>
    <w:rsid w:val="004C1E45"/>
    <w:rsid w:val="004C203C"/>
    <w:rsid w:val="004C2445"/>
    <w:rsid w:val="004C2660"/>
    <w:rsid w:val="004C31B7"/>
    <w:rsid w:val="004C3BAC"/>
    <w:rsid w:val="004C3D00"/>
    <w:rsid w:val="004C3E50"/>
    <w:rsid w:val="004C4115"/>
    <w:rsid w:val="004C5871"/>
    <w:rsid w:val="004C597F"/>
    <w:rsid w:val="004C5C5A"/>
    <w:rsid w:val="004C7D26"/>
    <w:rsid w:val="004C7E77"/>
    <w:rsid w:val="004D078F"/>
    <w:rsid w:val="004D0984"/>
    <w:rsid w:val="004D14F4"/>
    <w:rsid w:val="004D156D"/>
    <w:rsid w:val="004D1694"/>
    <w:rsid w:val="004D17EA"/>
    <w:rsid w:val="004D1E88"/>
    <w:rsid w:val="004D2296"/>
    <w:rsid w:val="004D302D"/>
    <w:rsid w:val="004D3E9F"/>
    <w:rsid w:val="004D453B"/>
    <w:rsid w:val="004D4AC1"/>
    <w:rsid w:val="004D5E2C"/>
    <w:rsid w:val="004D623A"/>
    <w:rsid w:val="004D69B7"/>
    <w:rsid w:val="004D7552"/>
    <w:rsid w:val="004E013A"/>
    <w:rsid w:val="004E05A6"/>
    <w:rsid w:val="004E0EBD"/>
    <w:rsid w:val="004E0FD1"/>
    <w:rsid w:val="004E1170"/>
    <w:rsid w:val="004E1D0E"/>
    <w:rsid w:val="004E1D94"/>
    <w:rsid w:val="004E2835"/>
    <w:rsid w:val="004E337E"/>
    <w:rsid w:val="004E341D"/>
    <w:rsid w:val="004E3AED"/>
    <w:rsid w:val="004E3BAB"/>
    <w:rsid w:val="004E59DF"/>
    <w:rsid w:val="004E5C6A"/>
    <w:rsid w:val="004E5E87"/>
    <w:rsid w:val="004E665D"/>
    <w:rsid w:val="004E6DDB"/>
    <w:rsid w:val="004E7987"/>
    <w:rsid w:val="004E79C8"/>
    <w:rsid w:val="004E7DCC"/>
    <w:rsid w:val="004E7ED2"/>
    <w:rsid w:val="004F079E"/>
    <w:rsid w:val="004F12CB"/>
    <w:rsid w:val="004F1745"/>
    <w:rsid w:val="004F17FE"/>
    <w:rsid w:val="004F207B"/>
    <w:rsid w:val="004F25F5"/>
    <w:rsid w:val="004F2912"/>
    <w:rsid w:val="004F340D"/>
    <w:rsid w:val="004F350A"/>
    <w:rsid w:val="004F4988"/>
    <w:rsid w:val="004F4F3E"/>
    <w:rsid w:val="004F56EE"/>
    <w:rsid w:val="004F6465"/>
    <w:rsid w:val="004F68F1"/>
    <w:rsid w:val="004F7009"/>
    <w:rsid w:val="00500362"/>
    <w:rsid w:val="00500C8B"/>
    <w:rsid w:val="00500D80"/>
    <w:rsid w:val="00500DA7"/>
    <w:rsid w:val="00501A67"/>
    <w:rsid w:val="00501B9B"/>
    <w:rsid w:val="00501FB7"/>
    <w:rsid w:val="00502013"/>
    <w:rsid w:val="00502AD8"/>
    <w:rsid w:val="0050443B"/>
    <w:rsid w:val="00504AF0"/>
    <w:rsid w:val="00504CDD"/>
    <w:rsid w:val="0050522F"/>
    <w:rsid w:val="00505257"/>
    <w:rsid w:val="005062F6"/>
    <w:rsid w:val="00506561"/>
    <w:rsid w:val="00506713"/>
    <w:rsid w:val="00506E95"/>
    <w:rsid w:val="00506FBD"/>
    <w:rsid w:val="005071B9"/>
    <w:rsid w:val="00507A71"/>
    <w:rsid w:val="00507E30"/>
    <w:rsid w:val="00510736"/>
    <w:rsid w:val="00511D72"/>
    <w:rsid w:val="00512612"/>
    <w:rsid w:val="00512813"/>
    <w:rsid w:val="005137B3"/>
    <w:rsid w:val="00513917"/>
    <w:rsid w:val="005141B6"/>
    <w:rsid w:val="005144F4"/>
    <w:rsid w:val="0051482D"/>
    <w:rsid w:val="00514D4F"/>
    <w:rsid w:val="00514E3B"/>
    <w:rsid w:val="00514ED9"/>
    <w:rsid w:val="0051587D"/>
    <w:rsid w:val="005161AA"/>
    <w:rsid w:val="00516B84"/>
    <w:rsid w:val="00516BEC"/>
    <w:rsid w:val="0051735F"/>
    <w:rsid w:val="00517669"/>
    <w:rsid w:val="00520149"/>
    <w:rsid w:val="005211E3"/>
    <w:rsid w:val="00521D8A"/>
    <w:rsid w:val="00522E47"/>
    <w:rsid w:val="00523468"/>
    <w:rsid w:val="00523C8D"/>
    <w:rsid w:val="00524330"/>
    <w:rsid w:val="0052470D"/>
    <w:rsid w:val="00524CA1"/>
    <w:rsid w:val="00524E58"/>
    <w:rsid w:val="005251B8"/>
    <w:rsid w:val="00525682"/>
    <w:rsid w:val="00525ABC"/>
    <w:rsid w:val="00525E37"/>
    <w:rsid w:val="00525F70"/>
    <w:rsid w:val="00526FBC"/>
    <w:rsid w:val="00527285"/>
    <w:rsid w:val="00527291"/>
    <w:rsid w:val="00527ACD"/>
    <w:rsid w:val="00527B36"/>
    <w:rsid w:val="00527D42"/>
    <w:rsid w:val="005311BC"/>
    <w:rsid w:val="00531419"/>
    <w:rsid w:val="00531E2B"/>
    <w:rsid w:val="00532102"/>
    <w:rsid w:val="005329A1"/>
    <w:rsid w:val="00533B31"/>
    <w:rsid w:val="005344EB"/>
    <w:rsid w:val="005348C3"/>
    <w:rsid w:val="00534F9A"/>
    <w:rsid w:val="0053513E"/>
    <w:rsid w:val="005353AE"/>
    <w:rsid w:val="005357EA"/>
    <w:rsid w:val="00535CF1"/>
    <w:rsid w:val="00535EB9"/>
    <w:rsid w:val="00535F2F"/>
    <w:rsid w:val="00536349"/>
    <w:rsid w:val="005366BF"/>
    <w:rsid w:val="00536726"/>
    <w:rsid w:val="00536F5D"/>
    <w:rsid w:val="00536FD0"/>
    <w:rsid w:val="00537B10"/>
    <w:rsid w:val="0054012C"/>
    <w:rsid w:val="005409D8"/>
    <w:rsid w:val="00541426"/>
    <w:rsid w:val="00541607"/>
    <w:rsid w:val="00541DE4"/>
    <w:rsid w:val="00541FFF"/>
    <w:rsid w:val="00542981"/>
    <w:rsid w:val="00542E1F"/>
    <w:rsid w:val="005432B3"/>
    <w:rsid w:val="0054343B"/>
    <w:rsid w:val="0054356C"/>
    <w:rsid w:val="00543981"/>
    <w:rsid w:val="005447FE"/>
    <w:rsid w:val="00544D46"/>
    <w:rsid w:val="00545DA2"/>
    <w:rsid w:val="0054647F"/>
    <w:rsid w:val="00546610"/>
    <w:rsid w:val="00546BA8"/>
    <w:rsid w:val="0054722D"/>
    <w:rsid w:val="005472EC"/>
    <w:rsid w:val="0055002F"/>
    <w:rsid w:val="00550813"/>
    <w:rsid w:val="005509F5"/>
    <w:rsid w:val="00550BD9"/>
    <w:rsid w:val="005513F0"/>
    <w:rsid w:val="005516A3"/>
    <w:rsid w:val="00551AF7"/>
    <w:rsid w:val="00551CFE"/>
    <w:rsid w:val="00551DD8"/>
    <w:rsid w:val="00551F28"/>
    <w:rsid w:val="00552939"/>
    <w:rsid w:val="0055295A"/>
    <w:rsid w:val="00552E12"/>
    <w:rsid w:val="00552F31"/>
    <w:rsid w:val="00552F3C"/>
    <w:rsid w:val="005532A4"/>
    <w:rsid w:val="005544A8"/>
    <w:rsid w:val="00554764"/>
    <w:rsid w:val="005556C4"/>
    <w:rsid w:val="005559F6"/>
    <w:rsid w:val="00555A14"/>
    <w:rsid w:val="00556893"/>
    <w:rsid w:val="00556C7B"/>
    <w:rsid w:val="00557038"/>
    <w:rsid w:val="005614F1"/>
    <w:rsid w:val="00561F7C"/>
    <w:rsid w:val="00561FB8"/>
    <w:rsid w:val="005624C9"/>
    <w:rsid w:val="0056254D"/>
    <w:rsid w:val="00562E09"/>
    <w:rsid w:val="0056315B"/>
    <w:rsid w:val="005638D1"/>
    <w:rsid w:val="00563D7E"/>
    <w:rsid w:val="00563F1E"/>
    <w:rsid w:val="0056529F"/>
    <w:rsid w:val="00565A95"/>
    <w:rsid w:val="00566037"/>
    <w:rsid w:val="00566550"/>
    <w:rsid w:val="0056699A"/>
    <w:rsid w:val="00566A90"/>
    <w:rsid w:val="00566B00"/>
    <w:rsid w:val="00566D93"/>
    <w:rsid w:val="00567630"/>
    <w:rsid w:val="00570AA9"/>
    <w:rsid w:val="00570D96"/>
    <w:rsid w:val="0057140E"/>
    <w:rsid w:val="00572617"/>
    <w:rsid w:val="00572738"/>
    <w:rsid w:val="00572773"/>
    <w:rsid w:val="00573141"/>
    <w:rsid w:val="00573166"/>
    <w:rsid w:val="005733C2"/>
    <w:rsid w:val="005733C6"/>
    <w:rsid w:val="00573DA1"/>
    <w:rsid w:val="00573E38"/>
    <w:rsid w:val="00573EDC"/>
    <w:rsid w:val="00574713"/>
    <w:rsid w:val="005749D9"/>
    <w:rsid w:val="005749DF"/>
    <w:rsid w:val="00574EFE"/>
    <w:rsid w:val="005752F1"/>
    <w:rsid w:val="005766B8"/>
    <w:rsid w:val="005768C2"/>
    <w:rsid w:val="00577022"/>
    <w:rsid w:val="005778A0"/>
    <w:rsid w:val="00577987"/>
    <w:rsid w:val="00577F3A"/>
    <w:rsid w:val="005810A9"/>
    <w:rsid w:val="00581E55"/>
    <w:rsid w:val="00582581"/>
    <w:rsid w:val="00582CA8"/>
    <w:rsid w:val="00583752"/>
    <w:rsid w:val="00583D62"/>
    <w:rsid w:val="00583F91"/>
    <w:rsid w:val="0058453E"/>
    <w:rsid w:val="00584D2D"/>
    <w:rsid w:val="00585BD7"/>
    <w:rsid w:val="00586491"/>
    <w:rsid w:val="005867E5"/>
    <w:rsid w:val="00586892"/>
    <w:rsid w:val="00586A40"/>
    <w:rsid w:val="0058749C"/>
    <w:rsid w:val="005879CA"/>
    <w:rsid w:val="00587B29"/>
    <w:rsid w:val="00587CAA"/>
    <w:rsid w:val="00590FBF"/>
    <w:rsid w:val="0059150C"/>
    <w:rsid w:val="00591510"/>
    <w:rsid w:val="00591B5D"/>
    <w:rsid w:val="00591E0C"/>
    <w:rsid w:val="0059287A"/>
    <w:rsid w:val="00592996"/>
    <w:rsid w:val="00592ADA"/>
    <w:rsid w:val="00592FAC"/>
    <w:rsid w:val="00593026"/>
    <w:rsid w:val="0059369F"/>
    <w:rsid w:val="005940CB"/>
    <w:rsid w:val="00594C8D"/>
    <w:rsid w:val="005954E1"/>
    <w:rsid w:val="005957C8"/>
    <w:rsid w:val="00596192"/>
    <w:rsid w:val="00596479"/>
    <w:rsid w:val="0059748E"/>
    <w:rsid w:val="005A047A"/>
    <w:rsid w:val="005A0501"/>
    <w:rsid w:val="005A0BCA"/>
    <w:rsid w:val="005A17F4"/>
    <w:rsid w:val="005A2255"/>
    <w:rsid w:val="005A3B77"/>
    <w:rsid w:val="005A4018"/>
    <w:rsid w:val="005A4076"/>
    <w:rsid w:val="005A65FE"/>
    <w:rsid w:val="005A674A"/>
    <w:rsid w:val="005A6844"/>
    <w:rsid w:val="005A76A4"/>
    <w:rsid w:val="005A77BE"/>
    <w:rsid w:val="005A797F"/>
    <w:rsid w:val="005B0601"/>
    <w:rsid w:val="005B0C68"/>
    <w:rsid w:val="005B28F1"/>
    <w:rsid w:val="005B2F74"/>
    <w:rsid w:val="005B3238"/>
    <w:rsid w:val="005B32B9"/>
    <w:rsid w:val="005B3ADB"/>
    <w:rsid w:val="005B3B49"/>
    <w:rsid w:val="005B4400"/>
    <w:rsid w:val="005B5293"/>
    <w:rsid w:val="005B6DDA"/>
    <w:rsid w:val="005B6E66"/>
    <w:rsid w:val="005B6E70"/>
    <w:rsid w:val="005B6F8A"/>
    <w:rsid w:val="005B7534"/>
    <w:rsid w:val="005B7A2F"/>
    <w:rsid w:val="005C036E"/>
    <w:rsid w:val="005C04F7"/>
    <w:rsid w:val="005C1417"/>
    <w:rsid w:val="005C17FD"/>
    <w:rsid w:val="005C32AE"/>
    <w:rsid w:val="005C3F2D"/>
    <w:rsid w:val="005C4081"/>
    <w:rsid w:val="005C4161"/>
    <w:rsid w:val="005C4323"/>
    <w:rsid w:val="005C4AB5"/>
    <w:rsid w:val="005C4D19"/>
    <w:rsid w:val="005C5801"/>
    <w:rsid w:val="005C58C8"/>
    <w:rsid w:val="005C5D99"/>
    <w:rsid w:val="005C63E9"/>
    <w:rsid w:val="005C6A5E"/>
    <w:rsid w:val="005C6C4C"/>
    <w:rsid w:val="005C6F5C"/>
    <w:rsid w:val="005D02C7"/>
    <w:rsid w:val="005D0514"/>
    <w:rsid w:val="005D09A8"/>
    <w:rsid w:val="005D1087"/>
    <w:rsid w:val="005D2452"/>
    <w:rsid w:val="005D3815"/>
    <w:rsid w:val="005D3DDC"/>
    <w:rsid w:val="005D4081"/>
    <w:rsid w:val="005D47C5"/>
    <w:rsid w:val="005D4914"/>
    <w:rsid w:val="005D4D4F"/>
    <w:rsid w:val="005D5001"/>
    <w:rsid w:val="005D592F"/>
    <w:rsid w:val="005D61F9"/>
    <w:rsid w:val="005D6479"/>
    <w:rsid w:val="005D6514"/>
    <w:rsid w:val="005D69E1"/>
    <w:rsid w:val="005D7EA6"/>
    <w:rsid w:val="005E07A9"/>
    <w:rsid w:val="005E0D7B"/>
    <w:rsid w:val="005E1258"/>
    <w:rsid w:val="005E17BA"/>
    <w:rsid w:val="005E2C99"/>
    <w:rsid w:val="005E316B"/>
    <w:rsid w:val="005E40F1"/>
    <w:rsid w:val="005E428A"/>
    <w:rsid w:val="005E4983"/>
    <w:rsid w:val="005E4BDC"/>
    <w:rsid w:val="005E5564"/>
    <w:rsid w:val="005E6045"/>
    <w:rsid w:val="005E617C"/>
    <w:rsid w:val="005E6B2C"/>
    <w:rsid w:val="005E6D92"/>
    <w:rsid w:val="005E79A1"/>
    <w:rsid w:val="005E7B26"/>
    <w:rsid w:val="005E7EC0"/>
    <w:rsid w:val="005F08EB"/>
    <w:rsid w:val="005F0D4D"/>
    <w:rsid w:val="005F0F5A"/>
    <w:rsid w:val="005F0FFE"/>
    <w:rsid w:val="005F1161"/>
    <w:rsid w:val="005F127D"/>
    <w:rsid w:val="005F181B"/>
    <w:rsid w:val="005F1CF5"/>
    <w:rsid w:val="005F1FDF"/>
    <w:rsid w:val="005F2543"/>
    <w:rsid w:val="005F2768"/>
    <w:rsid w:val="005F2A58"/>
    <w:rsid w:val="005F2B2C"/>
    <w:rsid w:val="005F3E0C"/>
    <w:rsid w:val="005F41B7"/>
    <w:rsid w:val="005F4231"/>
    <w:rsid w:val="005F475F"/>
    <w:rsid w:val="005F4A27"/>
    <w:rsid w:val="005F59B2"/>
    <w:rsid w:val="005F5B30"/>
    <w:rsid w:val="005F602C"/>
    <w:rsid w:val="005F644D"/>
    <w:rsid w:val="005F6786"/>
    <w:rsid w:val="005F729A"/>
    <w:rsid w:val="005F72BE"/>
    <w:rsid w:val="005F72D6"/>
    <w:rsid w:val="005F7374"/>
    <w:rsid w:val="005F7985"/>
    <w:rsid w:val="006000AD"/>
    <w:rsid w:val="00600216"/>
    <w:rsid w:val="00600248"/>
    <w:rsid w:val="0060084E"/>
    <w:rsid w:val="00600D3F"/>
    <w:rsid w:val="0060210C"/>
    <w:rsid w:val="006023F1"/>
    <w:rsid w:val="00602F47"/>
    <w:rsid w:val="00603C4D"/>
    <w:rsid w:val="00603C84"/>
    <w:rsid w:val="00603FB7"/>
    <w:rsid w:val="006044F7"/>
    <w:rsid w:val="006049F2"/>
    <w:rsid w:val="00604A1A"/>
    <w:rsid w:val="00604BBD"/>
    <w:rsid w:val="00604C7E"/>
    <w:rsid w:val="00604EFA"/>
    <w:rsid w:val="006059BA"/>
    <w:rsid w:val="00605B2F"/>
    <w:rsid w:val="00606D30"/>
    <w:rsid w:val="00607026"/>
    <w:rsid w:val="00607080"/>
    <w:rsid w:val="00607534"/>
    <w:rsid w:val="00607D99"/>
    <w:rsid w:val="00607FE3"/>
    <w:rsid w:val="006107FE"/>
    <w:rsid w:val="006108B6"/>
    <w:rsid w:val="0061124F"/>
    <w:rsid w:val="0061206D"/>
    <w:rsid w:val="006127A0"/>
    <w:rsid w:val="00612A7B"/>
    <w:rsid w:val="00614671"/>
    <w:rsid w:val="00614756"/>
    <w:rsid w:val="00614B8A"/>
    <w:rsid w:val="00615C30"/>
    <w:rsid w:val="0061613D"/>
    <w:rsid w:val="00616329"/>
    <w:rsid w:val="006163CA"/>
    <w:rsid w:val="006164FC"/>
    <w:rsid w:val="00616E99"/>
    <w:rsid w:val="006175C6"/>
    <w:rsid w:val="00617E44"/>
    <w:rsid w:val="006200BB"/>
    <w:rsid w:val="00620244"/>
    <w:rsid w:val="00620675"/>
    <w:rsid w:val="006211E3"/>
    <w:rsid w:val="00621A95"/>
    <w:rsid w:val="00621AF3"/>
    <w:rsid w:val="00622053"/>
    <w:rsid w:val="006221CD"/>
    <w:rsid w:val="0062333B"/>
    <w:rsid w:val="006237D5"/>
    <w:rsid w:val="00623C57"/>
    <w:rsid w:val="00626393"/>
    <w:rsid w:val="00627B61"/>
    <w:rsid w:val="006300FF"/>
    <w:rsid w:val="006301E9"/>
    <w:rsid w:val="0063235F"/>
    <w:rsid w:val="00632AE7"/>
    <w:rsid w:val="00633C62"/>
    <w:rsid w:val="006341C6"/>
    <w:rsid w:val="006343D1"/>
    <w:rsid w:val="00634637"/>
    <w:rsid w:val="00634650"/>
    <w:rsid w:val="0063489A"/>
    <w:rsid w:val="006362C9"/>
    <w:rsid w:val="00636DF7"/>
    <w:rsid w:val="00637E23"/>
    <w:rsid w:val="00637EC9"/>
    <w:rsid w:val="0064089B"/>
    <w:rsid w:val="00640BAD"/>
    <w:rsid w:val="00640F94"/>
    <w:rsid w:val="00641003"/>
    <w:rsid w:val="006410F8"/>
    <w:rsid w:val="006412B6"/>
    <w:rsid w:val="0064160B"/>
    <w:rsid w:val="006418C9"/>
    <w:rsid w:val="006424AF"/>
    <w:rsid w:val="006429D1"/>
    <w:rsid w:val="00642DC2"/>
    <w:rsid w:val="00642FBA"/>
    <w:rsid w:val="006436C7"/>
    <w:rsid w:val="00643FDD"/>
    <w:rsid w:val="006445B6"/>
    <w:rsid w:val="00644885"/>
    <w:rsid w:val="00644B72"/>
    <w:rsid w:val="00644B9E"/>
    <w:rsid w:val="0064545A"/>
    <w:rsid w:val="006454FA"/>
    <w:rsid w:val="00645821"/>
    <w:rsid w:val="00645B3C"/>
    <w:rsid w:val="006467B5"/>
    <w:rsid w:val="00646A0A"/>
    <w:rsid w:val="00646B19"/>
    <w:rsid w:val="00646E5C"/>
    <w:rsid w:val="0064723B"/>
    <w:rsid w:val="006505B2"/>
    <w:rsid w:val="00650D8C"/>
    <w:rsid w:val="0065100C"/>
    <w:rsid w:val="00651A3F"/>
    <w:rsid w:val="00651CC0"/>
    <w:rsid w:val="00651D11"/>
    <w:rsid w:val="006520DC"/>
    <w:rsid w:val="00652466"/>
    <w:rsid w:val="00652735"/>
    <w:rsid w:val="006529E8"/>
    <w:rsid w:val="00652BC7"/>
    <w:rsid w:val="00652DC3"/>
    <w:rsid w:val="00653311"/>
    <w:rsid w:val="00653429"/>
    <w:rsid w:val="00654148"/>
    <w:rsid w:val="00654D83"/>
    <w:rsid w:val="00654D9F"/>
    <w:rsid w:val="00654F97"/>
    <w:rsid w:val="00655379"/>
    <w:rsid w:val="0065664E"/>
    <w:rsid w:val="00656D28"/>
    <w:rsid w:val="00660778"/>
    <w:rsid w:val="00660875"/>
    <w:rsid w:val="00660C0A"/>
    <w:rsid w:val="00663041"/>
    <w:rsid w:val="00663522"/>
    <w:rsid w:val="00665194"/>
    <w:rsid w:val="006653C8"/>
    <w:rsid w:val="0066566A"/>
    <w:rsid w:val="00665C6C"/>
    <w:rsid w:val="00665E33"/>
    <w:rsid w:val="00666C77"/>
    <w:rsid w:val="006678AF"/>
    <w:rsid w:val="00667F2D"/>
    <w:rsid w:val="006706D0"/>
    <w:rsid w:val="00670E44"/>
    <w:rsid w:val="00671A37"/>
    <w:rsid w:val="00671EC4"/>
    <w:rsid w:val="00672D2B"/>
    <w:rsid w:val="00672EA4"/>
    <w:rsid w:val="00673FB2"/>
    <w:rsid w:val="00674ACC"/>
    <w:rsid w:val="00675035"/>
    <w:rsid w:val="00675050"/>
    <w:rsid w:val="0067530E"/>
    <w:rsid w:val="0067628F"/>
    <w:rsid w:val="00676D32"/>
    <w:rsid w:val="006771D4"/>
    <w:rsid w:val="00677ADF"/>
    <w:rsid w:val="00677E87"/>
    <w:rsid w:val="00680B96"/>
    <w:rsid w:val="0068103B"/>
    <w:rsid w:val="00681F62"/>
    <w:rsid w:val="006825A6"/>
    <w:rsid w:val="006828E5"/>
    <w:rsid w:val="00682DF8"/>
    <w:rsid w:val="0068373F"/>
    <w:rsid w:val="00683859"/>
    <w:rsid w:val="006838EA"/>
    <w:rsid w:val="00684051"/>
    <w:rsid w:val="0068456E"/>
    <w:rsid w:val="006849F2"/>
    <w:rsid w:val="00684FD4"/>
    <w:rsid w:val="00685936"/>
    <w:rsid w:val="00686081"/>
    <w:rsid w:val="0068627F"/>
    <w:rsid w:val="00686FC4"/>
    <w:rsid w:val="00687034"/>
    <w:rsid w:val="0068738E"/>
    <w:rsid w:val="0068759C"/>
    <w:rsid w:val="006877B4"/>
    <w:rsid w:val="00690139"/>
    <w:rsid w:val="00690C39"/>
    <w:rsid w:val="00690CC7"/>
    <w:rsid w:val="00692641"/>
    <w:rsid w:val="0069279E"/>
    <w:rsid w:val="006928E2"/>
    <w:rsid w:val="00692DA6"/>
    <w:rsid w:val="0069300E"/>
    <w:rsid w:val="0069378D"/>
    <w:rsid w:val="006946B3"/>
    <w:rsid w:val="00695670"/>
    <w:rsid w:val="006A0D07"/>
    <w:rsid w:val="006A22C1"/>
    <w:rsid w:val="006A293F"/>
    <w:rsid w:val="006A299B"/>
    <w:rsid w:val="006A31D7"/>
    <w:rsid w:val="006A343D"/>
    <w:rsid w:val="006A44BA"/>
    <w:rsid w:val="006A44F4"/>
    <w:rsid w:val="006A4E13"/>
    <w:rsid w:val="006A62E9"/>
    <w:rsid w:val="006A676D"/>
    <w:rsid w:val="006A7412"/>
    <w:rsid w:val="006A74EF"/>
    <w:rsid w:val="006A7C9A"/>
    <w:rsid w:val="006A7E1E"/>
    <w:rsid w:val="006B02E1"/>
    <w:rsid w:val="006B0809"/>
    <w:rsid w:val="006B09E8"/>
    <w:rsid w:val="006B0F1D"/>
    <w:rsid w:val="006B1B96"/>
    <w:rsid w:val="006B37CE"/>
    <w:rsid w:val="006B3C35"/>
    <w:rsid w:val="006B4758"/>
    <w:rsid w:val="006B4AC8"/>
    <w:rsid w:val="006B5282"/>
    <w:rsid w:val="006B528F"/>
    <w:rsid w:val="006B5D63"/>
    <w:rsid w:val="006B631A"/>
    <w:rsid w:val="006B7ACD"/>
    <w:rsid w:val="006C0796"/>
    <w:rsid w:val="006C0A4A"/>
    <w:rsid w:val="006C0C76"/>
    <w:rsid w:val="006C1558"/>
    <w:rsid w:val="006C1595"/>
    <w:rsid w:val="006C227E"/>
    <w:rsid w:val="006C2CE3"/>
    <w:rsid w:val="006C3754"/>
    <w:rsid w:val="006C38D5"/>
    <w:rsid w:val="006C5170"/>
    <w:rsid w:val="006C555A"/>
    <w:rsid w:val="006C5FA2"/>
    <w:rsid w:val="006C708B"/>
    <w:rsid w:val="006C7496"/>
    <w:rsid w:val="006C75F4"/>
    <w:rsid w:val="006C7CDE"/>
    <w:rsid w:val="006C7D25"/>
    <w:rsid w:val="006D0097"/>
    <w:rsid w:val="006D0B3B"/>
    <w:rsid w:val="006D1257"/>
    <w:rsid w:val="006D1AEF"/>
    <w:rsid w:val="006D21CC"/>
    <w:rsid w:val="006D25E0"/>
    <w:rsid w:val="006D39DE"/>
    <w:rsid w:val="006D4C53"/>
    <w:rsid w:val="006D4C58"/>
    <w:rsid w:val="006D51DF"/>
    <w:rsid w:val="006D5379"/>
    <w:rsid w:val="006D5732"/>
    <w:rsid w:val="006D5EBB"/>
    <w:rsid w:val="006D6998"/>
    <w:rsid w:val="006D6B5C"/>
    <w:rsid w:val="006D6CB3"/>
    <w:rsid w:val="006D70B0"/>
    <w:rsid w:val="006D7223"/>
    <w:rsid w:val="006D7412"/>
    <w:rsid w:val="006D7795"/>
    <w:rsid w:val="006E0E9E"/>
    <w:rsid w:val="006E18BD"/>
    <w:rsid w:val="006E26D0"/>
    <w:rsid w:val="006E3A67"/>
    <w:rsid w:val="006E3E28"/>
    <w:rsid w:val="006E4D63"/>
    <w:rsid w:val="006E536A"/>
    <w:rsid w:val="006E57CA"/>
    <w:rsid w:val="006E5F7A"/>
    <w:rsid w:val="006E60C6"/>
    <w:rsid w:val="006E60CF"/>
    <w:rsid w:val="006E66BC"/>
    <w:rsid w:val="006E6884"/>
    <w:rsid w:val="006E7510"/>
    <w:rsid w:val="006F02F7"/>
    <w:rsid w:val="006F0AD2"/>
    <w:rsid w:val="006F123C"/>
    <w:rsid w:val="006F1E4D"/>
    <w:rsid w:val="006F22EF"/>
    <w:rsid w:val="006F25F2"/>
    <w:rsid w:val="006F4657"/>
    <w:rsid w:val="006F566F"/>
    <w:rsid w:val="006F5879"/>
    <w:rsid w:val="006F5C5F"/>
    <w:rsid w:val="006F6AAA"/>
    <w:rsid w:val="006F6B61"/>
    <w:rsid w:val="006F7E68"/>
    <w:rsid w:val="0070030A"/>
    <w:rsid w:val="0070098D"/>
    <w:rsid w:val="007009E3"/>
    <w:rsid w:val="00700C7D"/>
    <w:rsid w:val="007011B6"/>
    <w:rsid w:val="00701A49"/>
    <w:rsid w:val="00701F5A"/>
    <w:rsid w:val="007023EB"/>
    <w:rsid w:val="00702D89"/>
    <w:rsid w:val="00702E46"/>
    <w:rsid w:val="00703C4A"/>
    <w:rsid w:val="0070439B"/>
    <w:rsid w:val="00704512"/>
    <w:rsid w:val="007054CE"/>
    <w:rsid w:val="00705AA1"/>
    <w:rsid w:val="00706234"/>
    <w:rsid w:val="0070672C"/>
    <w:rsid w:val="007069E6"/>
    <w:rsid w:val="0070702B"/>
    <w:rsid w:val="007075B4"/>
    <w:rsid w:val="00707811"/>
    <w:rsid w:val="007109A3"/>
    <w:rsid w:val="0071181B"/>
    <w:rsid w:val="00712A97"/>
    <w:rsid w:val="00712BF4"/>
    <w:rsid w:val="00713733"/>
    <w:rsid w:val="0071386E"/>
    <w:rsid w:val="00713D1C"/>
    <w:rsid w:val="00714C05"/>
    <w:rsid w:val="007154B4"/>
    <w:rsid w:val="007158BD"/>
    <w:rsid w:val="0071607B"/>
    <w:rsid w:val="00717368"/>
    <w:rsid w:val="00717908"/>
    <w:rsid w:val="00717AAA"/>
    <w:rsid w:val="00717B02"/>
    <w:rsid w:val="007200E6"/>
    <w:rsid w:val="00720240"/>
    <w:rsid w:val="007208FC"/>
    <w:rsid w:val="00720C28"/>
    <w:rsid w:val="00720FD3"/>
    <w:rsid w:val="00721DD1"/>
    <w:rsid w:val="007225F1"/>
    <w:rsid w:val="00722F4B"/>
    <w:rsid w:val="007239E8"/>
    <w:rsid w:val="00723BC5"/>
    <w:rsid w:val="00723F9D"/>
    <w:rsid w:val="00724DB3"/>
    <w:rsid w:val="007250FA"/>
    <w:rsid w:val="00725212"/>
    <w:rsid w:val="007254E0"/>
    <w:rsid w:val="0072672A"/>
    <w:rsid w:val="00726B0D"/>
    <w:rsid w:val="00726CDD"/>
    <w:rsid w:val="00727C76"/>
    <w:rsid w:val="00727E7B"/>
    <w:rsid w:val="0073052E"/>
    <w:rsid w:val="00730A89"/>
    <w:rsid w:val="00730B91"/>
    <w:rsid w:val="00730D64"/>
    <w:rsid w:val="00731736"/>
    <w:rsid w:val="00731762"/>
    <w:rsid w:val="0073239A"/>
    <w:rsid w:val="00732991"/>
    <w:rsid w:val="00732E5A"/>
    <w:rsid w:val="00733052"/>
    <w:rsid w:val="00733416"/>
    <w:rsid w:val="0073366A"/>
    <w:rsid w:val="00733BA6"/>
    <w:rsid w:val="00733D71"/>
    <w:rsid w:val="0073474E"/>
    <w:rsid w:val="00735240"/>
    <w:rsid w:val="00735C53"/>
    <w:rsid w:val="00735C9C"/>
    <w:rsid w:val="0073658B"/>
    <w:rsid w:val="007367F4"/>
    <w:rsid w:val="00736DE5"/>
    <w:rsid w:val="0073752A"/>
    <w:rsid w:val="00737617"/>
    <w:rsid w:val="007379E5"/>
    <w:rsid w:val="00737DCE"/>
    <w:rsid w:val="00740B0B"/>
    <w:rsid w:val="00740BDD"/>
    <w:rsid w:val="007426C5"/>
    <w:rsid w:val="0074338E"/>
    <w:rsid w:val="007435E4"/>
    <w:rsid w:val="007439EB"/>
    <w:rsid w:val="00743B60"/>
    <w:rsid w:val="00743CDA"/>
    <w:rsid w:val="00743E1E"/>
    <w:rsid w:val="00744DBD"/>
    <w:rsid w:val="00745698"/>
    <w:rsid w:val="00746506"/>
    <w:rsid w:val="00746731"/>
    <w:rsid w:val="0074714B"/>
    <w:rsid w:val="007474A2"/>
    <w:rsid w:val="007476B1"/>
    <w:rsid w:val="00747CF4"/>
    <w:rsid w:val="00747D09"/>
    <w:rsid w:val="0075096A"/>
    <w:rsid w:val="00750B95"/>
    <w:rsid w:val="00750BC6"/>
    <w:rsid w:val="00750D65"/>
    <w:rsid w:val="00751B44"/>
    <w:rsid w:val="00751F63"/>
    <w:rsid w:val="00752158"/>
    <w:rsid w:val="00752A44"/>
    <w:rsid w:val="007537FF"/>
    <w:rsid w:val="00754180"/>
    <w:rsid w:val="00754362"/>
    <w:rsid w:val="0075578D"/>
    <w:rsid w:val="007558BE"/>
    <w:rsid w:val="00755E32"/>
    <w:rsid w:val="00756094"/>
    <w:rsid w:val="007600C8"/>
    <w:rsid w:val="007606EE"/>
    <w:rsid w:val="00760955"/>
    <w:rsid w:val="00760CCC"/>
    <w:rsid w:val="007610F6"/>
    <w:rsid w:val="00761206"/>
    <w:rsid w:val="0076127B"/>
    <w:rsid w:val="0076131F"/>
    <w:rsid w:val="00761349"/>
    <w:rsid w:val="00762937"/>
    <w:rsid w:val="00762A9C"/>
    <w:rsid w:val="007637FA"/>
    <w:rsid w:val="0076475B"/>
    <w:rsid w:val="00764FDF"/>
    <w:rsid w:val="007662E5"/>
    <w:rsid w:val="007663B6"/>
    <w:rsid w:val="00766555"/>
    <w:rsid w:val="00766D60"/>
    <w:rsid w:val="007673EA"/>
    <w:rsid w:val="0076753C"/>
    <w:rsid w:val="007676E8"/>
    <w:rsid w:val="00767B0B"/>
    <w:rsid w:val="00770571"/>
    <w:rsid w:val="00770701"/>
    <w:rsid w:val="00770DD9"/>
    <w:rsid w:val="007715F5"/>
    <w:rsid w:val="00771664"/>
    <w:rsid w:val="00771F04"/>
    <w:rsid w:val="00772247"/>
    <w:rsid w:val="00772439"/>
    <w:rsid w:val="00773256"/>
    <w:rsid w:val="007732AB"/>
    <w:rsid w:val="00773810"/>
    <w:rsid w:val="0077434E"/>
    <w:rsid w:val="007750D8"/>
    <w:rsid w:val="00775200"/>
    <w:rsid w:val="00775C95"/>
    <w:rsid w:val="00775D37"/>
    <w:rsid w:val="00775EB8"/>
    <w:rsid w:val="00776014"/>
    <w:rsid w:val="00776276"/>
    <w:rsid w:val="00776514"/>
    <w:rsid w:val="0077726B"/>
    <w:rsid w:val="00777AB8"/>
    <w:rsid w:val="007803CA"/>
    <w:rsid w:val="00780B3F"/>
    <w:rsid w:val="00781132"/>
    <w:rsid w:val="00782276"/>
    <w:rsid w:val="0078291F"/>
    <w:rsid w:val="00782CA9"/>
    <w:rsid w:val="0078321D"/>
    <w:rsid w:val="00783322"/>
    <w:rsid w:val="00783D1B"/>
    <w:rsid w:val="007847D4"/>
    <w:rsid w:val="00784A37"/>
    <w:rsid w:val="00784C59"/>
    <w:rsid w:val="00785566"/>
    <w:rsid w:val="00785666"/>
    <w:rsid w:val="0078580D"/>
    <w:rsid w:val="00786882"/>
    <w:rsid w:val="00786C9A"/>
    <w:rsid w:val="00786DDA"/>
    <w:rsid w:val="00787490"/>
    <w:rsid w:val="007874D2"/>
    <w:rsid w:val="00787D2A"/>
    <w:rsid w:val="00790043"/>
    <w:rsid w:val="0079025E"/>
    <w:rsid w:val="007902C0"/>
    <w:rsid w:val="0079057D"/>
    <w:rsid w:val="00790E84"/>
    <w:rsid w:val="007911B6"/>
    <w:rsid w:val="007914F5"/>
    <w:rsid w:val="00791725"/>
    <w:rsid w:val="00792067"/>
    <w:rsid w:val="00792544"/>
    <w:rsid w:val="00793AAA"/>
    <w:rsid w:val="00794665"/>
    <w:rsid w:val="007946F8"/>
    <w:rsid w:val="00794710"/>
    <w:rsid w:val="00794A11"/>
    <w:rsid w:val="00795366"/>
    <w:rsid w:val="007955FA"/>
    <w:rsid w:val="00796196"/>
    <w:rsid w:val="00796696"/>
    <w:rsid w:val="00796C0F"/>
    <w:rsid w:val="007971C6"/>
    <w:rsid w:val="00797274"/>
    <w:rsid w:val="0079733F"/>
    <w:rsid w:val="007977BC"/>
    <w:rsid w:val="00797952"/>
    <w:rsid w:val="007A0574"/>
    <w:rsid w:val="007A1432"/>
    <w:rsid w:val="007A16BE"/>
    <w:rsid w:val="007A2C6A"/>
    <w:rsid w:val="007A3B76"/>
    <w:rsid w:val="007A4690"/>
    <w:rsid w:val="007A47D9"/>
    <w:rsid w:val="007A62F5"/>
    <w:rsid w:val="007A6500"/>
    <w:rsid w:val="007A68B4"/>
    <w:rsid w:val="007A6A64"/>
    <w:rsid w:val="007A6D5C"/>
    <w:rsid w:val="007A6D6A"/>
    <w:rsid w:val="007A73B1"/>
    <w:rsid w:val="007A73B4"/>
    <w:rsid w:val="007A743A"/>
    <w:rsid w:val="007B111D"/>
    <w:rsid w:val="007B1966"/>
    <w:rsid w:val="007B19C7"/>
    <w:rsid w:val="007B219F"/>
    <w:rsid w:val="007B21A8"/>
    <w:rsid w:val="007B2700"/>
    <w:rsid w:val="007B2B15"/>
    <w:rsid w:val="007B2B4F"/>
    <w:rsid w:val="007B2D55"/>
    <w:rsid w:val="007B2E94"/>
    <w:rsid w:val="007B3F99"/>
    <w:rsid w:val="007B5564"/>
    <w:rsid w:val="007B5834"/>
    <w:rsid w:val="007B59AC"/>
    <w:rsid w:val="007B5CD0"/>
    <w:rsid w:val="007B605D"/>
    <w:rsid w:val="007B6185"/>
    <w:rsid w:val="007B6305"/>
    <w:rsid w:val="007B6879"/>
    <w:rsid w:val="007B6B14"/>
    <w:rsid w:val="007B6D52"/>
    <w:rsid w:val="007B6EA1"/>
    <w:rsid w:val="007B6EF5"/>
    <w:rsid w:val="007B75A8"/>
    <w:rsid w:val="007B7D1A"/>
    <w:rsid w:val="007C023A"/>
    <w:rsid w:val="007C092A"/>
    <w:rsid w:val="007C0EB1"/>
    <w:rsid w:val="007C13F3"/>
    <w:rsid w:val="007C1D1C"/>
    <w:rsid w:val="007C241B"/>
    <w:rsid w:val="007C29D3"/>
    <w:rsid w:val="007C2CDF"/>
    <w:rsid w:val="007C2D6B"/>
    <w:rsid w:val="007C344D"/>
    <w:rsid w:val="007C35B4"/>
    <w:rsid w:val="007C3633"/>
    <w:rsid w:val="007C4076"/>
    <w:rsid w:val="007C4445"/>
    <w:rsid w:val="007C483D"/>
    <w:rsid w:val="007C493A"/>
    <w:rsid w:val="007C49A3"/>
    <w:rsid w:val="007C4B7A"/>
    <w:rsid w:val="007C4E01"/>
    <w:rsid w:val="007C51FF"/>
    <w:rsid w:val="007C540B"/>
    <w:rsid w:val="007C5567"/>
    <w:rsid w:val="007C55C2"/>
    <w:rsid w:val="007C5709"/>
    <w:rsid w:val="007C58F0"/>
    <w:rsid w:val="007C5E47"/>
    <w:rsid w:val="007C61C4"/>
    <w:rsid w:val="007C6BCF"/>
    <w:rsid w:val="007C6E71"/>
    <w:rsid w:val="007C78DA"/>
    <w:rsid w:val="007D014A"/>
    <w:rsid w:val="007D0841"/>
    <w:rsid w:val="007D0C5F"/>
    <w:rsid w:val="007D25DF"/>
    <w:rsid w:val="007D2713"/>
    <w:rsid w:val="007D2757"/>
    <w:rsid w:val="007D3116"/>
    <w:rsid w:val="007D3445"/>
    <w:rsid w:val="007D3656"/>
    <w:rsid w:val="007D3DBD"/>
    <w:rsid w:val="007D49FA"/>
    <w:rsid w:val="007D549A"/>
    <w:rsid w:val="007D72C7"/>
    <w:rsid w:val="007D73DD"/>
    <w:rsid w:val="007D772C"/>
    <w:rsid w:val="007D7A32"/>
    <w:rsid w:val="007D7A36"/>
    <w:rsid w:val="007D7CCA"/>
    <w:rsid w:val="007E06E0"/>
    <w:rsid w:val="007E13D2"/>
    <w:rsid w:val="007E15E1"/>
    <w:rsid w:val="007E21A6"/>
    <w:rsid w:val="007E2812"/>
    <w:rsid w:val="007E33AC"/>
    <w:rsid w:val="007E3419"/>
    <w:rsid w:val="007E36AB"/>
    <w:rsid w:val="007E3AA9"/>
    <w:rsid w:val="007E4DA1"/>
    <w:rsid w:val="007E511B"/>
    <w:rsid w:val="007E5D03"/>
    <w:rsid w:val="007E5F2F"/>
    <w:rsid w:val="007E6939"/>
    <w:rsid w:val="007E6A3A"/>
    <w:rsid w:val="007E6B09"/>
    <w:rsid w:val="007E7301"/>
    <w:rsid w:val="007E741F"/>
    <w:rsid w:val="007E79C8"/>
    <w:rsid w:val="007E7A94"/>
    <w:rsid w:val="007E7E82"/>
    <w:rsid w:val="007F07DE"/>
    <w:rsid w:val="007F14CD"/>
    <w:rsid w:val="007F155F"/>
    <w:rsid w:val="007F1BBD"/>
    <w:rsid w:val="007F1CA0"/>
    <w:rsid w:val="007F25BD"/>
    <w:rsid w:val="007F287F"/>
    <w:rsid w:val="007F2CCB"/>
    <w:rsid w:val="007F3238"/>
    <w:rsid w:val="007F4570"/>
    <w:rsid w:val="007F5A3A"/>
    <w:rsid w:val="007F5DC5"/>
    <w:rsid w:val="007F6A29"/>
    <w:rsid w:val="007F761B"/>
    <w:rsid w:val="007F7637"/>
    <w:rsid w:val="007F76A0"/>
    <w:rsid w:val="007F7BE4"/>
    <w:rsid w:val="00800583"/>
    <w:rsid w:val="0080216D"/>
    <w:rsid w:val="008022FE"/>
    <w:rsid w:val="00802C77"/>
    <w:rsid w:val="008036C0"/>
    <w:rsid w:val="00804276"/>
    <w:rsid w:val="008047CE"/>
    <w:rsid w:val="00804B98"/>
    <w:rsid w:val="00804EF3"/>
    <w:rsid w:val="0080507D"/>
    <w:rsid w:val="008052CA"/>
    <w:rsid w:val="0080531C"/>
    <w:rsid w:val="0080573D"/>
    <w:rsid w:val="00805AF7"/>
    <w:rsid w:val="00805FA9"/>
    <w:rsid w:val="00806202"/>
    <w:rsid w:val="00806D81"/>
    <w:rsid w:val="00807D8E"/>
    <w:rsid w:val="00810A40"/>
    <w:rsid w:val="008110CD"/>
    <w:rsid w:val="0081157F"/>
    <w:rsid w:val="00811622"/>
    <w:rsid w:val="00811CD1"/>
    <w:rsid w:val="00812930"/>
    <w:rsid w:val="00812C84"/>
    <w:rsid w:val="00813261"/>
    <w:rsid w:val="00813985"/>
    <w:rsid w:val="008139FD"/>
    <w:rsid w:val="00813E32"/>
    <w:rsid w:val="00813F60"/>
    <w:rsid w:val="0081402B"/>
    <w:rsid w:val="00814176"/>
    <w:rsid w:val="0081446A"/>
    <w:rsid w:val="00814FEA"/>
    <w:rsid w:val="00817465"/>
    <w:rsid w:val="008202C3"/>
    <w:rsid w:val="00820AA7"/>
    <w:rsid w:val="00820D53"/>
    <w:rsid w:val="00820E93"/>
    <w:rsid w:val="00821270"/>
    <w:rsid w:val="00821AB1"/>
    <w:rsid w:val="00822102"/>
    <w:rsid w:val="00822EB0"/>
    <w:rsid w:val="00823753"/>
    <w:rsid w:val="0082382A"/>
    <w:rsid w:val="00824250"/>
    <w:rsid w:val="00826107"/>
    <w:rsid w:val="00826435"/>
    <w:rsid w:val="008267E6"/>
    <w:rsid w:val="00827795"/>
    <w:rsid w:val="00827874"/>
    <w:rsid w:val="00827A14"/>
    <w:rsid w:val="00830D9B"/>
    <w:rsid w:val="008316E5"/>
    <w:rsid w:val="00831794"/>
    <w:rsid w:val="00831E76"/>
    <w:rsid w:val="00832111"/>
    <w:rsid w:val="00832B0D"/>
    <w:rsid w:val="008334A8"/>
    <w:rsid w:val="008334F3"/>
    <w:rsid w:val="0083361C"/>
    <w:rsid w:val="0083364D"/>
    <w:rsid w:val="00833ACF"/>
    <w:rsid w:val="00833C1C"/>
    <w:rsid w:val="0083400B"/>
    <w:rsid w:val="00834184"/>
    <w:rsid w:val="0083531D"/>
    <w:rsid w:val="00835412"/>
    <w:rsid w:val="008363ED"/>
    <w:rsid w:val="008365D7"/>
    <w:rsid w:val="00837A37"/>
    <w:rsid w:val="00837B24"/>
    <w:rsid w:val="00837CE8"/>
    <w:rsid w:val="00837E0B"/>
    <w:rsid w:val="00840280"/>
    <w:rsid w:val="008407EC"/>
    <w:rsid w:val="00840BBD"/>
    <w:rsid w:val="00840E88"/>
    <w:rsid w:val="00841BCA"/>
    <w:rsid w:val="0084210F"/>
    <w:rsid w:val="00842936"/>
    <w:rsid w:val="00842CFD"/>
    <w:rsid w:val="00842D0B"/>
    <w:rsid w:val="00844B20"/>
    <w:rsid w:val="00844D05"/>
    <w:rsid w:val="008450BF"/>
    <w:rsid w:val="00845B43"/>
    <w:rsid w:val="00845D2B"/>
    <w:rsid w:val="00846789"/>
    <w:rsid w:val="00846D20"/>
    <w:rsid w:val="00846D65"/>
    <w:rsid w:val="00846E2A"/>
    <w:rsid w:val="0085023E"/>
    <w:rsid w:val="008503AD"/>
    <w:rsid w:val="00851449"/>
    <w:rsid w:val="0085199A"/>
    <w:rsid w:val="00852926"/>
    <w:rsid w:val="00852CB0"/>
    <w:rsid w:val="00853310"/>
    <w:rsid w:val="00854264"/>
    <w:rsid w:val="00854C35"/>
    <w:rsid w:val="0085543F"/>
    <w:rsid w:val="008554AA"/>
    <w:rsid w:val="00855C75"/>
    <w:rsid w:val="0085652B"/>
    <w:rsid w:val="00856607"/>
    <w:rsid w:val="00856AAF"/>
    <w:rsid w:val="00857933"/>
    <w:rsid w:val="008602EB"/>
    <w:rsid w:val="00860866"/>
    <w:rsid w:val="00860CCA"/>
    <w:rsid w:val="00860F51"/>
    <w:rsid w:val="00860F56"/>
    <w:rsid w:val="008615CC"/>
    <w:rsid w:val="008616B6"/>
    <w:rsid w:val="00861890"/>
    <w:rsid w:val="008621CD"/>
    <w:rsid w:val="00862305"/>
    <w:rsid w:val="00862AD8"/>
    <w:rsid w:val="008632A7"/>
    <w:rsid w:val="008635F3"/>
    <w:rsid w:val="0086393A"/>
    <w:rsid w:val="00863BD8"/>
    <w:rsid w:val="00863C8C"/>
    <w:rsid w:val="0086437B"/>
    <w:rsid w:val="008648A2"/>
    <w:rsid w:val="00864CCB"/>
    <w:rsid w:val="00865698"/>
    <w:rsid w:val="008659D3"/>
    <w:rsid w:val="00866636"/>
    <w:rsid w:val="00866715"/>
    <w:rsid w:val="00866EBB"/>
    <w:rsid w:val="008671B8"/>
    <w:rsid w:val="0086761E"/>
    <w:rsid w:val="008678BE"/>
    <w:rsid w:val="00867946"/>
    <w:rsid w:val="00867ECB"/>
    <w:rsid w:val="00870B15"/>
    <w:rsid w:val="008716F2"/>
    <w:rsid w:val="00871951"/>
    <w:rsid w:val="00871AC2"/>
    <w:rsid w:val="00871C44"/>
    <w:rsid w:val="008722E5"/>
    <w:rsid w:val="00872444"/>
    <w:rsid w:val="0087400D"/>
    <w:rsid w:val="008740DA"/>
    <w:rsid w:val="00874411"/>
    <w:rsid w:val="00874742"/>
    <w:rsid w:val="00874AEB"/>
    <w:rsid w:val="00876755"/>
    <w:rsid w:val="00877311"/>
    <w:rsid w:val="008773E7"/>
    <w:rsid w:val="00880226"/>
    <w:rsid w:val="00880827"/>
    <w:rsid w:val="00881D6B"/>
    <w:rsid w:val="008828D4"/>
    <w:rsid w:val="00882AB0"/>
    <w:rsid w:val="00882E65"/>
    <w:rsid w:val="00882E7B"/>
    <w:rsid w:val="00883064"/>
    <w:rsid w:val="00883264"/>
    <w:rsid w:val="008836AF"/>
    <w:rsid w:val="008838BA"/>
    <w:rsid w:val="008838F2"/>
    <w:rsid w:val="0088397D"/>
    <w:rsid w:val="00883A3C"/>
    <w:rsid w:val="00883AB0"/>
    <w:rsid w:val="00883BBB"/>
    <w:rsid w:val="00884CA1"/>
    <w:rsid w:val="00885586"/>
    <w:rsid w:val="008861B5"/>
    <w:rsid w:val="00886613"/>
    <w:rsid w:val="00886908"/>
    <w:rsid w:val="00886A8B"/>
    <w:rsid w:val="008879F1"/>
    <w:rsid w:val="00887D9F"/>
    <w:rsid w:val="008901EF"/>
    <w:rsid w:val="008904F8"/>
    <w:rsid w:val="008906CE"/>
    <w:rsid w:val="00891080"/>
    <w:rsid w:val="00891318"/>
    <w:rsid w:val="008918BA"/>
    <w:rsid w:val="00891CDA"/>
    <w:rsid w:val="00892619"/>
    <w:rsid w:val="008926FD"/>
    <w:rsid w:val="00892745"/>
    <w:rsid w:val="00892796"/>
    <w:rsid w:val="00892969"/>
    <w:rsid w:val="00892ADC"/>
    <w:rsid w:val="0089362C"/>
    <w:rsid w:val="0089375B"/>
    <w:rsid w:val="00893B20"/>
    <w:rsid w:val="00894BB6"/>
    <w:rsid w:val="00894CD8"/>
    <w:rsid w:val="0089507D"/>
    <w:rsid w:val="00896A3F"/>
    <w:rsid w:val="008973EC"/>
    <w:rsid w:val="008A02A5"/>
    <w:rsid w:val="008A06DE"/>
    <w:rsid w:val="008A2C4B"/>
    <w:rsid w:val="008A2DA2"/>
    <w:rsid w:val="008A2F64"/>
    <w:rsid w:val="008A32F7"/>
    <w:rsid w:val="008A32F9"/>
    <w:rsid w:val="008A3C63"/>
    <w:rsid w:val="008A40D7"/>
    <w:rsid w:val="008A4208"/>
    <w:rsid w:val="008A467F"/>
    <w:rsid w:val="008A510D"/>
    <w:rsid w:val="008A51AC"/>
    <w:rsid w:val="008A61D4"/>
    <w:rsid w:val="008A6781"/>
    <w:rsid w:val="008A6AE0"/>
    <w:rsid w:val="008A6C6E"/>
    <w:rsid w:val="008A720E"/>
    <w:rsid w:val="008A7239"/>
    <w:rsid w:val="008A752E"/>
    <w:rsid w:val="008B12B5"/>
    <w:rsid w:val="008B162C"/>
    <w:rsid w:val="008B27BE"/>
    <w:rsid w:val="008B3527"/>
    <w:rsid w:val="008B6318"/>
    <w:rsid w:val="008B6427"/>
    <w:rsid w:val="008B67E0"/>
    <w:rsid w:val="008B6B25"/>
    <w:rsid w:val="008B6F5A"/>
    <w:rsid w:val="008B7877"/>
    <w:rsid w:val="008B7FDA"/>
    <w:rsid w:val="008C0BF4"/>
    <w:rsid w:val="008C0D65"/>
    <w:rsid w:val="008C129C"/>
    <w:rsid w:val="008C1ABE"/>
    <w:rsid w:val="008C1D20"/>
    <w:rsid w:val="008C2CBC"/>
    <w:rsid w:val="008C34F6"/>
    <w:rsid w:val="008C3C26"/>
    <w:rsid w:val="008C4032"/>
    <w:rsid w:val="008C4252"/>
    <w:rsid w:val="008C48BB"/>
    <w:rsid w:val="008C4F16"/>
    <w:rsid w:val="008C51F3"/>
    <w:rsid w:val="008C5532"/>
    <w:rsid w:val="008C6EBA"/>
    <w:rsid w:val="008C6FED"/>
    <w:rsid w:val="008C71E0"/>
    <w:rsid w:val="008D0200"/>
    <w:rsid w:val="008D0678"/>
    <w:rsid w:val="008D0760"/>
    <w:rsid w:val="008D08AF"/>
    <w:rsid w:val="008D0F76"/>
    <w:rsid w:val="008D13A9"/>
    <w:rsid w:val="008D1639"/>
    <w:rsid w:val="008D2017"/>
    <w:rsid w:val="008D2802"/>
    <w:rsid w:val="008D2CDC"/>
    <w:rsid w:val="008D313E"/>
    <w:rsid w:val="008D3BE2"/>
    <w:rsid w:val="008D3FFE"/>
    <w:rsid w:val="008D419F"/>
    <w:rsid w:val="008D494C"/>
    <w:rsid w:val="008D5567"/>
    <w:rsid w:val="008D560F"/>
    <w:rsid w:val="008D5670"/>
    <w:rsid w:val="008D5B0C"/>
    <w:rsid w:val="008D65CC"/>
    <w:rsid w:val="008D69AA"/>
    <w:rsid w:val="008D70B4"/>
    <w:rsid w:val="008D73CC"/>
    <w:rsid w:val="008D7471"/>
    <w:rsid w:val="008D7A2E"/>
    <w:rsid w:val="008D7A87"/>
    <w:rsid w:val="008E018E"/>
    <w:rsid w:val="008E02BB"/>
    <w:rsid w:val="008E06FD"/>
    <w:rsid w:val="008E088F"/>
    <w:rsid w:val="008E10E0"/>
    <w:rsid w:val="008E1575"/>
    <w:rsid w:val="008E1ABE"/>
    <w:rsid w:val="008E2DF3"/>
    <w:rsid w:val="008E2F5E"/>
    <w:rsid w:val="008E3025"/>
    <w:rsid w:val="008E307B"/>
    <w:rsid w:val="008E338D"/>
    <w:rsid w:val="008E3874"/>
    <w:rsid w:val="008E3982"/>
    <w:rsid w:val="008E3A6E"/>
    <w:rsid w:val="008E3ABD"/>
    <w:rsid w:val="008E3ECF"/>
    <w:rsid w:val="008E4BB1"/>
    <w:rsid w:val="008E515B"/>
    <w:rsid w:val="008E5553"/>
    <w:rsid w:val="008E5583"/>
    <w:rsid w:val="008E5871"/>
    <w:rsid w:val="008E5B65"/>
    <w:rsid w:val="008E739B"/>
    <w:rsid w:val="008E79F0"/>
    <w:rsid w:val="008F03B7"/>
    <w:rsid w:val="008F0ABC"/>
    <w:rsid w:val="008F1B74"/>
    <w:rsid w:val="008F1C59"/>
    <w:rsid w:val="008F250C"/>
    <w:rsid w:val="008F3031"/>
    <w:rsid w:val="008F3A32"/>
    <w:rsid w:val="008F3D2E"/>
    <w:rsid w:val="008F401C"/>
    <w:rsid w:val="008F410A"/>
    <w:rsid w:val="008F410C"/>
    <w:rsid w:val="008F520D"/>
    <w:rsid w:val="008F58D4"/>
    <w:rsid w:val="008F6CD3"/>
    <w:rsid w:val="008F6DD2"/>
    <w:rsid w:val="008F6F0E"/>
    <w:rsid w:val="008F72FF"/>
    <w:rsid w:val="0090067F"/>
    <w:rsid w:val="00900838"/>
    <w:rsid w:val="00900B01"/>
    <w:rsid w:val="009018AB"/>
    <w:rsid w:val="0090247E"/>
    <w:rsid w:val="00903496"/>
    <w:rsid w:val="00903CB0"/>
    <w:rsid w:val="00904B4A"/>
    <w:rsid w:val="00905078"/>
    <w:rsid w:val="00905654"/>
    <w:rsid w:val="00905EED"/>
    <w:rsid w:val="009066CC"/>
    <w:rsid w:val="00907763"/>
    <w:rsid w:val="0090778D"/>
    <w:rsid w:val="00907EB3"/>
    <w:rsid w:val="00910B04"/>
    <w:rsid w:val="00910B0F"/>
    <w:rsid w:val="009110B9"/>
    <w:rsid w:val="009110BB"/>
    <w:rsid w:val="00911E2F"/>
    <w:rsid w:val="00911F51"/>
    <w:rsid w:val="00912135"/>
    <w:rsid w:val="009125B7"/>
    <w:rsid w:val="00912AD9"/>
    <w:rsid w:val="00912B1E"/>
    <w:rsid w:val="00912E2E"/>
    <w:rsid w:val="00912FFA"/>
    <w:rsid w:val="00914230"/>
    <w:rsid w:val="009142EF"/>
    <w:rsid w:val="00914CB8"/>
    <w:rsid w:val="00914F87"/>
    <w:rsid w:val="00915041"/>
    <w:rsid w:val="00915058"/>
    <w:rsid w:val="0091579F"/>
    <w:rsid w:val="00915920"/>
    <w:rsid w:val="0091662F"/>
    <w:rsid w:val="00916BC5"/>
    <w:rsid w:val="00920164"/>
    <w:rsid w:val="0092059A"/>
    <w:rsid w:val="0092115F"/>
    <w:rsid w:val="00921445"/>
    <w:rsid w:val="00921900"/>
    <w:rsid w:val="009228FB"/>
    <w:rsid w:val="0092337B"/>
    <w:rsid w:val="0092359F"/>
    <w:rsid w:val="00923690"/>
    <w:rsid w:val="009246A2"/>
    <w:rsid w:val="00924804"/>
    <w:rsid w:val="009257AE"/>
    <w:rsid w:val="00925959"/>
    <w:rsid w:val="00925B30"/>
    <w:rsid w:val="0092631C"/>
    <w:rsid w:val="0092692D"/>
    <w:rsid w:val="00926B83"/>
    <w:rsid w:val="00926F0D"/>
    <w:rsid w:val="009278FD"/>
    <w:rsid w:val="00927C26"/>
    <w:rsid w:val="00927F9C"/>
    <w:rsid w:val="009300AE"/>
    <w:rsid w:val="00930524"/>
    <w:rsid w:val="00930F0C"/>
    <w:rsid w:val="00931032"/>
    <w:rsid w:val="009314C7"/>
    <w:rsid w:val="00931B57"/>
    <w:rsid w:val="00932061"/>
    <w:rsid w:val="0093212C"/>
    <w:rsid w:val="009324C2"/>
    <w:rsid w:val="009330EF"/>
    <w:rsid w:val="009346C8"/>
    <w:rsid w:val="00934A05"/>
    <w:rsid w:val="00934FF8"/>
    <w:rsid w:val="00935764"/>
    <w:rsid w:val="00936316"/>
    <w:rsid w:val="00936C62"/>
    <w:rsid w:val="0093717B"/>
    <w:rsid w:val="00937241"/>
    <w:rsid w:val="009375DD"/>
    <w:rsid w:val="009377F3"/>
    <w:rsid w:val="0094014A"/>
    <w:rsid w:val="009407F2"/>
    <w:rsid w:val="00940CAA"/>
    <w:rsid w:val="00943324"/>
    <w:rsid w:val="00943B81"/>
    <w:rsid w:val="0094476F"/>
    <w:rsid w:val="00944AEC"/>
    <w:rsid w:val="00945145"/>
    <w:rsid w:val="009451D7"/>
    <w:rsid w:val="009453BC"/>
    <w:rsid w:val="00945717"/>
    <w:rsid w:val="0094592F"/>
    <w:rsid w:val="00945A25"/>
    <w:rsid w:val="00945C9F"/>
    <w:rsid w:val="0094685A"/>
    <w:rsid w:val="00946921"/>
    <w:rsid w:val="00946EA4"/>
    <w:rsid w:val="00947B33"/>
    <w:rsid w:val="00947C0C"/>
    <w:rsid w:val="00950081"/>
    <w:rsid w:val="009507EB"/>
    <w:rsid w:val="009509E8"/>
    <w:rsid w:val="00950A92"/>
    <w:rsid w:val="009513C1"/>
    <w:rsid w:val="00952853"/>
    <w:rsid w:val="0095292E"/>
    <w:rsid w:val="00952989"/>
    <w:rsid w:val="009535D3"/>
    <w:rsid w:val="00953650"/>
    <w:rsid w:val="0095377F"/>
    <w:rsid w:val="00953CF1"/>
    <w:rsid w:val="00953FEC"/>
    <w:rsid w:val="0095401D"/>
    <w:rsid w:val="00954BCD"/>
    <w:rsid w:val="00954C42"/>
    <w:rsid w:val="00955B81"/>
    <w:rsid w:val="0095622D"/>
    <w:rsid w:val="00956B65"/>
    <w:rsid w:val="00957A73"/>
    <w:rsid w:val="009603CB"/>
    <w:rsid w:val="00960AF3"/>
    <w:rsid w:val="00962270"/>
    <w:rsid w:val="00962287"/>
    <w:rsid w:val="009628C3"/>
    <w:rsid w:val="00962A22"/>
    <w:rsid w:val="009636EC"/>
    <w:rsid w:val="00964300"/>
    <w:rsid w:val="009648C5"/>
    <w:rsid w:val="009648CF"/>
    <w:rsid w:val="00967557"/>
    <w:rsid w:val="00967B8F"/>
    <w:rsid w:val="009700F4"/>
    <w:rsid w:val="009710A3"/>
    <w:rsid w:val="00971322"/>
    <w:rsid w:val="00971A02"/>
    <w:rsid w:val="00973171"/>
    <w:rsid w:val="00973539"/>
    <w:rsid w:val="009735C4"/>
    <w:rsid w:val="00973E37"/>
    <w:rsid w:val="00973EB3"/>
    <w:rsid w:val="00973F24"/>
    <w:rsid w:val="00974D92"/>
    <w:rsid w:val="009750C9"/>
    <w:rsid w:val="00975F96"/>
    <w:rsid w:val="009760B4"/>
    <w:rsid w:val="009761F3"/>
    <w:rsid w:val="009766FA"/>
    <w:rsid w:val="0097682C"/>
    <w:rsid w:val="00976831"/>
    <w:rsid w:val="00976D65"/>
    <w:rsid w:val="00977536"/>
    <w:rsid w:val="009776BB"/>
    <w:rsid w:val="00981603"/>
    <w:rsid w:val="0098163B"/>
    <w:rsid w:val="00981CEE"/>
    <w:rsid w:val="009825BC"/>
    <w:rsid w:val="00982C76"/>
    <w:rsid w:val="00983424"/>
    <w:rsid w:val="00983800"/>
    <w:rsid w:val="00984055"/>
    <w:rsid w:val="0098463E"/>
    <w:rsid w:val="0098505E"/>
    <w:rsid w:val="00985296"/>
    <w:rsid w:val="00985525"/>
    <w:rsid w:val="0098585B"/>
    <w:rsid w:val="009858A4"/>
    <w:rsid w:val="00985C49"/>
    <w:rsid w:val="009863E4"/>
    <w:rsid w:val="00986B47"/>
    <w:rsid w:val="00986E50"/>
    <w:rsid w:val="00987579"/>
    <w:rsid w:val="009875EB"/>
    <w:rsid w:val="00990371"/>
    <w:rsid w:val="009904FC"/>
    <w:rsid w:val="00990D6F"/>
    <w:rsid w:val="00991289"/>
    <w:rsid w:val="0099161D"/>
    <w:rsid w:val="00992512"/>
    <w:rsid w:val="009929FF"/>
    <w:rsid w:val="00992C18"/>
    <w:rsid w:val="00993425"/>
    <w:rsid w:val="00993694"/>
    <w:rsid w:val="00994500"/>
    <w:rsid w:val="0099508F"/>
    <w:rsid w:val="00995323"/>
    <w:rsid w:val="0099576E"/>
    <w:rsid w:val="00995C2D"/>
    <w:rsid w:val="009964C8"/>
    <w:rsid w:val="00997339"/>
    <w:rsid w:val="0099735E"/>
    <w:rsid w:val="00997579"/>
    <w:rsid w:val="009976CD"/>
    <w:rsid w:val="009A0164"/>
    <w:rsid w:val="009A15F4"/>
    <w:rsid w:val="009A1895"/>
    <w:rsid w:val="009A1AFC"/>
    <w:rsid w:val="009A1C4B"/>
    <w:rsid w:val="009A2296"/>
    <w:rsid w:val="009A24B4"/>
    <w:rsid w:val="009A2CFA"/>
    <w:rsid w:val="009A30B4"/>
    <w:rsid w:val="009A3432"/>
    <w:rsid w:val="009A3692"/>
    <w:rsid w:val="009A3745"/>
    <w:rsid w:val="009A3E39"/>
    <w:rsid w:val="009A47DB"/>
    <w:rsid w:val="009A4C73"/>
    <w:rsid w:val="009A4D89"/>
    <w:rsid w:val="009A4EC8"/>
    <w:rsid w:val="009A5812"/>
    <w:rsid w:val="009A58BC"/>
    <w:rsid w:val="009A5BE5"/>
    <w:rsid w:val="009A5D1B"/>
    <w:rsid w:val="009A6611"/>
    <w:rsid w:val="009A70B3"/>
    <w:rsid w:val="009A70BB"/>
    <w:rsid w:val="009A7B87"/>
    <w:rsid w:val="009A7CA3"/>
    <w:rsid w:val="009B03DC"/>
    <w:rsid w:val="009B0590"/>
    <w:rsid w:val="009B06FE"/>
    <w:rsid w:val="009B0AFB"/>
    <w:rsid w:val="009B11E0"/>
    <w:rsid w:val="009B1634"/>
    <w:rsid w:val="009B1A3A"/>
    <w:rsid w:val="009B2E83"/>
    <w:rsid w:val="009B34D3"/>
    <w:rsid w:val="009B38E4"/>
    <w:rsid w:val="009B455A"/>
    <w:rsid w:val="009B5100"/>
    <w:rsid w:val="009B5421"/>
    <w:rsid w:val="009B59F3"/>
    <w:rsid w:val="009B5AB0"/>
    <w:rsid w:val="009B5D61"/>
    <w:rsid w:val="009B6737"/>
    <w:rsid w:val="009B681E"/>
    <w:rsid w:val="009B6A7E"/>
    <w:rsid w:val="009B7280"/>
    <w:rsid w:val="009C0138"/>
    <w:rsid w:val="009C07E8"/>
    <w:rsid w:val="009C113C"/>
    <w:rsid w:val="009C14E1"/>
    <w:rsid w:val="009C15EB"/>
    <w:rsid w:val="009C191F"/>
    <w:rsid w:val="009C1A42"/>
    <w:rsid w:val="009C1AA4"/>
    <w:rsid w:val="009C1C3E"/>
    <w:rsid w:val="009C2E33"/>
    <w:rsid w:val="009C3292"/>
    <w:rsid w:val="009C39CF"/>
    <w:rsid w:val="009C4385"/>
    <w:rsid w:val="009C46D0"/>
    <w:rsid w:val="009C4D12"/>
    <w:rsid w:val="009C4E42"/>
    <w:rsid w:val="009C50ED"/>
    <w:rsid w:val="009C5384"/>
    <w:rsid w:val="009C53C7"/>
    <w:rsid w:val="009C5968"/>
    <w:rsid w:val="009C59B2"/>
    <w:rsid w:val="009C5DEE"/>
    <w:rsid w:val="009C600C"/>
    <w:rsid w:val="009C60D2"/>
    <w:rsid w:val="009C6152"/>
    <w:rsid w:val="009C6A83"/>
    <w:rsid w:val="009C6FCA"/>
    <w:rsid w:val="009C7040"/>
    <w:rsid w:val="009C7E22"/>
    <w:rsid w:val="009D12F8"/>
    <w:rsid w:val="009D16FF"/>
    <w:rsid w:val="009D19EC"/>
    <w:rsid w:val="009D1BB7"/>
    <w:rsid w:val="009D2193"/>
    <w:rsid w:val="009D26C6"/>
    <w:rsid w:val="009D33E2"/>
    <w:rsid w:val="009D3C68"/>
    <w:rsid w:val="009D3D78"/>
    <w:rsid w:val="009D3DEF"/>
    <w:rsid w:val="009D447E"/>
    <w:rsid w:val="009D5647"/>
    <w:rsid w:val="009D5979"/>
    <w:rsid w:val="009D5B40"/>
    <w:rsid w:val="009D6E49"/>
    <w:rsid w:val="009D70EA"/>
    <w:rsid w:val="009D7BFD"/>
    <w:rsid w:val="009E0194"/>
    <w:rsid w:val="009E0947"/>
    <w:rsid w:val="009E13E7"/>
    <w:rsid w:val="009E1B7E"/>
    <w:rsid w:val="009E303D"/>
    <w:rsid w:val="009E39EE"/>
    <w:rsid w:val="009E46E8"/>
    <w:rsid w:val="009E46FC"/>
    <w:rsid w:val="009E5270"/>
    <w:rsid w:val="009E652B"/>
    <w:rsid w:val="009E6B05"/>
    <w:rsid w:val="009E6EA8"/>
    <w:rsid w:val="009E7643"/>
    <w:rsid w:val="009F190A"/>
    <w:rsid w:val="009F2215"/>
    <w:rsid w:val="009F2436"/>
    <w:rsid w:val="009F311C"/>
    <w:rsid w:val="009F3232"/>
    <w:rsid w:val="009F33AF"/>
    <w:rsid w:val="009F3595"/>
    <w:rsid w:val="009F363D"/>
    <w:rsid w:val="009F3A80"/>
    <w:rsid w:val="009F3BBF"/>
    <w:rsid w:val="009F4474"/>
    <w:rsid w:val="009F4A8D"/>
    <w:rsid w:val="009F559B"/>
    <w:rsid w:val="009F5F62"/>
    <w:rsid w:val="009F6563"/>
    <w:rsid w:val="009F6CCE"/>
    <w:rsid w:val="00A00B43"/>
    <w:rsid w:val="00A011FC"/>
    <w:rsid w:val="00A01925"/>
    <w:rsid w:val="00A01B41"/>
    <w:rsid w:val="00A01BDD"/>
    <w:rsid w:val="00A020A7"/>
    <w:rsid w:val="00A028D0"/>
    <w:rsid w:val="00A03613"/>
    <w:rsid w:val="00A03A8C"/>
    <w:rsid w:val="00A04672"/>
    <w:rsid w:val="00A0552A"/>
    <w:rsid w:val="00A05EDB"/>
    <w:rsid w:val="00A06993"/>
    <w:rsid w:val="00A106C0"/>
    <w:rsid w:val="00A106C7"/>
    <w:rsid w:val="00A109AF"/>
    <w:rsid w:val="00A114BA"/>
    <w:rsid w:val="00A11617"/>
    <w:rsid w:val="00A11BD1"/>
    <w:rsid w:val="00A11CB4"/>
    <w:rsid w:val="00A11F24"/>
    <w:rsid w:val="00A120CA"/>
    <w:rsid w:val="00A129EF"/>
    <w:rsid w:val="00A12B02"/>
    <w:rsid w:val="00A12C3F"/>
    <w:rsid w:val="00A12C8B"/>
    <w:rsid w:val="00A130E0"/>
    <w:rsid w:val="00A130E5"/>
    <w:rsid w:val="00A13325"/>
    <w:rsid w:val="00A13C3C"/>
    <w:rsid w:val="00A13D09"/>
    <w:rsid w:val="00A14A51"/>
    <w:rsid w:val="00A14B4C"/>
    <w:rsid w:val="00A151A2"/>
    <w:rsid w:val="00A1559F"/>
    <w:rsid w:val="00A157AD"/>
    <w:rsid w:val="00A16641"/>
    <w:rsid w:val="00A16A1E"/>
    <w:rsid w:val="00A173E7"/>
    <w:rsid w:val="00A1786B"/>
    <w:rsid w:val="00A2020E"/>
    <w:rsid w:val="00A2059A"/>
    <w:rsid w:val="00A20CB5"/>
    <w:rsid w:val="00A211D9"/>
    <w:rsid w:val="00A21398"/>
    <w:rsid w:val="00A21BE2"/>
    <w:rsid w:val="00A21D02"/>
    <w:rsid w:val="00A22152"/>
    <w:rsid w:val="00A225E5"/>
    <w:rsid w:val="00A22708"/>
    <w:rsid w:val="00A227C5"/>
    <w:rsid w:val="00A2311D"/>
    <w:rsid w:val="00A233C5"/>
    <w:rsid w:val="00A236DE"/>
    <w:rsid w:val="00A23A42"/>
    <w:rsid w:val="00A23F7D"/>
    <w:rsid w:val="00A24408"/>
    <w:rsid w:val="00A25145"/>
    <w:rsid w:val="00A25C35"/>
    <w:rsid w:val="00A26F32"/>
    <w:rsid w:val="00A27CCA"/>
    <w:rsid w:val="00A3090E"/>
    <w:rsid w:val="00A30EB9"/>
    <w:rsid w:val="00A31919"/>
    <w:rsid w:val="00A32054"/>
    <w:rsid w:val="00A32521"/>
    <w:rsid w:val="00A3266C"/>
    <w:rsid w:val="00A32EA2"/>
    <w:rsid w:val="00A3350D"/>
    <w:rsid w:val="00A35087"/>
    <w:rsid w:val="00A352CF"/>
    <w:rsid w:val="00A35575"/>
    <w:rsid w:val="00A3580F"/>
    <w:rsid w:val="00A362AC"/>
    <w:rsid w:val="00A373E2"/>
    <w:rsid w:val="00A375AB"/>
    <w:rsid w:val="00A37701"/>
    <w:rsid w:val="00A378DC"/>
    <w:rsid w:val="00A37A56"/>
    <w:rsid w:val="00A37BAB"/>
    <w:rsid w:val="00A4057C"/>
    <w:rsid w:val="00A40E86"/>
    <w:rsid w:val="00A42142"/>
    <w:rsid w:val="00A427D9"/>
    <w:rsid w:val="00A42B21"/>
    <w:rsid w:val="00A42EC6"/>
    <w:rsid w:val="00A435CB"/>
    <w:rsid w:val="00A45023"/>
    <w:rsid w:val="00A45329"/>
    <w:rsid w:val="00A456CC"/>
    <w:rsid w:val="00A457EA"/>
    <w:rsid w:val="00A4666A"/>
    <w:rsid w:val="00A467FE"/>
    <w:rsid w:val="00A47478"/>
    <w:rsid w:val="00A47DB2"/>
    <w:rsid w:val="00A500B9"/>
    <w:rsid w:val="00A505B3"/>
    <w:rsid w:val="00A5088E"/>
    <w:rsid w:val="00A50A40"/>
    <w:rsid w:val="00A50A99"/>
    <w:rsid w:val="00A50CC9"/>
    <w:rsid w:val="00A512F8"/>
    <w:rsid w:val="00A51490"/>
    <w:rsid w:val="00A514BE"/>
    <w:rsid w:val="00A51BBB"/>
    <w:rsid w:val="00A52E1B"/>
    <w:rsid w:val="00A53F2A"/>
    <w:rsid w:val="00A544F6"/>
    <w:rsid w:val="00A5457F"/>
    <w:rsid w:val="00A54EFE"/>
    <w:rsid w:val="00A554E6"/>
    <w:rsid w:val="00A55AEA"/>
    <w:rsid w:val="00A57666"/>
    <w:rsid w:val="00A61B31"/>
    <w:rsid w:val="00A61CED"/>
    <w:rsid w:val="00A625AC"/>
    <w:rsid w:val="00A62613"/>
    <w:rsid w:val="00A63660"/>
    <w:rsid w:val="00A63A0B"/>
    <w:rsid w:val="00A63CF1"/>
    <w:rsid w:val="00A64759"/>
    <w:rsid w:val="00A64EBC"/>
    <w:rsid w:val="00A65478"/>
    <w:rsid w:val="00A65D6D"/>
    <w:rsid w:val="00A66280"/>
    <w:rsid w:val="00A6674E"/>
    <w:rsid w:val="00A66D59"/>
    <w:rsid w:val="00A670BE"/>
    <w:rsid w:val="00A67141"/>
    <w:rsid w:val="00A6761A"/>
    <w:rsid w:val="00A67898"/>
    <w:rsid w:val="00A71482"/>
    <w:rsid w:val="00A716F0"/>
    <w:rsid w:val="00A717B5"/>
    <w:rsid w:val="00A7217A"/>
    <w:rsid w:val="00A72E7E"/>
    <w:rsid w:val="00A73D62"/>
    <w:rsid w:val="00A7416D"/>
    <w:rsid w:val="00A74335"/>
    <w:rsid w:val="00A743F7"/>
    <w:rsid w:val="00A75B71"/>
    <w:rsid w:val="00A75D5E"/>
    <w:rsid w:val="00A764BB"/>
    <w:rsid w:val="00A77C38"/>
    <w:rsid w:val="00A8066C"/>
    <w:rsid w:val="00A806E8"/>
    <w:rsid w:val="00A8081E"/>
    <w:rsid w:val="00A815D0"/>
    <w:rsid w:val="00A817DB"/>
    <w:rsid w:val="00A81E9A"/>
    <w:rsid w:val="00A82A14"/>
    <w:rsid w:val="00A82E70"/>
    <w:rsid w:val="00A83CE7"/>
    <w:rsid w:val="00A840E1"/>
    <w:rsid w:val="00A84102"/>
    <w:rsid w:val="00A84245"/>
    <w:rsid w:val="00A8495F"/>
    <w:rsid w:val="00A84A91"/>
    <w:rsid w:val="00A85B93"/>
    <w:rsid w:val="00A85D95"/>
    <w:rsid w:val="00A864D9"/>
    <w:rsid w:val="00A86E37"/>
    <w:rsid w:val="00A87976"/>
    <w:rsid w:val="00A87DAD"/>
    <w:rsid w:val="00A9103D"/>
    <w:rsid w:val="00A91B75"/>
    <w:rsid w:val="00A91F46"/>
    <w:rsid w:val="00A92219"/>
    <w:rsid w:val="00A93124"/>
    <w:rsid w:val="00A93B41"/>
    <w:rsid w:val="00A93C76"/>
    <w:rsid w:val="00A94154"/>
    <w:rsid w:val="00A94784"/>
    <w:rsid w:val="00A94A81"/>
    <w:rsid w:val="00A94AA6"/>
    <w:rsid w:val="00A94B45"/>
    <w:rsid w:val="00A94C27"/>
    <w:rsid w:val="00A956A5"/>
    <w:rsid w:val="00A95DF6"/>
    <w:rsid w:val="00A96A45"/>
    <w:rsid w:val="00A97328"/>
    <w:rsid w:val="00A976C1"/>
    <w:rsid w:val="00AA0B37"/>
    <w:rsid w:val="00AA0B4E"/>
    <w:rsid w:val="00AA0CB3"/>
    <w:rsid w:val="00AA1924"/>
    <w:rsid w:val="00AA1B12"/>
    <w:rsid w:val="00AA1DE7"/>
    <w:rsid w:val="00AA26F2"/>
    <w:rsid w:val="00AA3AA9"/>
    <w:rsid w:val="00AA3D10"/>
    <w:rsid w:val="00AA3FC9"/>
    <w:rsid w:val="00AA4F4C"/>
    <w:rsid w:val="00AA595E"/>
    <w:rsid w:val="00AA6764"/>
    <w:rsid w:val="00AA774D"/>
    <w:rsid w:val="00AA78A1"/>
    <w:rsid w:val="00AA7FA8"/>
    <w:rsid w:val="00AB0061"/>
    <w:rsid w:val="00AB0318"/>
    <w:rsid w:val="00AB045C"/>
    <w:rsid w:val="00AB0C0E"/>
    <w:rsid w:val="00AB0C9D"/>
    <w:rsid w:val="00AB0D16"/>
    <w:rsid w:val="00AB1152"/>
    <w:rsid w:val="00AB1390"/>
    <w:rsid w:val="00AB1A90"/>
    <w:rsid w:val="00AB1B8F"/>
    <w:rsid w:val="00AB21DD"/>
    <w:rsid w:val="00AB27A9"/>
    <w:rsid w:val="00AB2BD4"/>
    <w:rsid w:val="00AB2CA3"/>
    <w:rsid w:val="00AB4589"/>
    <w:rsid w:val="00AB4C1D"/>
    <w:rsid w:val="00AB5414"/>
    <w:rsid w:val="00AB56B3"/>
    <w:rsid w:val="00AB5D9A"/>
    <w:rsid w:val="00AB6A5A"/>
    <w:rsid w:val="00AB6BE4"/>
    <w:rsid w:val="00AB6FF2"/>
    <w:rsid w:val="00AB73D5"/>
    <w:rsid w:val="00AC031F"/>
    <w:rsid w:val="00AC0368"/>
    <w:rsid w:val="00AC040D"/>
    <w:rsid w:val="00AC0F6D"/>
    <w:rsid w:val="00AC1019"/>
    <w:rsid w:val="00AC214F"/>
    <w:rsid w:val="00AC224F"/>
    <w:rsid w:val="00AC294C"/>
    <w:rsid w:val="00AC2B58"/>
    <w:rsid w:val="00AC2BCC"/>
    <w:rsid w:val="00AC2D18"/>
    <w:rsid w:val="00AC3183"/>
    <w:rsid w:val="00AC39BA"/>
    <w:rsid w:val="00AC39BE"/>
    <w:rsid w:val="00AC3B0A"/>
    <w:rsid w:val="00AC3C93"/>
    <w:rsid w:val="00AC416E"/>
    <w:rsid w:val="00AC44A4"/>
    <w:rsid w:val="00AC4AA4"/>
    <w:rsid w:val="00AC4B45"/>
    <w:rsid w:val="00AC54B9"/>
    <w:rsid w:val="00AC5FAE"/>
    <w:rsid w:val="00AC6396"/>
    <w:rsid w:val="00AC64A0"/>
    <w:rsid w:val="00AC68BE"/>
    <w:rsid w:val="00AC7340"/>
    <w:rsid w:val="00AD03F5"/>
    <w:rsid w:val="00AD0AF2"/>
    <w:rsid w:val="00AD11A8"/>
    <w:rsid w:val="00AD161D"/>
    <w:rsid w:val="00AD2F9B"/>
    <w:rsid w:val="00AD2FF1"/>
    <w:rsid w:val="00AD347B"/>
    <w:rsid w:val="00AD381A"/>
    <w:rsid w:val="00AD3F02"/>
    <w:rsid w:val="00AD4888"/>
    <w:rsid w:val="00AD488C"/>
    <w:rsid w:val="00AD4A06"/>
    <w:rsid w:val="00AD4AE0"/>
    <w:rsid w:val="00AD56E9"/>
    <w:rsid w:val="00AD5B7B"/>
    <w:rsid w:val="00AD5D04"/>
    <w:rsid w:val="00AD64C9"/>
    <w:rsid w:val="00AD6AE2"/>
    <w:rsid w:val="00AD6C34"/>
    <w:rsid w:val="00AD721C"/>
    <w:rsid w:val="00AD7830"/>
    <w:rsid w:val="00AE0B8C"/>
    <w:rsid w:val="00AE165F"/>
    <w:rsid w:val="00AE1D1D"/>
    <w:rsid w:val="00AE1D8D"/>
    <w:rsid w:val="00AE2499"/>
    <w:rsid w:val="00AE2830"/>
    <w:rsid w:val="00AE289C"/>
    <w:rsid w:val="00AE2BDC"/>
    <w:rsid w:val="00AE32E4"/>
    <w:rsid w:val="00AE3318"/>
    <w:rsid w:val="00AE3545"/>
    <w:rsid w:val="00AE3835"/>
    <w:rsid w:val="00AE3A19"/>
    <w:rsid w:val="00AE3DEC"/>
    <w:rsid w:val="00AE503C"/>
    <w:rsid w:val="00AE5A12"/>
    <w:rsid w:val="00AE662F"/>
    <w:rsid w:val="00AE6F6C"/>
    <w:rsid w:val="00AE71B8"/>
    <w:rsid w:val="00AE72FF"/>
    <w:rsid w:val="00AE731B"/>
    <w:rsid w:val="00AE744D"/>
    <w:rsid w:val="00AE779E"/>
    <w:rsid w:val="00AE7A64"/>
    <w:rsid w:val="00AF0039"/>
    <w:rsid w:val="00AF0134"/>
    <w:rsid w:val="00AF0185"/>
    <w:rsid w:val="00AF0387"/>
    <w:rsid w:val="00AF040D"/>
    <w:rsid w:val="00AF08A3"/>
    <w:rsid w:val="00AF0F3D"/>
    <w:rsid w:val="00AF12AD"/>
    <w:rsid w:val="00AF224B"/>
    <w:rsid w:val="00AF3455"/>
    <w:rsid w:val="00AF39EC"/>
    <w:rsid w:val="00AF4C02"/>
    <w:rsid w:val="00AF4E4D"/>
    <w:rsid w:val="00AF5020"/>
    <w:rsid w:val="00AF5724"/>
    <w:rsid w:val="00AF5938"/>
    <w:rsid w:val="00AF5E4E"/>
    <w:rsid w:val="00AF6B5A"/>
    <w:rsid w:val="00AF6C0D"/>
    <w:rsid w:val="00AF6C21"/>
    <w:rsid w:val="00AF748D"/>
    <w:rsid w:val="00AF75ED"/>
    <w:rsid w:val="00AF79FA"/>
    <w:rsid w:val="00AF7FB8"/>
    <w:rsid w:val="00B0017F"/>
    <w:rsid w:val="00B01E4E"/>
    <w:rsid w:val="00B01EC7"/>
    <w:rsid w:val="00B020A5"/>
    <w:rsid w:val="00B0267B"/>
    <w:rsid w:val="00B028B6"/>
    <w:rsid w:val="00B02A63"/>
    <w:rsid w:val="00B02E08"/>
    <w:rsid w:val="00B02F63"/>
    <w:rsid w:val="00B03785"/>
    <w:rsid w:val="00B0391E"/>
    <w:rsid w:val="00B04106"/>
    <w:rsid w:val="00B046CB"/>
    <w:rsid w:val="00B048F0"/>
    <w:rsid w:val="00B04F21"/>
    <w:rsid w:val="00B0503B"/>
    <w:rsid w:val="00B06137"/>
    <w:rsid w:val="00B06163"/>
    <w:rsid w:val="00B07093"/>
    <w:rsid w:val="00B07253"/>
    <w:rsid w:val="00B073EB"/>
    <w:rsid w:val="00B07558"/>
    <w:rsid w:val="00B075D1"/>
    <w:rsid w:val="00B07E65"/>
    <w:rsid w:val="00B1088A"/>
    <w:rsid w:val="00B10E06"/>
    <w:rsid w:val="00B10EA7"/>
    <w:rsid w:val="00B1149A"/>
    <w:rsid w:val="00B11D09"/>
    <w:rsid w:val="00B1212A"/>
    <w:rsid w:val="00B12357"/>
    <w:rsid w:val="00B12509"/>
    <w:rsid w:val="00B12B7A"/>
    <w:rsid w:val="00B133C2"/>
    <w:rsid w:val="00B13793"/>
    <w:rsid w:val="00B13B33"/>
    <w:rsid w:val="00B13D27"/>
    <w:rsid w:val="00B14159"/>
    <w:rsid w:val="00B15E3D"/>
    <w:rsid w:val="00B162E9"/>
    <w:rsid w:val="00B17B98"/>
    <w:rsid w:val="00B17F86"/>
    <w:rsid w:val="00B20AD6"/>
    <w:rsid w:val="00B2194A"/>
    <w:rsid w:val="00B219D0"/>
    <w:rsid w:val="00B22061"/>
    <w:rsid w:val="00B22143"/>
    <w:rsid w:val="00B233D0"/>
    <w:rsid w:val="00B24697"/>
    <w:rsid w:val="00B249B6"/>
    <w:rsid w:val="00B26321"/>
    <w:rsid w:val="00B27672"/>
    <w:rsid w:val="00B2790D"/>
    <w:rsid w:val="00B3034A"/>
    <w:rsid w:val="00B30A90"/>
    <w:rsid w:val="00B31797"/>
    <w:rsid w:val="00B32A9C"/>
    <w:rsid w:val="00B33384"/>
    <w:rsid w:val="00B33424"/>
    <w:rsid w:val="00B34012"/>
    <w:rsid w:val="00B3449B"/>
    <w:rsid w:val="00B34A76"/>
    <w:rsid w:val="00B34B3D"/>
    <w:rsid w:val="00B3559E"/>
    <w:rsid w:val="00B36487"/>
    <w:rsid w:val="00B36623"/>
    <w:rsid w:val="00B3664D"/>
    <w:rsid w:val="00B369F7"/>
    <w:rsid w:val="00B36AFC"/>
    <w:rsid w:val="00B37734"/>
    <w:rsid w:val="00B37DC4"/>
    <w:rsid w:val="00B37F59"/>
    <w:rsid w:val="00B40394"/>
    <w:rsid w:val="00B40433"/>
    <w:rsid w:val="00B407A8"/>
    <w:rsid w:val="00B409E9"/>
    <w:rsid w:val="00B40AC1"/>
    <w:rsid w:val="00B40D00"/>
    <w:rsid w:val="00B410D1"/>
    <w:rsid w:val="00B4134E"/>
    <w:rsid w:val="00B41480"/>
    <w:rsid w:val="00B416A1"/>
    <w:rsid w:val="00B41A28"/>
    <w:rsid w:val="00B41FDE"/>
    <w:rsid w:val="00B42068"/>
    <w:rsid w:val="00B42076"/>
    <w:rsid w:val="00B42A84"/>
    <w:rsid w:val="00B42D58"/>
    <w:rsid w:val="00B43C93"/>
    <w:rsid w:val="00B43D3E"/>
    <w:rsid w:val="00B43D9F"/>
    <w:rsid w:val="00B44613"/>
    <w:rsid w:val="00B44B4E"/>
    <w:rsid w:val="00B450B1"/>
    <w:rsid w:val="00B45767"/>
    <w:rsid w:val="00B45AD0"/>
    <w:rsid w:val="00B463CF"/>
    <w:rsid w:val="00B46D0F"/>
    <w:rsid w:val="00B46DF6"/>
    <w:rsid w:val="00B473B7"/>
    <w:rsid w:val="00B47491"/>
    <w:rsid w:val="00B4754E"/>
    <w:rsid w:val="00B4796F"/>
    <w:rsid w:val="00B47CF0"/>
    <w:rsid w:val="00B501BE"/>
    <w:rsid w:val="00B50532"/>
    <w:rsid w:val="00B506B1"/>
    <w:rsid w:val="00B51137"/>
    <w:rsid w:val="00B5154E"/>
    <w:rsid w:val="00B518BF"/>
    <w:rsid w:val="00B51A29"/>
    <w:rsid w:val="00B53115"/>
    <w:rsid w:val="00B53B65"/>
    <w:rsid w:val="00B542AE"/>
    <w:rsid w:val="00B544A5"/>
    <w:rsid w:val="00B544CA"/>
    <w:rsid w:val="00B55DBA"/>
    <w:rsid w:val="00B56CD7"/>
    <w:rsid w:val="00B56EF3"/>
    <w:rsid w:val="00B57476"/>
    <w:rsid w:val="00B578FA"/>
    <w:rsid w:val="00B579E1"/>
    <w:rsid w:val="00B57C93"/>
    <w:rsid w:val="00B61BC0"/>
    <w:rsid w:val="00B61CB3"/>
    <w:rsid w:val="00B620D4"/>
    <w:rsid w:val="00B625B7"/>
    <w:rsid w:val="00B627B5"/>
    <w:rsid w:val="00B6309C"/>
    <w:rsid w:val="00B63D8E"/>
    <w:rsid w:val="00B64005"/>
    <w:rsid w:val="00B64C6A"/>
    <w:rsid w:val="00B650B4"/>
    <w:rsid w:val="00B652C4"/>
    <w:rsid w:val="00B65347"/>
    <w:rsid w:val="00B65DF9"/>
    <w:rsid w:val="00B66DFC"/>
    <w:rsid w:val="00B66FC1"/>
    <w:rsid w:val="00B673EC"/>
    <w:rsid w:val="00B67778"/>
    <w:rsid w:val="00B679DA"/>
    <w:rsid w:val="00B67B4C"/>
    <w:rsid w:val="00B7086F"/>
    <w:rsid w:val="00B709B3"/>
    <w:rsid w:val="00B70F0C"/>
    <w:rsid w:val="00B70F13"/>
    <w:rsid w:val="00B726D5"/>
    <w:rsid w:val="00B73636"/>
    <w:rsid w:val="00B73B0B"/>
    <w:rsid w:val="00B75617"/>
    <w:rsid w:val="00B75822"/>
    <w:rsid w:val="00B7585D"/>
    <w:rsid w:val="00B75AE7"/>
    <w:rsid w:val="00B764E5"/>
    <w:rsid w:val="00B77AE3"/>
    <w:rsid w:val="00B77DB5"/>
    <w:rsid w:val="00B8009D"/>
    <w:rsid w:val="00B8023D"/>
    <w:rsid w:val="00B803D5"/>
    <w:rsid w:val="00B807DC"/>
    <w:rsid w:val="00B81848"/>
    <w:rsid w:val="00B81F58"/>
    <w:rsid w:val="00B8226B"/>
    <w:rsid w:val="00B83274"/>
    <w:rsid w:val="00B832C0"/>
    <w:rsid w:val="00B83323"/>
    <w:rsid w:val="00B83722"/>
    <w:rsid w:val="00B84E32"/>
    <w:rsid w:val="00B85023"/>
    <w:rsid w:val="00B85B76"/>
    <w:rsid w:val="00B86AA0"/>
    <w:rsid w:val="00B86FB1"/>
    <w:rsid w:val="00B87247"/>
    <w:rsid w:val="00B87501"/>
    <w:rsid w:val="00B87E49"/>
    <w:rsid w:val="00B9013D"/>
    <w:rsid w:val="00B9054A"/>
    <w:rsid w:val="00B90747"/>
    <w:rsid w:val="00B90B8A"/>
    <w:rsid w:val="00B90D10"/>
    <w:rsid w:val="00B910BB"/>
    <w:rsid w:val="00B910D5"/>
    <w:rsid w:val="00B91D36"/>
    <w:rsid w:val="00B92497"/>
    <w:rsid w:val="00B926E6"/>
    <w:rsid w:val="00B93319"/>
    <w:rsid w:val="00B9376D"/>
    <w:rsid w:val="00B93DF8"/>
    <w:rsid w:val="00B94618"/>
    <w:rsid w:val="00B95507"/>
    <w:rsid w:val="00B956A4"/>
    <w:rsid w:val="00B958F1"/>
    <w:rsid w:val="00B95EEA"/>
    <w:rsid w:val="00B966E0"/>
    <w:rsid w:val="00B97B3E"/>
    <w:rsid w:val="00B97D25"/>
    <w:rsid w:val="00B97F22"/>
    <w:rsid w:val="00BA0787"/>
    <w:rsid w:val="00BA0D0C"/>
    <w:rsid w:val="00BA1D16"/>
    <w:rsid w:val="00BA274F"/>
    <w:rsid w:val="00BA3F61"/>
    <w:rsid w:val="00BA42AC"/>
    <w:rsid w:val="00BA5165"/>
    <w:rsid w:val="00BA532E"/>
    <w:rsid w:val="00BA5F52"/>
    <w:rsid w:val="00BA67CD"/>
    <w:rsid w:val="00BA6B9B"/>
    <w:rsid w:val="00BA7437"/>
    <w:rsid w:val="00BA79B8"/>
    <w:rsid w:val="00BA7B58"/>
    <w:rsid w:val="00BA7C8A"/>
    <w:rsid w:val="00BB000F"/>
    <w:rsid w:val="00BB09CA"/>
    <w:rsid w:val="00BB0C7E"/>
    <w:rsid w:val="00BB10E0"/>
    <w:rsid w:val="00BB1346"/>
    <w:rsid w:val="00BB13A1"/>
    <w:rsid w:val="00BB15F1"/>
    <w:rsid w:val="00BB1B0E"/>
    <w:rsid w:val="00BB1E1C"/>
    <w:rsid w:val="00BB211D"/>
    <w:rsid w:val="00BB274A"/>
    <w:rsid w:val="00BB2CAE"/>
    <w:rsid w:val="00BB3D6C"/>
    <w:rsid w:val="00BB4938"/>
    <w:rsid w:val="00BB4A7C"/>
    <w:rsid w:val="00BB51DC"/>
    <w:rsid w:val="00BB5350"/>
    <w:rsid w:val="00BB584A"/>
    <w:rsid w:val="00BB5BEB"/>
    <w:rsid w:val="00BB5C45"/>
    <w:rsid w:val="00BB61F0"/>
    <w:rsid w:val="00BB6C72"/>
    <w:rsid w:val="00BB6ECF"/>
    <w:rsid w:val="00BB6F3D"/>
    <w:rsid w:val="00BB75B7"/>
    <w:rsid w:val="00BC0795"/>
    <w:rsid w:val="00BC091D"/>
    <w:rsid w:val="00BC0D94"/>
    <w:rsid w:val="00BC0E39"/>
    <w:rsid w:val="00BC1B91"/>
    <w:rsid w:val="00BC2862"/>
    <w:rsid w:val="00BC28A7"/>
    <w:rsid w:val="00BC2E6E"/>
    <w:rsid w:val="00BC345A"/>
    <w:rsid w:val="00BC3AA4"/>
    <w:rsid w:val="00BC3B04"/>
    <w:rsid w:val="00BC478E"/>
    <w:rsid w:val="00BC5696"/>
    <w:rsid w:val="00BC5897"/>
    <w:rsid w:val="00BC5D36"/>
    <w:rsid w:val="00BC6AD4"/>
    <w:rsid w:val="00BC7214"/>
    <w:rsid w:val="00BC7573"/>
    <w:rsid w:val="00BC76F2"/>
    <w:rsid w:val="00BD014C"/>
    <w:rsid w:val="00BD0442"/>
    <w:rsid w:val="00BD1FF0"/>
    <w:rsid w:val="00BD3185"/>
    <w:rsid w:val="00BD3245"/>
    <w:rsid w:val="00BD359A"/>
    <w:rsid w:val="00BD3A67"/>
    <w:rsid w:val="00BD47D0"/>
    <w:rsid w:val="00BD49D1"/>
    <w:rsid w:val="00BD4AAC"/>
    <w:rsid w:val="00BD52D8"/>
    <w:rsid w:val="00BD69AA"/>
    <w:rsid w:val="00BD6B10"/>
    <w:rsid w:val="00BD6C1C"/>
    <w:rsid w:val="00BD6FF1"/>
    <w:rsid w:val="00BD73C1"/>
    <w:rsid w:val="00BD788A"/>
    <w:rsid w:val="00BE0975"/>
    <w:rsid w:val="00BE0BF1"/>
    <w:rsid w:val="00BE0FF4"/>
    <w:rsid w:val="00BE13BF"/>
    <w:rsid w:val="00BE14B7"/>
    <w:rsid w:val="00BE151E"/>
    <w:rsid w:val="00BE1639"/>
    <w:rsid w:val="00BE219B"/>
    <w:rsid w:val="00BE21A1"/>
    <w:rsid w:val="00BE2234"/>
    <w:rsid w:val="00BE2B6A"/>
    <w:rsid w:val="00BE3BBE"/>
    <w:rsid w:val="00BE4009"/>
    <w:rsid w:val="00BE41E7"/>
    <w:rsid w:val="00BE4225"/>
    <w:rsid w:val="00BE4229"/>
    <w:rsid w:val="00BE4390"/>
    <w:rsid w:val="00BE4BFF"/>
    <w:rsid w:val="00BE5081"/>
    <w:rsid w:val="00BE58C5"/>
    <w:rsid w:val="00BE5E41"/>
    <w:rsid w:val="00BE5E70"/>
    <w:rsid w:val="00BE6378"/>
    <w:rsid w:val="00BE6445"/>
    <w:rsid w:val="00BE6734"/>
    <w:rsid w:val="00BE680A"/>
    <w:rsid w:val="00BE7565"/>
    <w:rsid w:val="00BF03EB"/>
    <w:rsid w:val="00BF0573"/>
    <w:rsid w:val="00BF138A"/>
    <w:rsid w:val="00BF1B95"/>
    <w:rsid w:val="00BF220D"/>
    <w:rsid w:val="00BF311A"/>
    <w:rsid w:val="00BF33C2"/>
    <w:rsid w:val="00BF7002"/>
    <w:rsid w:val="00BF7254"/>
    <w:rsid w:val="00BF7441"/>
    <w:rsid w:val="00BF7AE9"/>
    <w:rsid w:val="00C00423"/>
    <w:rsid w:val="00C007AC"/>
    <w:rsid w:val="00C00D57"/>
    <w:rsid w:val="00C00ED6"/>
    <w:rsid w:val="00C00FDF"/>
    <w:rsid w:val="00C023FC"/>
    <w:rsid w:val="00C02521"/>
    <w:rsid w:val="00C0281D"/>
    <w:rsid w:val="00C02AC0"/>
    <w:rsid w:val="00C03110"/>
    <w:rsid w:val="00C035F0"/>
    <w:rsid w:val="00C036AF"/>
    <w:rsid w:val="00C0403A"/>
    <w:rsid w:val="00C044D7"/>
    <w:rsid w:val="00C04960"/>
    <w:rsid w:val="00C049B2"/>
    <w:rsid w:val="00C04F3D"/>
    <w:rsid w:val="00C05275"/>
    <w:rsid w:val="00C05652"/>
    <w:rsid w:val="00C05D3D"/>
    <w:rsid w:val="00C060FF"/>
    <w:rsid w:val="00C062DF"/>
    <w:rsid w:val="00C067ED"/>
    <w:rsid w:val="00C068CA"/>
    <w:rsid w:val="00C069BC"/>
    <w:rsid w:val="00C0728D"/>
    <w:rsid w:val="00C07616"/>
    <w:rsid w:val="00C077F7"/>
    <w:rsid w:val="00C10998"/>
    <w:rsid w:val="00C1112C"/>
    <w:rsid w:val="00C114C4"/>
    <w:rsid w:val="00C117AB"/>
    <w:rsid w:val="00C123D4"/>
    <w:rsid w:val="00C12740"/>
    <w:rsid w:val="00C12B1E"/>
    <w:rsid w:val="00C12E4C"/>
    <w:rsid w:val="00C13613"/>
    <w:rsid w:val="00C13806"/>
    <w:rsid w:val="00C13938"/>
    <w:rsid w:val="00C140EF"/>
    <w:rsid w:val="00C14EF9"/>
    <w:rsid w:val="00C152CE"/>
    <w:rsid w:val="00C1545C"/>
    <w:rsid w:val="00C15B0D"/>
    <w:rsid w:val="00C15BDC"/>
    <w:rsid w:val="00C161A5"/>
    <w:rsid w:val="00C16A3B"/>
    <w:rsid w:val="00C17733"/>
    <w:rsid w:val="00C179D2"/>
    <w:rsid w:val="00C206C4"/>
    <w:rsid w:val="00C20A40"/>
    <w:rsid w:val="00C2135A"/>
    <w:rsid w:val="00C215B0"/>
    <w:rsid w:val="00C215BB"/>
    <w:rsid w:val="00C21B0E"/>
    <w:rsid w:val="00C21D3F"/>
    <w:rsid w:val="00C21E82"/>
    <w:rsid w:val="00C22A62"/>
    <w:rsid w:val="00C22FB7"/>
    <w:rsid w:val="00C23042"/>
    <w:rsid w:val="00C23102"/>
    <w:rsid w:val="00C2340B"/>
    <w:rsid w:val="00C23688"/>
    <w:rsid w:val="00C23C85"/>
    <w:rsid w:val="00C23DAC"/>
    <w:rsid w:val="00C23FEF"/>
    <w:rsid w:val="00C2435E"/>
    <w:rsid w:val="00C24498"/>
    <w:rsid w:val="00C24A4C"/>
    <w:rsid w:val="00C24BF5"/>
    <w:rsid w:val="00C25246"/>
    <w:rsid w:val="00C25A94"/>
    <w:rsid w:val="00C26450"/>
    <w:rsid w:val="00C264B8"/>
    <w:rsid w:val="00C269CE"/>
    <w:rsid w:val="00C303AA"/>
    <w:rsid w:val="00C30A17"/>
    <w:rsid w:val="00C30D2E"/>
    <w:rsid w:val="00C30EB0"/>
    <w:rsid w:val="00C31134"/>
    <w:rsid w:val="00C3290A"/>
    <w:rsid w:val="00C32C2B"/>
    <w:rsid w:val="00C32EC4"/>
    <w:rsid w:val="00C32ECA"/>
    <w:rsid w:val="00C34127"/>
    <w:rsid w:val="00C34151"/>
    <w:rsid w:val="00C34211"/>
    <w:rsid w:val="00C34742"/>
    <w:rsid w:val="00C349DF"/>
    <w:rsid w:val="00C34A4D"/>
    <w:rsid w:val="00C34B61"/>
    <w:rsid w:val="00C34D06"/>
    <w:rsid w:val="00C35474"/>
    <w:rsid w:val="00C35797"/>
    <w:rsid w:val="00C35D03"/>
    <w:rsid w:val="00C35F5E"/>
    <w:rsid w:val="00C35FE2"/>
    <w:rsid w:val="00C376F3"/>
    <w:rsid w:val="00C379FC"/>
    <w:rsid w:val="00C37C05"/>
    <w:rsid w:val="00C406A8"/>
    <w:rsid w:val="00C40741"/>
    <w:rsid w:val="00C40C69"/>
    <w:rsid w:val="00C4103B"/>
    <w:rsid w:val="00C411D3"/>
    <w:rsid w:val="00C41680"/>
    <w:rsid w:val="00C417A1"/>
    <w:rsid w:val="00C41C87"/>
    <w:rsid w:val="00C41CC0"/>
    <w:rsid w:val="00C420C2"/>
    <w:rsid w:val="00C42769"/>
    <w:rsid w:val="00C42841"/>
    <w:rsid w:val="00C429C0"/>
    <w:rsid w:val="00C42B3D"/>
    <w:rsid w:val="00C42C0A"/>
    <w:rsid w:val="00C42CCC"/>
    <w:rsid w:val="00C42FF8"/>
    <w:rsid w:val="00C43595"/>
    <w:rsid w:val="00C43DD9"/>
    <w:rsid w:val="00C4400B"/>
    <w:rsid w:val="00C440B2"/>
    <w:rsid w:val="00C44870"/>
    <w:rsid w:val="00C44C9B"/>
    <w:rsid w:val="00C450B5"/>
    <w:rsid w:val="00C45892"/>
    <w:rsid w:val="00C46A6F"/>
    <w:rsid w:val="00C476DA"/>
    <w:rsid w:val="00C50EB6"/>
    <w:rsid w:val="00C5139A"/>
    <w:rsid w:val="00C51CDD"/>
    <w:rsid w:val="00C52133"/>
    <w:rsid w:val="00C5287E"/>
    <w:rsid w:val="00C538D5"/>
    <w:rsid w:val="00C5437B"/>
    <w:rsid w:val="00C546FE"/>
    <w:rsid w:val="00C55211"/>
    <w:rsid w:val="00C55E02"/>
    <w:rsid w:val="00C56927"/>
    <w:rsid w:val="00C57804"/>
    <w:rsid w:val="00C6099A"/>
    <w:rsid w:val="00C60F58"/>
    <w:rsid w:val="00C610EF"/>
    <w:rsid w:val="00C61B34"/>
    <w:rsid w:val="00C61EF1"/>
    <w:rsid w:val="00C62D0A"/>
    <w:rsid w:val="00C6311F"/>
    <w:rsid w:val="00C63FCC"/>
    <w:rsid w:val="00C65B39"/>
    <w:rsid w:val="00C66328"/>
    <w:rsid w:val="00C66516"/>
    <w:rsid w:val="00C66549"/>
    <w:rsid w:val="00C666F6"/>
    <w:rsid w:val="00C67626"/>
    <w:rsid w:val="00C67885"/>
    <w:rsid w:val="00C7065D"/>
    <w:rsid w:val="00C70713"/>
    <w:rsid w:val="00C709FC"/>
    <w:rsid w:val="00C70A1E"/>
    <w:rsid w:val="00C712A2"/>
    <w:rsid w:val="00C71DD8"/>
    <w:rsid w:val="00C71F69"/>
    <w:rsid w:val="00C720EF"/>
    <w:rsid w:val="00C7273B"/>
    <w:rsid w:val="00C72E7B"/>
    <w:rsid w:val="00C738FC"/>
    <w:rsid w:val="00C73D8C"/>
    <w:rsid w:val="00C7656F"/>
    <w:rsid w:val="00C76834"/>
    <w:rsid w:val="00C76C00"/>
    <w:rsid w:val="00C76D19"/>
    <w:rsid w:val="00C76D20"/>
    <w:rsid w:val="00C7703B"/>
    <w:rsid w:val="00C774B8"/>
    <w:rsid w:val="00C77640"/>
    <w:rsid w:val="00C804F5"/>
    <w:rsid w:val="00C80B49"/>
    <w:rsid w:val="00C81863"/>
    <w:rsid w:val="00C81FF4"/>
    <w:rsid w:val="00C8201F"/>
    <w:rsid w:val="00C82CE4"/>
    <w:rsid w:val="00C82DD1"/>
    <w:rsid w:val="00C83858"/>
    <w:rsid w:val="00C83ACD"/>
    <w:rsid w:val="00C83AD1"/>
    <w:rsid w:val="00C83ADB"/>
    <w:rsid w:val="00C841A8"/>
    <w:rsid w:val="00C8426E"/>
    <w:rsid w:val="00C848CC"/>
    <w:rsid w:val="00C849DC"/>
    <w:rsid w:val="00C84D2E"/>
    <w:rsid w:val="00C850BA"/>
    <w:rsid w:val="00C8558C"/>
    <w:rsid w:val="00C85F42"/>
    <w:rsid w:val="00C86F6A"/>
    <w:rsid w:val="00C876C3"/>
    <w:rsid w:val="00C877A9"/>
    <w:rsid w:val="00C90255"/>
    <w:rsid w:val="00C910B5"/>
    <w:rsid w:val="00C9146C"/>
    <w:rsid w:val="00C91DCB"/>
    <w:rsid w:val="00C92EC7"/>
    <w:rsid w:val="00C9333C"/>
    <w:rsid w:val="00C935F1"/>
    <w:rsid w:val="00C939B8"/>
    <w:rsid w:val="00C93C78"/>
    <w:rsid w:val="00C94820"/>
    <w:rsid w:val="00C95692"/>
    <w:rsid w:val="00C96F6E"/>
    <w:rsid w:val="00C96FF3"/>
    <w:rsid w:val="00C97454"/>
    <w:rsid w:val="00C9788C"/>
    <w:rsid w:val="00C97FCD"/>
    <w:rsid w:val="00CA00C6"/>
    <w:rsid w:val="00CA03A1"/>
    <w:rsid w:val="00CA0821"/>
    <w:rsid w:val="00CA085C"/>
    <w:rsid w:val="00CA125E"/>
    <w:rsid w:val="00CA1447"/>
    <w:rsid w:val="00CA1767"/>
    <w:rsid w:val="00CA27CC"/>
    <w:rsid w:val="00CA27F5"/>
    <w:rsid w:val="00CA2A80"/>
    <w:rsid w:val="00CA2BEE"/>
    <w:rsid w:val="00CA3439"/>
    <w:rsid w:val="00CA36CC"/>
    <w:rsid w:val="00CA47D4"/>
    <w:rsid w:val="00CA62C5"/>
    <w:rsid w:val="00CA77D9"/>
    <w:rsid w:val="00CA7B10"/>
    <w:rsid w:val="00CB04FA"/>
    <w:rsid w:val="00CB1769"/>
    <w:rsid w:val="00CB1CC3"/>
    <w:rsid w:val="00CB1DF7"/>
    <w:rsid w:val="00CB1FB3"/>
    <w:rsid w:val="00CB2352"/>
    <w:rsid w:val="00CB2D82"/>
    <w:rsid w:val="00CB43F7"/>
    <w:rsid w:val="00CB4514"/>
    <w:rsid w:val="00CB4C9E"/>
    <w:rsid w:val="00CB5210"/>
    <w:rsid w:val="00CB55AB"/>
    <w:rsid w:val="00CB5B4D"/>
    <w:rsid w:val="00CB5EDE"/>
    <w:rsid w:val="00CB70A7"/>
    <w:rsid w:val="00CB7523"/>
    <w:rsid w:val="00CB77DD"/>
    <w:rsid w:val="00CB7B2E"/>
    <w:rsid w:val="00CC08D4"/>
    <w:rsid w:val="00CC0985"/>
    <w:rsid w:val="00CC1DA8"/>
    <w:rsid w:val="00CC25B3"/>
    <w:rsid w:val="00CC26F1"/>
    <w:rsid w:val="00CC2899"/>
    <w:rsid w:val="00CC2D98"/>
    <w:rsid w:val="00CC3019"/>
    <w:rsid w:val="00CC3212"/>
    <w:rsid w:val="00CC3512"/>
    <w:rsid w:val="00CC4EFD"/>
    <w:rsid w:val="00CC53A9"/>
    <w:rsid w:val="00CC5B8C"/>
    <w:rsid w:val="00CC5C43"/>
    <w:rsid w:val="00CC5DF0"/>
    <w:rsid w:val="00CC5F1A"/>
    <w:rsid w:val="00CC6267"/>
    <w:rsid w:val="00CC654D"/>
    <w:rsid w:val="00CC71E5"/>
    <w:rsid w:val="00CC7F4C"/>
    <w:rsid w:val="00CD0176"/>
    <w:rsid w:val="00CD06AF"/>
    <w:rsid w:val="00CD09CE"/>
    <w:rsid w:val="00CD1D4A"/>
    <w:rsid w:val="00CD2922"/>
    <w:rsid w:val="00CD3688"/>
    <w:rsid w:val="00CD3758"/>
    <w:rsid w:val="00CD3799"/>
    <w:rsid w:val="00CD43FC"/>
    <w:rsid w:val="00CD46D6"/>
    <w:rsid w:val="00CD4E1E"/>
    <w:rsid w:val="00CD4F00"/>
    <w:rsid w:val="00CD5004"/>
    <w:rsid w:val="00CD5A2B"/>
    <w:rsid w:val="00CD5B80"/>
    <w:rsid w:val="00CD5D4B"/>
    <w:rsid w:val="00CD60FB"/>
    <w:rsid w:val="00CD69AE"/>
    <w:rsid w:val="00CD6E10"/>
    <w:rsid w:val="00CD7A1C"/>
    <w:rsid w:val="00CE111F"/>
    <w:rsid w:val="00CE13C3"/>
    <w:rsid w:val="00CE151F"/>
    <w:rsid w:val="00CE180E"/>
    <w:rsid w:val="00CE1A9E"/>
    <w:rsid w:val="00CE1B90"/>
    <w:rsid w:val="00CE1D73"/>
    <w:rsid w:val="00CE1F97"/>
    <w:rsid w:val="00CE2B1B"/>
    <w:rsid w:val="00CE365F"/>
    <w:rsid w:val="00CE3CB2"/>
    <w:rsid w:val="00CE405D"/>
    <w:rsid w:val="00CE4205"/>
    <w:rsid w:val="00CE46B3"/>
    <w:rsid w:val="00CE4A72"/>
    <w:rsid w:val="00CE5B26"/>
    <w:rsid w:val="00CE5F9A"/>
    <w:rsid w:val="00CE7DF9"/>
    <w:rsid w:val="00CF0047"/>
    <w:rsid w:val="00CF047C"/>
    <w:rsid w:val="00CF0680"/>
    <w:rsid w:val="00CF072B"/>
    <w:rsid w:val="00CF0B17"/>
    <w:rsid w:val="00CF0B5D"/>
    <w:rsid w:val="00CF1985"/>
    <w:rsid w:val="00CF1C21"/>
    <w:rsid w:val="00CF2158"/>
    <w:rsid w:val="00CF2431"/>
    <w:rsid w:val="00CF2664"/>
    <w:rsid w:val="00CF2A66"/>
    <w:rsid w:val="00CF3BA2"/>
    <w:rsid w:val="00CF3BB1"/>
    <w:rsid w:val="00CF421F"/>
    <w:rsid w:val="00CF4492"/>
    <w:rsid w:val="00CF4CE1"/>
    <w:rsid w:val="00CF4E93"/>
    <w:rsid w:val="00CF6B9B"/>
    <w:rsid w:val="00D002F4"/>
    <w:rsid w:val="00D00788"/>
    <w:rsid w:val="00D0170D"/>
    <w:rsid w:val="00D0238D"/>
    <w:rsid w:val="00D02CB3"/>
    <w:rsid w:val="00D03106"/>
    <w:rsid w:val="00D03175"/>
    <w:rsid w:val="00D036F4"/>
    <w:rsid w:val="00D046E0"/>
    <w:rsid w:val="00D058DA"/>
    <w:rsid w:val="00D059AF"/>
    <w:rsid w:val="00D059B8"/>
    <w:rsid w:val="00D05A76"/>
    <w:rsid w:val="00D06AF9"/>
    <w:rsid w:val="00D06C3E"/>
    <w:rsid w:val="00D07E89"/>
    <w:rsid w:val="00D120B7"/>
    <w:rsid w:val="00D12DEF"/>
    <w:rsid w:val="00D12F18"/>
    <w:rsid w:val="00D132BB"/>
    <w:rsid w:val="00D13C98"/>
    <w:rsid w:val="00D13DBB"/>
    <w:rsid w:val="00D140D5"/>
    <w:rsid w:val="00D1412F"/>
    <w:rsid w:val="00D14E18"/>
    <w:rsid w:val="00D15A9C"/>
    <w:rsid w:val="00D15D82"/>
    <w:rsid w:val="00D160B4"/>
    <w:rsid w:val="00D16907"/>
    <w:rsid w:val="00D16C49"/>
    <w:rsid w:val="00D16E03"/>
    <w:rsid w:val="00D16E7F"/>
    <w:rsid w:val="00D178C9"/>
    <w:rsid w:val="00D204F2"/>
    <w:rsid w:val="00D20985"/>
    <w:rsid w:val="00D21701"/>
    <w:rsid w:val="00D22547"/>
    <w:rsid w:val="00D2290A"/>
    <w:rsid w:val="00D22E33"/>
    <w:rsid w:val="00D2304A"/>
    <w:rsid w:val="00D232EA"/>
    <w:rsid w:val="00D23577"/>
    <w:rsid w:val="00D23837"/>
    <w:rsid w:val="00D23CB7"/>
    <w:rsid w:val="00D23D06"/>
    <w:rsid w:val="00D247F3"/>
    <w:rsid w:val="00D24A2E"/>
    <w:rsid w:val="00D24DFD"/>
    <w:rsid w:val="00D251B6"/>
    <w:rsid w:val="00D252EE"/>
    <w:rsid w:val="00D25952"/>
    <w:rsid w:val="00D25968"/>
    <w:rsid w:val="00D25E03"/>
    <w:rsid w:val="00D263F5"/>
    <w:rsid w:val="00D265E5"/>
    <w:rsid w:val="00D26868"/>
    <w:rsid w:val="00D26870"/>
    <w:rsid w:val="00D27369"/>
    <w:rsid w:val="00D277C7"/>
    <w:rsid w:val="00D27C8B"/>
    <w:rsid w:val="00D30429"/>
    <w:rsid w:val="00D304BB"/>
    <w:rsid w:val="00D304DE"/>
    <w:rsid w:val="00D304E4"/>
    <w:rsid w:val="00D30FDE"/>
    <w:rsid w:val="00D317FE"/>
    <w:rsid w:val="00D321E6"/>
    <w:rsid w:val="00D32CDE"/>
    <w:rsid w:val="00D343DC"/>
    <w:rsid w:val="00D346C2"/>
    <w:rsid w:val="00D35683"/>
    <w:rsid w:val="00D35853"/>
    <w:rsid w:val="00D35928"/>
    <w:rsid w:val="00D36964"/>
    <w:rsid w:val="00D37152"/>
    <w:rsid w:val="00D37632"/>
    <w:rsid w:val="00D40162"/>
    <w:rsid w:val="00D4033A"/>
    <w:rsid w:val="00D41263"/>
    <w:rsid w:val="00D412C5"/>
    <w:rsid w:val="00D41520"/>
    <w:rsid w:val="00D417C7"/>
    <w:rsid w:val="00D418B3"/>
    <w:rsid w:val="00D42302"/>
    <w:rsid w:val="00D4252C"/>
    <w:rsid w:val="00D42614"/>
    <w:rsid w:val="00D42B05"/>
    <w:rsid w:val="00D42CFE"/>
    <w:rsid w:val="00D43330"/>
    <w:rsid w:val="00D438FA"/>
    <w:rsid w:val="00D44865"/>
    <w:rsid w:val="00D44B93"/>
    <w:rsid w:val="00D45F41"/>
    <w:rsid w:val="00D4690E"/>
    <w:rsid w:val="00D46FE2"/>
    <w:rsid w:val="00D5034A"/>
    <w:rsid w:val="00D50502"/>
    <w:rsid w:val="00D506A0"/>
    <w:rsid w:val="00D50C82"/>
    <w:rsid w:val="00D510D9"/>
    <w:rsid w:val="00D51416"/>
    <w:rsid w:val="00D529E9"/>
    <w:rsid w:val="00D52D62"/>
    <w:rsid w:val="00D52FAE"/>
    <w:rsid w:val="00D5310E"/>
    <w:rsid w:val="00D540ED"/>
    <w:rsid w:val="00D54281"/>
    <w:rsid w:val="00D54A4F"/>
    <w:rsid w:val="00D55D99"/>
    <w:rsid w:val="00D55F3E"/>
    <w:rsid w:val="00D560B6"/>
    <w:rsid w:val="00D56EF5"/>
    <w:rsid w:val="00D57686"/>
    <w:rsid w:val="00D57D40"/>
    <w:rsid w:val="00D57F64"/>
    <w:rsid w:val="00D57F73"/>
    <w:rsid w:val="00D6026D"/>
    <w:rsid w:val="00D60F1B"/>
    <w:rsid w:val="00D61248"/>
    <w:rsid w:val="00D618AA"/>
    <w:rsid w:val="00D623ED"/>
    <w:rsid w:val="00D62A3A"/>
    <w:rsid w:val="00D638FD"/>
    <w:rsid w:val="00D63FD7"/>
    <w:rsid w:val="00D64205"/>
    <w:rsid w:val="00D64879"/>
    <w:rsid w:val="00D64F29"/>
    <w:rsid w:val="00D65691"/>
    <w:rsid w:val="00D65813"/>
    <w:rsid w:val="00D65FF1"/>
    <w:rsid w:val="00D6647D"/>
    <w:rsid w:val="00D6651F"/>
    <w:rsid w:val="00D6652F"/>
    <w:rsid w:val="00D667A3"/>
    <w:rsid w:val="00D66B55"/>
    <w:rsid w:val="00D66FE5"/>
    <w:rsid w:val="00D67273"/>
    <w:rsid w:val="00D67AEA"/>
    <w:rsid w:val="00D67B8F"/>
    <w:rsid w:val="00D70433"/>
    <w:rsid w:val="00D70E8B"/>
    <w:rsid w:val="00D71177"/>
    <w:rsid w:val="00D7121D"/>
    <w:rsid w:val="00D724A1"/>
    <w:rsid w:val="00D730F3"/>
    <w:rsid w:val="00D736C9"/>
    <w:rsid w:val="00D74406"/>
    <w:rsid w:val="00D74747"/>
    <w:rsid w:val="00D751CA"/>
    <w:rsid w:val="00D75968"/>
    <w:rsid w:val="00D75D42"/>
    <w:rsid w:val="00D76678"/>
    <w:rsid w:val="00D77B32"/>
    <w:rsid w:val="00D77D6F"/>
    <w:rsid w:val="00D80069"/>
    <w:rsid w:val="00D8018D"/>
    <w:rsid w:val="00D81508"/>
    <w:rsid w:val="00D81969"/>
    <w:rsid w:val="00D81999"/>
    <w:rsid w:val="00D81CAB"/>
    <w:rsid w:val="00D81F17"/>
    <w:rsid w:val="00D82888"/>
    <w:rsid w:val="00D828B0"/>
    <w:rsid w:val="00D83123"/>
    <w:rsid w:val="00D83391"/>
    <w:rsid w:val="00D83DD0"/>
    <w:rsid w:val="00D83EE1"/>
    <w:rsid w:val="00D84654"/>
    <w:rsid w:val="00D84DEA"/>
    <w:rsid w:val="00D84FF4"/>
    <w:rsid w:val="00D853EB"/>
    <w:rsid w:val="00D86DDE"/>
    <w:rsid w:val="00D8705D"/>
    <w:rsid w:val="00D87AF6"/>
    <w:rsid w:val="00D90276"/>
    <w:rsid w:val="00D907E6"/>
    <w:rsid w:val="00D908E2"/>
    <w:rsid w:val="00D90EF9"/>
    <w:rsid w:val="00D93FB0"/>
    <w:rsid w:val="00D9490F"/>
    <w:rsid w:val="00D94F61"/>
    <w:rsid w:val="00D95E99"/>
    <w:rsid w:val="00D9663A"/>
    <w:rsid w:val="00D96BD9"/>
    <w:rsid w:val="00D97C3B"/>
    <w:rsid w:val="00DA0317"/>
    <w:rsid w:val="00DA093D"/>
    <w:rsid w:val="00DA1B7D"/>
    <w:rsid w:val="00DA28D2"/>
    <w:rsid w:val="00DA2D45"/>
    <w:rsid w:val="00DA3385"/>
    <w:rsid w:val="00DA347D"/>
    <w:rsid w:val="00DA357C"/>
    <w:rsid w:val="00DA3B7A"/>
    <w:rsid w:val="00DA3C75"/>
    <w:rsid w:val="00DA401A"/>
    <w:rsid w:val="00DA40C8"/>
    <w:rsid w:val="00DA40E8"/>
    <w:rsid w:val="00DA43AA"/>
    <w:rsid w:val="00DA4A60"/>
    <w:rsid w:val="00DA519B"/>
    <w:rsid w:val="00DA544E"/>
    <w:rsid w:val="00DA557E"/>
    <w:rsid w:val="00DA55D1"/>
    <w:rsid w:val="00DA57E3"/>
    <w:rsid w:val="00DA6014"/>
    <w:rsid w:val="00DA6230"/>
    <w:rsid w:val="00DA68C1"/>
    <w:rsid w:val="00DA6DF1"/>
    <w:rsid w:val="00DA6FE2"/>
    <w:rsid w:val="00DB0822"/>
    <w:rsid w:val="00DB0ABF"/>
    <w:rsid w:val="00DB1FCD"/>
    <w:rsid w:val="00DB303B"/>
    <w:rsid w:val="00DB382B"/>
    <w:rsid w:val="00DB3931"/>
    <w:rsid w:val="00DB3F86"/>
    <w:rsid w:val="00DB467F"/>
    <w:rsid w:val="00DB4A08"/>
    <w:rsid w:val="00DB5460"/>
    <w:rsid w:val="00DB5A0F"/>
    <w:rsid w:val="00DB60C3"/>
    <w:rsid w:val="00DB63EF"/>
    <w:rsid w:val="00DB6A68"/>
    <w:rsid w:val="00DB6BFA"/>
    <w:rsid w:val="00DB70D0"/>
    <w:rsid w:val="00DC01EA"/>
    <w:rsid w:val="00DC025F"/>
    <w:rsid w:val="00DC04CE"/>
    <w:rsid w:val="00DC0942"/>
    <w:rsid w:val="00DC0CA0"/>
    <w:rsid w:val="00DC1B05"/>
    <w:rsid w:val="00DC22FA"/>
    <w:rsid w:val="00DC29DC"/>
    <w:rsid w:val="00DC46E4"/>
    <w:rsid w:val="00DC4A5A"/>
    <w:rsid w:val="00DC4D38"/>
    <w:rsid w:val="00DC517D"/>
    <w:rsid w:val="00DC53E8"/>
    <w:rsid w:val="00DC5611"/>
    <w:rsid w:val="00DC56CD"/>
    <w:rsid w:val="00DC5DC2"/>
    <w:rsid w:val="00DC5FE9"/>
    <w:rsid w:val="00DC60E7"/>
    <w:rsid w:val="00DC7DB8"/>
    <w:rsid w:val="00DD0AF2"/>
    <w:rsid w:val="00DD177D"/>
    <w:rsid w:val="00DD193F"/>
    <w:rsid w:val="00DD19C5"/>
    <w:rsid w:val="00DD1C59"/>
    <w:rsid w:val="00DD21D3"/>
    <w:rsid w:val="00DD25CA"/>
    <w:rsid w:val="00DD2AC8"/>
    <w:rsid w:val="00DD3180"/>
    <w:rsid w:val="00DD318A"/>
    <w:rsid w:val="00DD3586"/>
    <w:rsid w:val="00DD3643"/>
    <w:rsid w:val="00DD40D5"/>
    <w:rsid w:val="00DD4302"/>
    <w:rsid w:val="00DD4806"/>
    <w:rsid w:val="00DD4C7D"/>
    <w:rsid w:val="00DD5429"/>
    <w:rsid w:val="00DD5522"/>
    <w:rsid w:val="00DD653C"/>
    <w:rsid w:val="00DD6A33"/>
    <w:rsid w:val="00DD74C9"/>
    <w:rsid w:val="00DD7674"/>
    <w:rsid w:val="00DD78AE"/>
    <w:rsid w:val="00DD7A48"/>
    <w:rsid w:val="00DE077B"/>
    <w:rsid w:val="00DE0820"/>
    <w:rsid w:val="00DE0B23"/>
    <w:rsid w:val="00DE0C22"/>
    <w:rsid w:val="00DE13A4"/>
    <w:rsid w:val="00DE2313"/>
    <w:rsid w:val="00DE24FE"/>
    <w:rsid w:val="00DE28C8"/>
    <w:rsid w:val="00DE34B7"/>
    <w:rsid w:val="00DE4890"/>
    <w:rsid w:val="00DE4944"/>
    <w:rsid w:val="00DE4989"/>
    <w:rsid w:val="00DE4B90"/>
    <w:rsid w:val="00DE6116"/>
    <w:rsid w:val="00DE6678"/>
    <w:rsid w:val="00DE673C"/>
    <w:rsid w:val="00DE6A87"/>
    <w:rsid w:val="00DE6BC4"/>
    <w:rsid w:val="00DE6E07"/>
    <w:rsid w:val="00DE7168"/>
    <w:rsid w:val="00DE776F"/>
    <w:rsid w:val="00DE78B0"/>
    <w:rsid w:val="00DF0094"/>
    <w:rsid w:val="00DF05D9"/>
    <w:rsid w:val="00DF1FBA"/>
    <w:rsid w:val="00DF28AA"/>
    <w:rsid w:val="00DF2AB0"/>
    <w:rsid w:val="00DF3453"/>
    <w:rsid w:val="00DF367B"/>
    <w:rsid w:val="00DF39A8"/>
    <w:rsid w:val="00DF3B18"/>
    <w:rsid w:val="00DF3B4E"/>
    <w:rsid w:val="00DF43F7"/>
    <w:rsid w:val="00DF4439"/>
    <w:rsid w:val="00DF45AB"/>
    <w:rsid w:val="00DF4B3A"/>
    <w:rsid w:val="00DF5728"/>
    <w:rsid w:val="00DF5EB2"/>
    <w:rsid w:val="00DF6209"/>
    <w:rsid w:val="00DF68BF"/>
    <w:rsid w:val="00DF6B7E"/>
    <w:rsid w:val="00DF7002"/>
    <w:rsid w:val="00DF7942"/>
    <w:rsid w:val="00DF7A56"/>
    <w:rsid w:val="00E00099"/>
    <w:rsid w:val="00E00607"/>
    <w:rsid w:val="00E00C7C"/>
    <w:rsid w:val="00E00D3D"/>
    <w:rsid w:val="00E00E9B"/>
    <w:rsid w:val="00E017D0"/>
    <w:rsid w:val="00E01A43"/>
    <w:rsid w:val="00E020ED"/>
    <w:rsid w:val="00E023ED"/>
    <w:rsid w:val="00E023F5"/>
    <w:rsid w:val="00E0320D"/>
    <w:rsid w:val="00E0339C"/>
    <w:rsid w:val="00E038E1"/>
    <w:rsid w:val="00E0414F"/>
    <w:rsid w:val="00E04943"/>
    <w:rsid w:val="00E0581B"/>
    <w:rsid w:val="00E05870"/>
    <w:rsid w:val="00E058F3"/>
    <w:rsid w:val="00E05E10"/>
    <w:rsid w:val="00E07084"/>
    <w:rsid w:val="00E0755B"/>
    <w:rsid w:val="00E076CD"/>
    <w:rsid w:val="00E07B2E"/>
    <w:rsid w:val="00E07D68"/>
    <w:rsid w:val="00E07DE5"/>
    <w:rsid w:val="00E1016F"/>
    <w:rsid w:val="00E101C1"/>
    <w:rsid w:val="00E105EE"/>
    <w:rsid w:val="00E11886"/>
    <w:rsid w:val="00E124C0"/>
    <w:rsid w:val="00E12BC1"/>
    <w:rsid w:val="00E12DD7"/>
    <w:rsid w:val="00E132FE"/>
    <w:rsid w:val="00E13BF9"/>
    <w:rsid w:val="00E13ECD"/>
    <w:rsid w:val="00E13ED5"/>
    <w:rsid w:val="00E13F62"/>
    <w:rsid w:val="00E15943"/>
    <w:rsid w:val="00E15EEC"/>
    <w:rsid w:val="00E17794"/>
    <w:rsid w:val="00E17B9C"/>
    <w:rsid w:val="00E17D3B"/>
    <w:rsid w:val="00E20920"/>
    <w:rsid w:val="00E20D3F"/>
    <w:rsid w:val="00E20FFC"/>
    <w:rsid w:val="00E2196F"/>
    <w:rsid w:val="00E22D29"/>
    <w:rsid w:val="00E22E96"/>
    <w:rsid w:val="00E23C18"/>
    <w:rsid w:val="00E2550B"/>
    <w:rsid w:val="00E2605E"/>
    <w:rsid w:val="00E2611D"/>
    <w:rsid w:val="00E261B0"/>
    <w:rsid w:val="00E267F8"/>
    <w:rsid w:val="00E2699B"/>
    <w:rsid w:val="00E269D6"/>
    <w:rsid w:val="00E2734C"/>
    <w:rsid w:val="00E30A62"/>
    <w:rsid w:val="00E3101B"/>
    <w:rsid w:val="00E31701"/>
    <w:rsid w:val="00E32B42"/>
    <w:rsid w:val="00E32CCE"/>
    <w:rsid w:val="00E330E0"/>
    <w:rsid w:val="00E33164"/>
    <w:rsid w:val="00E3478E"/>
    <w:rsid w:val="00E34DF7"/>
    <w:rsid w:val="00E350AE"/>
    <w:rsid w:val="00E35AB4"/>
    <w:rsid w:val="00E360E5"/>
    <w:rsid w:val="00E37029"/>
    <w:rsid w:val="00E3747A"/>
    <w:rsid w:val="00E37555"/>
    <w:rsid w:val="00E379C8"/>
    <w:rsid w:val="00E4065B"/>
    <w:rsid w:val="00E410CB"/>
    <w:rsid w:val="00E41138"/>
    <w:rsid w:val="00E411A0"/>
    <w:rsid w:val="00E41990"/>
    <w:rsid w:val="00E419A7"/>
    <w:rsid w:val="00E41A43"/>
    <w:rsid w:val="00E41BE5"/>
    <w:rsid w:val="00E41F41"/>
    <w:rsid w:val="00E42468"/>
    <w:rsid w:val="00E42A99"/>
    <w:rsid w:val="00E42EA5"/>
    <w:rsid w:val="00E42FCB"/>
    <w:rsid w:val="00E4325D"/>
    <w:rsid w:val="00E4373B"/>
    <w:rsid w:val="00E44277"/>
    <w:rsid w:val="00E442AB"/>
    <w:rsid w:val="00E44885"/>
    <w:rsid w:val="00E44B50"/>
    <w:rsid w:val="00E4574E"/>
    <w:rsid w:val="00E46C0E"/>
    <w:rsid w:val="00E46F92"/>
    <w:rsid w:val="00E47069"/>
    <w:rsid w:val="00E500E4"/>
    <w:rsid w:val="00E5065E"/>
    <w:rsid w:val="00E508B8"/>
    <w:rsid w:val="00E50D6A"/>
    <w:rsid w:val="00E50ECB"/>
    <w:rsid w:val="00E50F7C"/>
    <w:rsid w:val="00E5178C"/>
    <w:rsid w:val="00E51B3F"/>
    <w:rsid w:val="00E52ED6"/>
    <w:rsid w:val="00E52FA4"/>
    <w:rsid w:val="00E53A42"/>
    <w:rsid w:val="00E53C01"/>
    <w:rsid w:val="00E53C1D"/>
    <w:rsid w:val="00E53DBC"/>
    <w:rsid w:val="00E54634"/>
    <w:rsid w:val="00E549BE"/>
    <w:rsid w:val="00E54CA5"/>
    <w:rsid w:val="00E54EA3"/>
    <w:rsid w:val="00E55488"/>
    <w:rsid w:val="00E55E18"/>
    <w:rsid w:val="00E56137"/>
    <w:rsid w:val="00E56919"/>
    <w:rsid w:val="00E569EB"/>
    <w:rsid w:val="00E56D7D"/>
    <w:rsid w:val="00E60251"/>
    <w:rsid w:val="00E605B8"/>
    <w:rsid w:val="00E609F9"/>
    <w:rsid w:val="00E60A37"/>
    <w:rsid w:val="00E60BED"/>
    <w:rsid w:val="00E60E1E"/>
    <w:rsid w:val="00E6134F"/>
    <w:rsid w:val="00E61464"/>
    <w:rsid w:val="00E6173E"/>
    <w:rsid w:val="00E61E3C"/>
    <w:rsid w:val="00E620D4"/>
    <w:rsid w:val="00E62140"/>
    <w:rsid w:val="00E62C72"/>
    <w:rsid w:val="00E62E13"/>
    <w:rsid w:val="00E63921"/>
    <w:rsid w:val="00E63A57"/>
    <w:rsid w:val="00E64415"/>
    <w:rsid w:val="00E64E16"/>
    <w:rsid w:val="00E65477"/>
    <w:rsid w:val="00E657CF"/>
    <w:rsid w:val="00E65A29"/>
    <w:rsid w:val="00E65C05"/>
    <w:rsid w:val="00E66C5A"/>
    <w:rsid w:val="00E66E2A"/>
    <w:rsid w:val="00E66E4D"/>
    <w:rsid w:val="00E67372"/>
    <w:rsid w:val="00E67639"/>
    <w:rsid w:val="00E67867"/>
    <w:rsid w:val="00E678A8"/>
    <w:rsid w:val="00E7086F"/>
    <w:rsid w:val="00E708A4"/>
    <w:rsid w:val="00E708EC"/>
    <w:rsid w:val="00E71064"/>
    <w:rsid w:val="00E713F7"/>
    <w:rsid w:val="00E7190D"/>
    <w:rsid w:val="00E71F44"/>
    <w:rsid w:val="00E72852"/>
    <w:rsid w:val="00E72AB0"/>
    <w:rsid w:val="00E73233"/>
    <w:rsid w:val="00E733E8"/>
    <w:rsid w:val="00E73936"/>
    <w:rsid w:val="00E744CF"/>
    <w:rsid w:val="00E7511C"/>
    <w:rsid w:val="00E753F5"/>
    <w:rsid w:val="00E75495"/>
    <w:rsid w:val="00E75C0B"/>
    <w:rsid w:val="00E75DEA"/>
    <w:rsid w:val="00E7612C"/>
    <w:rsid w:val="00E765D3"/>
    <w:rsid w:val="00E76AAC"/>
    <w:rsid w:val="00E76E61"/>
    <w:rsid w:val="00E80F75"/>
    <w:rsid w:val="00E8181E"/>
    <w:rsid w:val="00E81EE6"/>
    <w:rsid w:val="00E81F07"/>
    <w:rsid w:val="00E82AC6"/>
    <w:rsid w:val="00E82C4D"/>
    <w:rsid w:val="00E82D54"/>
    <w:rsid w:val="00E83103"/>
    <w:rsid w:val="00E83690"/>
    <w:rsid w:val="00E84585"/>
    <w:rsid w:val="00E84A39"/>
    <w:rsid w:val="00E84F81"/>
    <w:rsid w:val="00E85283"/>
    <w:rsid w:val="00E85849"/>
    <w:rsid w:val="00E85A19"/>
    <w:rsid w:val="00E85AC0"/>
    <w:rsid w:val="00E860BD"/>
    <w:rsid w:val="00E869E5"/>
    <w:rsid w:val="00E87976"/>
    <w:rsid w:val="00E87B21"/>
    <w:rsid w:val="00E90AFF"/>
    <w:rsid w:val="00E91258"/>
    <w:rsid w:val="00E913B3"/>
    <w:rsid w:val="00E9150C"/>
    <w:rsid w:val="00E9191B"/>
    <w:rsid w:val="00E91D44"/>
    <w:rsid w:val="00E921AA"/>
    <w:rsid w:val="00E92A1A"/>
    <w:rsid w:val="00E93122"/>
    <w:rsid w:val="00E934D8"/>
    <w:rsid w:val="00E9377B"/>
    <w:rsid w:val="00E93DB6"/>
    <w:rsid w:val="00E94A35"/>
    <w:rsid w:val="00E94E51"/>
    <w:rsid w:val="00E94FC4"/>
    <w:rsid w:val="00E95E74"/>
    <w:rsid w:val="00E961CD"/>
    <w:rsid w:val="00E96BFE"/>
    <w:rsid w:val="00E97010"/>
    <w:rsid w:val="00E97479"/>
    <w:rsid w:val="00EA01E7"/>
    <w:rsid w:val="00EA0EE0"/>
    <w:rsid w:val="00EA0F46"/>
    <w:rsid w:val="00EA1324"/>
    <w:rsid w:val="00EA1327"/>
    <w:rsid w:val="00EA1537"/>
    <w:rsid w:val="00EA1C13"/>
    <w:rsid w:val="00EA2604"/>
    <w:rsid w:val="00EA26A3"/>
    <w:rsid w:val="00EA26A9"/>
    <w:rsid w:val="00EA2714"/>
    <w:rsid w:val="00EA2C2F"/>
    <w:rsid w:val="00EA2C89"/>
    <w:rsid w:val="00EA3674"/>
    <w:rsid w:val="00EA37CE"/>
    <w:rsid w:val="00EA4087"/>
    <w:rsid w:val="00EA4295"/>
    <w:rsid w:val="00EA46D0"/>
    <w:rsid w:val="00EA4DEC"/>
    <w:rsid w:val="00EA52B1"/>
    <w:rsid w:val="00EA5B56"/>
    <w:rsid w:val="00EA6120"/>
    <w:rsid w:val="00EA6C8D"/>
    <w:rsid w:val="00EA6F8B"/>
    <w:rsid w:val="00EA7CB5"/>
    <w:rsid w:val="00EB05F5"/>
    <w:rsid w:val="00EB0C68"/>
    <w:rsid w:val="00EB0DB5"/>
    <w:rsid w:val="00EB1206"/>
    <w:rsid w:val="00EB14A8"/>
    <w:rsid w:val="00EB1507"/>
    <w:rsid w:val="00EB2144"/>
    <w:rsid w:val="00EB2829"/>
    <w:rsid w:val="00EB35DE"/>
    <w:rsid w:val="00EB3B47"/>
    <w:rsid w:val="00EB3F67"/>
    <w:rsid w:val="00EB4371"/>
    <w:rsid w:val="00EB5B9B"/>
    <w:rsid w:val="00EB5CE4"/>
    <w:rsid w:val="00EB5D03"/>
    <w:rsid w:val="00EB63BA"/>
    <w:rsid w:val="00EB7209"/>
    <w:rsid w:val="00EB786D"/>
    <w:rsid w:val="00EB7F6D"/>
    <w:rsid w:val="00EC01C8"/>
    <w:rsid w:val="00EC051C"/>
    <w:rsid w:val="00EC05C3"/>
    <w:rsid w:val="00EC0622"/>
    <w:rsid w:val="00EC205A"/>
    <w:rsid w:val="00EC22A9"/>
    <w:rsid w:val="00EC2615"/>
    <w:rsid w:val="00EC3BC1"/>
    <w:rsid w:val="00EC4973"/>
    <w:rsid w:val="00EC57CD"/>
    <w:rsid w:val="00EC64BE"/>
    <w:rsid w:val="00EC6CD6"/>
    <w:rsid w:val="00EC6E03"/>
    <w:rsid w:val="00EC71F7"/>
    <w:rsid w:val="00EC78DF"/>
    <w:rsid w:val="00ED10A1"/>
    <w:rsid w:val="00ED1159"/>
    <w:rsid w:val="00ED196D"/>
    <w:rsid w:val="00ED1C28"/>
    <w:rsid w:val="00ED22D4"/>
    <w:rsid w:val="00ED2BC7"/>
    <w:rsid w:val="00ED31FA"/>
    <w:rsid w:val="00ED3668"/>
    <w:rsid w:val="00ED36CE"/>
    <w:rsid w:val="00ED3B14"/>
    <w:rsid w:val="00ED4BFD"/>
    <w:rsid w:val="00ED4F89"/>
    <w:rsid w:val="00ED54CF"/>
    <w:rsid w:val="00ED6EF9"/>
    <w:rsid w:val="00ED7290"/>
    <w:rsid w:val="00ED7AC8"/>
    <w:rsid w:val="00EE152E"/>
    <w:rsid w:val="00EE2559"/>
    <w:rsid w:val="00EE2F33"/>
    <w:rsid w:val="00EE2F86"/>
    <w:rsid w:val="00EE43BB"/>
    <w:rsid w:val="00EE5021"/>
    <w:rsid w:val="00EE5206"/>
    <w:rsid w:val="00EE5782"/>
    <w:rsid w:val="00EE59AE"/>
    <w:rsid w:val="00EE59B2"/>
    <w:rsid w:val="00EE5DFE"/>
    <w:rsid w:val="00EE6495"/>
    <w:rsid w:val="00EE64D5"/>
    <w:rsid w:val="00EE741B"/>
    <w:rsid w:val="00EF0896"/>
    <w:rsid w:val="00EF129F"/>
    <w:rsid w:val="00EF2336"/>
    <w:rsid w:val="00EF2462"/>
    <w:rsid w:val="00EF25B2"/>
    <w:rsid w:val="00EF2745"/>
    <w:rsid w:val="00EF49C5"/>
    <w:rsid w:val="00EF4FD3"/>
    <w:rsid w:val="00EF50C3"/>
    <w:rsid w:val="00EF5DE1"/>
    <w:rsid w:val="00EF60C3"/>
    <w:rsid w:val="00EF6206"/>
    <w:rsid w:val="00EF6816"/>
    <w:rsid w:val="00EF685E"/>
    <w:rsid w:val="00EF6978"/>
    <w:rsid w:val="00EF6FAC"/>
    <w:rsid w:val="00EF745E"/>
    <w:rsid w:val="00EF7DAB"/>
    <w:rsid w:val="00F00176"/>
    <w:rsid w:val="00F008B3"/>
    <w:rsid w:val="00F00918"/>
    <w:rsid w:val="00F00C28"/>
    <w:rsid w:val="00F017A8"/>
    <w:rsid w:val="00F018E1"/>
    <w:rsid w:val="00F03BC7"/>
    <w:rsid w:val="00F03BE3"/>
    <w:rsid w:val="00F046AC"/>
    <w:rsid w:val="00F04BED"/>
    <w:rsid w:val="00F05A29"/>
    <w:rsid w:val="00F05EF3"/>
    <w:rsid w:val="00F06213"/>
    <w:rsid w:val="00F0702F"/>
    <w:rsid w:val="00F075C0"/>
    <w:rsid w:val="00F07D28"/>
    <w:rsid w:val="00F07D33"/>
    <w:rsid w:val="00F10A14"/>
    <w:rsid w:val="00F11475"/>
    <w:rsid w:val="00F1157B"/>
    <w:rsid w:val="00F11F44"/>
    <w:rsid w:val="00F12CE5"/>
    <w:rsid w:val="00F12D9D"/>
    <w:rsid w:val="00F136F1"/>
    <w:rsid w:val="00F1386A"/>
    <w:rsid w:val="00F14E07"/>
    <w:rsid w:val="00F14E8D"/>
    <w:rsid w:val="00F15F40"/>
    <w:rsid w:val="00F160BA"/>
    <w:rsid w:val="00F1640F"/>
    <w:rsid w:val="00F1657A"/>
    <w:rsid w:val="00F169AF"/>
    <w:rsid w:val="00F17246"/>
    <w:rsid w:val="00F17363"/>
    <w:rsid w:val="00F1765F"/>
    <w:rsid w:val="00F1784F"/>
    <w:rsid w:val="00F20E6A"/>
    <w:rsid w:val="00F21009"/>
    <w:rsid w:val="00F212B8"/>
    <w:rsid w:val="00F21309"/>
    <w:rsid w:val="00F2165C"/>
    <w:rsid w:val="00F2173B"/>
    <w:rsid w:val="00F22616"/>
    <w:rsid w:val="00F2340A"/>
    <w:rsid w:val="00F23828"/>
    <w:rsid w:val="00F23B99"/>
    <w:rsid w:val="00F241B2"/>
    <w:rsid w:val="00F24C7F"/>
    <w:rsid w:val="00F24FF5"/>
    <w:rsid w:val="00F2577D"/>
    <w:rsid w:val="00F27410"/>
    <w:rsid w:val="00F275B1"/>
    <w:rsid w:val="00F27C51"/>
    <w:rsid w:val="00F300D1"/>
    <w:rsid w:val="00F309CA"/>
    <w:rsid w:val="00F3117F"/>
    <w:rsid w:val="00F3264B"/>
    <w:rsid w:val="00F32BED"/>
    <w:rsid w:val="00F32C54"/>
    <w:rsid w:val="00F32D4F"/>
    <w:rsid w:val="00F32F97"/>
    <w:rsid w:val="00F33670"/>
    <w:rsid w:val="00F33894"/>
    <w:rsid w:val="00F33DA5"/>
    <w:rsid w:val="00F33DCC"/>
    <w:rsid w:val="00F33E97"/>
    <w:rsid w:val="00F3417F"/>
    <w:rsid w:val="00F34DC2"/>
    <w:rsid w:val="00F34DD6"/>
    <w:rsid w:val="00F3507D"/>
    <w:rsid w:val="00F35C37"/>
    <w:rsid w:val="00F35C3E"/>
    <w:rsid w:val="00F36569"/>
    <w:rsid w:val="00F36B31"/>
    <w:rsid w:val="00F36E54"/>
    <w:rsid w:val="00F379A7"/>
    <w:rsid w:val="00F37A82"/>
    <w:rsid w:val="00F40443"/>
    <w:rsid w:val="00F40804"/>
    <w:rsid w:val="00F40A18"/>
    <w:rsid w:val="00F41038"/>
    <w:rsid w:val="00F41393"/>
    <w:rsid w:val="00F41BB3"/>
    <w:rsid w:val="00F41CE2"/>
    <w:rsid w:val="00F41EE8"/>
    <w:rsid w:val="00F4272C"/>
    <w:rsid w:val="00F42788"/>
    <w:rsid w:val="00F428A2"/>
    <w:rsid w:val="00F43E2F"/>
    <w:rsid w:val="00F43F8E"/>
    <w:rsid w:val="00F43FC3"/>
    <w:rsid w:val="00F44390"/>
    <w:rsid w:val="00F4479E"/>
    <w:rsid w:val="00F448E2"/>
    <w:rsid w:val="00F44B4A"/>
    <w:rsid w:val="00F450EE"/>
    <w:rsid w:val="00F454D4"/>
    <w:rsid w:val="00F459B6"/>
    <w:rsid w:val="00F46437"/>
    <w:rsid w:val="00F467FD"/>
    <w:rsid w:val="00F46807"/>
    <w:rsid w:val="00F46C28"/>
    <w:rsid w:val="00F471E1"/>
    <w:rsid w:val="00F47DAC"/>
    <w:rsid w:val="00F47F36"/>
    <w:rsid w:val="00F50074"/>
    <w:rsid w:val="00F519EB"/>
    <w:rsid w:val="00F5220A"/>
    <w:rsid w:val="00F523F7"/>
    <w:rsid w:val="00F528CC"/>
    <w:rsid w:val="00F528F9"/>
    <w:rsid w:val="00F534B7"/>
    <w:rsid w:val="00F5443D"/>
    <w:rsid w:val="00F5539B"/>
    <w:rsid w:val="00F55FE5"/>
    <w:rsid w:val="00F564DE"/>
    <w:rsid w:val="00F5675C"/>
    <w:rsid w:val="00F56A56"/>
    <w:rsid w:val="00F56AFC"/>
    <w:rsid w:val="00F570D5"/>
    <w:rsid w:val="00F576AE"/>
    <w:rsid w:val="00F60005"/>
    <w:rsid w:val="00F6181F"/>
    <w:rsid w:val="00F618BF"/>
    <w:rsid w:val="00F61AAD"/>
    <w:rsid w:val="00F61E61"/>
    <w:rsid w:val="00F62F69"/>
    <w:rsid w:val="00F63127"/>
    <w:rsid w:val="00F63723"/>
    <w:rsid w:val="00F63951"/>
    <w:rsid w:val="00F6422A"/>
    <w:rsid w:val="00F6481D"/>
    <w:rsid w:val="00F64C79"/>
    <w:rsid w:val="00F65E5E"/>
    <w:rsid w:val="00F66334"/>
    <w:rsid w:val="00F67160"/>
    <w:rsid w:val="00F67775"/>
    <w:rsid w:val="00F67FC6"/>
    <w:rsid w:val="00F70654"/>
    <w:rsid w:val="00F71386"/>
    <w:rsid w:val="00F71529"/>
    <w:rsid w:val="00F715E6"/>
    <w:rsid w:val="00F720E7"/>
    <w:rsid w:val="00F7284B"/>
    <w:rsid w:val="00F728F0"/>
    <w:rsid w:val="00F72919"/>
    <w:rsid w:val="00F73485"/>
    <w:rsid w:val="00F7353E"/>
    <w:rsid w:val="00F7384D"/>
    <w:rsid w:val="00F73F77"/>
    <w:rsid w:val="00F74814"/>
    <w:rsid w:val="00F74EC3"/>
    <w:rsid w:val="00F75F12"/>
    <w:rsid w:val="00F76A8A"/>
    <w:rsid w:val="00F76E48"/>
    <w:rsid w:val="00F7737A"/>
    <w:rsid w:val="00F77BCE"/>
    <w:rsid w:val="00F803B2"/>
    <w:rsid w:val="00F8070B"/>
    <w:rsid w:val="00F80976"/>
    <w:rsid w:val="00F810C6"/>
    <w:rsid w:val="00F81236"/>
    <w:rsid w:val="00F8136D"/>
    <w:rsid w:val="00F814E8"/>
    <w:rsid w:val="00F81B5F"/>
    <w:rsid w:val="00F81E1E"/>
    <w:rsid w:val="00F81F3A"/>
    <w:rsid w:val="00F83C16"/>
    <w:rsid w:val="00F84008"/>
    <w:rsid w:val="00F84715"/>
    <w:rsid w:val="00F84D65"/>
    <w:rsid w:val="00F854B2"/>
    <w:rsid w:val="00F85CE2"/>
    <w:rsid w:val="00F85E73"/>
    <w:rsid w:val="00F861CF"/>
    <w:rsid w:val="00F86A6F"/>
    <w:rsid w:val="00F86B01"/>
    <w:rsid w:val="00F86DA6"/>
    <w:rsid w:val="00F87568"/>
    <w:rsid w:val="00F87616"/>
    <w:rsid w:val="00F876C5"/>
    <w:rsid w:val="00F900B7"/>
    <w:rsid w:val="00F904E8"/>
    <w:rsid w:val="00F90580"/>
    <w:rsid w:val="00F9135F"/>
    <w:rsid w:val="00F92831"/>
    <w:rsid w:val="00F92840"/>
    <w:rsid w:val="00F92CD6"/>
    <w:rsid w:val="00F92F90"/>
    <w:rsid w:val="00F932DE"/>
    <w:rsid w:val="00F93CFB"/>
    <w:rsid w:val="00F942FC"/>
    <w:rsid w:val="00F947D4"/>
    <w:rsid w:val="00F948B1"/>
    <w:rsid w:val="00F9512C"/>
    <w:rsid w:val="00F96183"/>
    <w:rsid w:val="00F963B6"/>
    <w:rsid w:val="00F97223"/>
    <w:rsid w:val="00F9780F"/>
    <w:rsid w:val="00F9795E"/>
    <w:rsid w:val="00F97AC5"/>
    <w:rsid w:val="00FA0C13"/>
    <w:rsid w:val="00FA0DBD"/>
    <w:rsid w:val="00FA0E0D"/>
    <w:rsid w:val="00FA1E83"/>
    <w:rsid w:val="00FA233E"/>
    <w:rsid w:val="00FA2360"/>
    <w:rsid w:val="00FA3864"/>
    <w:rsid w:val="00FA3901"/>
    <w:rsid w:val="00FA4758"/>
    <w:rsid w:val="00FA49F0"/>
    <w:rsid w:val="00FA54B2"/>
    <w:rsid w:val="00FA5940"/>
    <w:rsid w:val="00FA5BA4"/>
    <w:rsid w:val="00FA6547"/>
    <w:rsid w:val="00FA6950"/>
    <w:rsid w:val="00FA6E23"/>
    <w:rsid w:val="00FA777D"/>
    <w:rsid w:val="00FA78C2"/>
    <w:rsid w:val="00FA7A4B"/>
    <w:rsid w:val="00FA7AA1"/>
    <w:rsid w:val="00FB0860"/>
    <w:rsid w:val="00FB0F15"/>
    <w:rsid w:val="00FB0F62"/>
    <w:rsid w:val="00FB193D"/>
    <w:rsid w:val="00FB1BCE"/>
    <w:rsid w:val="00FB1D8B"/>
    <w:rsid w:val="00FB2085"/>
    <w:rsid w:val="00FB20F1"/>
    <w:rsid w:val="00FB38B0"/>
    <w:rsid w:val="00FB3AF8"/>
    <w:rsid w:val="00FB3AFB"/>
    <w:rsid w:val="00FB3C22"/>
    <w:rsid w:val="00FB41D7"/>
    <w:rsid w:val="00FB44AE"/>
    <w:rsid w:val="00FB480A"/>
    <w:rsid w:val="00FB4E53"/>
    <w:rsid w:val="00FB5198"/>
    <w:rsid w:val="00FB58EC"/>
    <w:rsid w:val="00FB5A2F"/>
    <w:rsid w:val="00FB660E"/>
    <w:rsid w:val="00FB6A16"/>
    <w:rsid w:val="00FB75BE"/>
    <w:rsid w:val="00FC0548"/>
    <w:rsid w:val="00FC1CB7"/>
    <w:rsid w:val="00FC24F5"/>
    <w:rsid w:val="00FC27B4"/>
    <w:rsid w:val="00FC2B4D"/>
    <w:rsid w:val="00FC3596"/>
    <w:rsid w:val="00FC368F"/>
    <w:rsid w:val="00FC4B79"/>
    <w:rsid w:val="00FC5174"/>
    <w:rsid w:val="00FC5260"/>
    <w:rsid w:val="00FC54F3"/>
    <w:rsid w:val="00FC5D12"/>
    <w:rsid w:val="00FC5F6E"/>
    <w:rsid w:val="00FC604C"/>
    <w:rsid w:val="00FC6671"/>
    <w:rsid w:val="00FC6708"/>
    <w:rsid w:val="00FD0007"/>
    <w:rsid w:val="00FD03A1"/>
    <w:rsid w:val="00FD0669"/>
    <w:rsid w:val="00FD0872"/>
    <w:rsid w:val="00FD0C36"/>
    <w:rsid w:val="00FD0DC8"/>
    <w:rsid w:val="00FD11F2"/>
    <w:rsid w:val="00FD15D7"/>
    <w:rsid w:val="00FD1B4D"/>
    <w:rsid w:val="00FD299D"/>
    <w:rsid w:val="00FD2F4B"/>
    <w:rsid w:val="00FD3965"/>
    <w:rsid w:val="00FD419C"/>
    <w:rsid w:val="00FD450B"/>
    <w:rsid w:val="00FD54BD"/>
    <w:rsid w:val="00FD597B"/>
    <w:rsid w:val="00FD7513"/>
    <w:rsid w:val="00FD7752"/>
    <w:rsid w:val="00FD7A9E"/>
    <w:rsid w:val="00FD7B7F"/>
    <w:rsid w:val="00FD7C74"/>
    <w:rsid w:val="00FE0106"/>
    <w:rsid w:val="00FE08E1"/>
    <w:rsid w:val="00FE09AF"/>
    <w:rsid w:val="00FE0B92"/>
    <w:rsid w:val="00FE0D60"/>
    <w:rsid w:val="00FE10DB"/>
    <w:rsid w:val="00FE1310"/>
    <w:rsid w:val="00FE13BD"/>
    <w:rsid w:val="00FE1990"/>
    <w:rsid w:val="00FE1BB0"/>
    <w:rsid w:val="00FE24BD"/>
    <w:rsid w:val="00FE24E8"/>
    <w:rsid w:val="00FE26ED"/>
    <w:rsid w:val="00FE2C19"/>
    <w:rsid w:val="00FE39F3"/>
    <w:rsid w:val="00FE3DEB"/>
    <w:rsid w:val="00FE4159"/>
    <w:rsid w:val="00FE481C"/>
    <w:rsid w:val="00FE5350"/>
    <w:rsid w:val="00FE5C21"/>
    <w:rsid w:val="00FE6180"/>
    <w:rsid w:val="00FE62C9"/>
    <w:rsid w:val="00FE62CB"/>
    <w:rsid w:val="00FE7ED8"/>
    <w:rsid w:val="00FF082F"/>
    <w:rsid w:val="00FF0BE5"/>
    <w:rsid w:val="00FF0FC3"/>
    <w:rsid w:val="00FF2906"/>
    <w:rsid w:val="00FF303D"/>
    <w:rsid w:val="00FF3199"/>
    <w:rsid w:val="00FF325C"/>
    <w:rsid w:val="00FF3586"/>
    <w:rsid w:val="00FF35D1"/>
    <w:rsid w:val="00FF36FF"/>
    <w:rsid w:val="00FF3F98"/>
    <w:rsid w:val="00FF414A"/>
    <w:rsid w:val="00FF4DD2"/>
    <w:rsid w:val="00FF4F19"/>
    <w:rsid w:val="00FF63A5"/>
    <w:rsid w:val="00FF6472"/>
    <w:rsid w:val="00FF6A3F"/>
    <w:rsid w:val="00FF6B9D"/>
    <w:rsid w:val="00FF7012"/>
    <w:rsid w:val="00FF7406"/>
    <w:rsid w:val="00FF745C"/>
    <w:rsid w:val="00FF75B6"/>
    <w:rsid w:val="00FF79C5"/>
    <w:rsid w:val="00FF7A56"/>
    <w:rsid w:val="00FF7E42"/>
    <w:rsid w:val="01012716"/>
    <w:rsid w:val="018856AF"/>
    <w:rsid w:val="01C102EE"/>
    <w:rsid w:val="026B74AB"/>
    <w:rsid w:val="027D0F8C"/>
    <w:rsid w:val="02A82151"/>
    <w:rsid w:val="02D2220B"/>
    <w:rsid w:val="03FB03BA"/>
    <w:rsid w:val="042B5573"/>
    <w:rsid w:val="051D07DB"/>
    <w:rsid w:val="06077100"/>
    <w:rsid w:val="061E65E2"/>
    <w:rsid w:val="067601CC"/>
    <w:rsid w:val="069423FF"/>
    <w:rsid w:val="071505CF"/>
    <w:rsid w:val="07607B92"/>
    <w:rsid w:val="0A1246B0"/>
    <w:rsid w:val="0AEA5427"/>
    <w:rsid w:val="0B4C599F"/>
    <w:rsid w:val="0B4D4874"/>
    <w:rsid w:val="0B7A42BB"/>
    <w:rsid w:val="0B7D02A4"/>
    <w:rsid w:val="0BA718BD"/>
    <w:rsid w:val="0C550884"/>
    <w:rsid w:val="0C9B273A"/>
    <w:rsid w:val="0CD56D9C"/>
    <w:rsid w:val="0D3F3A0E"/>
    <w:rsid w:val="0D9A0C44"/>
    <w:rsid w:val="0DD52EAB"/>
    <w:rsid w:val="0E342E47"/>
    <w:rsid w:val="0F0942D3"/>
    <w:rsid w:val="0F211520"/>
    <w:rsid w:val="0F3842AA"/>
    <w:rsid w:val="10196798"/>
    <w:rsid w:val="10A13450"/>
    <w:rsid w:val="1114162F"/>
    <w:rsid w:val="11324C79"/>
    <w:rsid w:val="13B717A9"/>
    <w:rsid w:val="14CC5123"/>
    <w:rsid w:val="154716B1"/>
    <w:rsid w:val="16C3745D"/>
    <w:rsid w:val="17143815"/>
    <w:rsid w:val="17D336D0"/>
    <w:rsid w:val="18324E66"/>
    <w:rsid w:val="18537976"/>
    <w:rsid w:val="18BB69DD"/>
    <w:rsid w:val="190F5159"/>
    <w:rsid w:val="19D674A8"/>
    <w:rsid w:val="1B5D6770"/>
    <w:rsid w:val="1BC64041"/>
    <w:rsid w:val="1C6963B1"/>
    <w:rsid w:val="1D0B0462"/>
    <w:rsid w:val="1D566B26"/>
    <w:rsid w:val="1D56777E"/>
    <w:rsid w:val="1EAA7415"/>
    <w:rsid w:val="1EC975DB"/>
    <w:rsid w:val="1FD24161"/>
    <w:rsid w:val="20743577"/>
    <w:rsid w:val="20E83C71"/>
    <w:rsid w:val="216840CF"/>
    <w:rsid w:val="21880A8B"/>
    <w:rsid w:val="218E1CF5"/>
    <w:rsid w:val="218E68BA"/>
    <w:rsid w:val="21B31E7D"/>
    <w:rsid w:val="21C978F2"/>
    <w:rsid w:val="2221772E"/>
    <w:rsid w:val="22F42CA4"/>
    <w:rsid w:val="23137C79"/>
    <w:rsid w:val="23D30025"/>
    <w:rsid w:val="23DC25D1"/>
    <w:rsid w:val="246F4781"/>
    <w:rsid w:val="24945F95"/>
    <w:rsid w:val="25227A45"/>
    <w:rsid w:val="25B6018D"/>
    <w:rsid w:val="25C65A60"/>
    <w:rsid w:val="25D95CAF"/>
    <w:rsid w:val="26007577"/>
    <w:rsid w:val="266B14DD"/>
    <w:rsid w:val="26F23447"/>
    <w:rsid w:val="27167136"/>
    <w:rsid w:val="273D46C2"/>
    <w:rsid w:val="273E76EF"/>
    <w:rsid w:val="282E7CE0"/>
    <w:rsid w:val="287700A8"/>
    <w:rsid w:val="293A3114"/>
    <w:rsid w:val="2A443FBA"/>
    <w:rsid w:val="2A454AB7"/>
    <w:rsid w:val="2AD510B6"/>
    <w:rsid w:val="2AFB4FC0"/>
    <w:rsid w:val="2B261911"/>
    <w:rsid w:val="2B7408CF"/>
    <w:rsid w:val="2D1E0AF2"/>
    <w:rsid w:val="2D31764B"/>
    <w:rsid w:val="2D6329A9"/>
    <w:rsid w:val="2DBB27E5"/>
    <w:rsid w:val="2E2A302D"/>
    <w:rsid w:val="2E4B1DBB"/>
    <w:rsid w:val="2E6266D9"/>
    <w:rsid w:val="2E7B0CBA"/>
    <w:rsid w:val="2EC118D3"/>
    <w:rsid w:val="2F5527C5"/>
    <w:rsid w:val="2FFF65BD"/>
    <w:rsid w:val="304070FC"/>
    <w:rsid w:val="30B8125D"/>
    <w:rsid w:val="31DE2F46"/>
    <w:rsid w:val="32B73E1E"/>
    <w:rsid w:val="33CF0D98"/>
    <w:rsid w:val="33D87B9A"/>
    <w:rsid w:val="33DB60F5"/>
    <w:rsid w:val="34477B07"/>
    <w:rsid w:val="34F8770E"/>
    <w:rsid w:val="35E87EEF"/>
    <w:rsid w:val="36036C51"/>
    <w:rsid w:val="36E00BA3"/>
    <w:rsid w:val="37083764"/>
    <w:rsid w:val="373B04F2"/>
    <w:rsid w:val="37753A04"/>
    <w:rsid w:val="37AA3B1F"/>
    <w:rsid w:val="37EB239D"/>
    <w:rsid w:val="390521DA"/>
    <w:rsid w:val="39677C1B"/>
    <w:rsid w:val="397E158A"/>
    <w:rsid w:val="3A125E82"/>
    <w:rsid w:val="3E0A667E"/>
    <w:rsid w:val="3E0B0C1F"/>
    <w:rsid w:val="3E247F32"/>
    <w:rsid w:val="3E2B306F"/>
    <w:rsid w:val="3ED50017"/>
    <w:rsid w:val="3F231287"/>
    <w:rsid w:val="3F322DB5"/>
    <w:rsid w:val="3F501E62"/>
    <w:rsid w:val="40070642"/>
    <w:rsid w:val="408C6CBF"/>
    <w:rsid w:val="40D459CC"/>
    <w:rsid w:val="418C651A"/>
    <w:rsid w:val="41BD4926"/>
    <w:rsid w:val="420267DC"/>
    <w:rsid w:val="42D557EE"/>
    <w:rsid w:val="42FE51F6"/>
    <w:rsid w:val="430551A8"/>
    <w:rsid w:val="43326C4D"/>
    <w:rsid w:val="44095083"/>
    <w:rsid w:val="44BD69EB"/>
    <w:rsid w:val="457C0654"/>
    <w:rsid w:val="45C344D5"/>
    <w:rsid w:val="4619457B"/>
    <w:rsid w:val="465667F5"/>
    <w:rsid w:val="467009F8"/>
    <w:rsid w:val="46E44703"/>
    <w:rsid w:val="46F661E4"/>
    <w:rsid w:val="499510C4"/>
    <w:rsid w:val="4A057F66"/>
    <w:rsid w:val="4A11580F"/>
    <w:rsid w:val="4A5038AF"/>
    <w:rsid w:val="4B1529E2"/>
    <w:rsid w:val="4B6D0E94"/>
    <w:rsid w:val="4BCF5981"/>
    <w:rsid w:val="4CBB31DE"/>
    <w:rsid w:val="4D651206"/>
    <w:rsid w:val="4D6D5E30"/>
    <w:rsid w:val="4DFC0DC2"/>
    <w:rsid w:val="4EAF1BA7"/>
    <w:rsid w:val="4EE03A01"/>
    <w:rsid w:val="4F015D67"/>
    <w:rsid w:val="4F365022"/>
    <w:rsid w:val="4F42646A"/>
    <w:rsid w:val="506348EA"/>
    <w:rsid w:val="51450B1D"/>
    <w:rsid w:val="51BF1FF4"/>
    <w:rsid w:val="51EC0DD8"/>
    <w:rsid w:val="51EF552E"/>
    <w:rsid w:val="529369F5"/>
    <w:rsid w:val="52B07B8F"/>
    <w:rsid w:val="52C758DD"/>
    <w:rsid w:val="53FC24E5"/>
    <w:rsid w:val="546765CF"/>
    <w:rsid w:val="551132BD"/>
    <w:rsid w:val="55A21A11"/>
    <w:rsid w:val="57800C1F"/>
    <w:rsid w:val="578C552B"/>
    <w:rsid w:val="580469B3"/>
    <w:rsid w:val="58066745"/>
    <w:rsid w:val="58081111"/>
    <w:rsid w:val="58175711"/>
    <w:rsid w:val="584119B5"/>
    <w:rsid w:val="5855006D"/>
    <w:rsid w:val="586C4558"/>
    <w:rsid w:val="594F1778"/>
    <w:rsid w:val="59625F8F"/>
    <w:rsid w:val="599E0097"/>
    <w:rsid w:val="59AD307A"/>
    <w:rsid w:val="5A820BA4"/>
    <w:rsid w:val="5AA21EFE"/>
    <w:rsid w:val="5B4B2B4A"/>
    <w:rsid w:val="5BD62414"/>
    <w:rsid w:val="5C4915E0"/>
    <w:rsid w:val="5D2F4544"/>
    <w:rsid w:val="5D46181B"/>
    <w:rsid w:val="5D813C93"/>
    <w:rsid w:val="5DE71625"/>
    <w:rsid w:val="5EFB03E4"/>
    <w:rsid w:val="5FA8502E"/>
    <w:rsid w:val="5FCB6008"/>
    <w:rsid w:val="608368E3"/>
    <w:rsid w:val="608C39E9"/>
    <w:rsid w:val="60C5514D"/>
    <w:rsid w:val="61DA207D"/>
    <w:rsid w:val="621C5A5D"/>
    <w:rsid w:val="62CA07F9"/>
    <w:rsid w:val="647730C7"/>
    <w:rsid w:val="6486074F"/>
    <w:rsid w:val="66556700"/>
    <w:rsid w:val="66A6332B"/>
    <w:rsid w:val="66C2204A"/>
    <w:rsid w:val="66E16111"/>
    <w:rsid w:val="68C53F3C"/>
    <w:rsid w:val="690D1289"/>
    <w:rsid w:val="69711D47"/>
    <w:rsid w:val="6A1862EE"/>
    <w:rsid w:val="6A6264FF"/>
    <w:rsid w:val="6A686D87"/>
    <w:rsid w:val="6A9B5A2D"/>
    <w:rsid w:val="6BA55D73"/>
    <w:rsid w:val="6BC009EB"/>
    <w:rsid w:val="6C30791F"/>
    <w:rsid w:val="6C735A5D"/>
    <w:rsid w:val="6D392787"/>
    <w:rsid w:val="6D6830E8"/>
    <w:rsid w:val="6EAB3EB2"/>
    <w:rsid w:val="6ED21161"/>
    <w:rsid w:val="6F305E87"/>
    <w:rsid w:val="6F7B1229"/>
    <w:rsid w:val="707D50FC"/>
    <w:rsid w:val="70D70182"/>
    <w:rsid w:val="70F84783"/>
    <w:rsid w:val="710D6480"/>
    <w:rsid w:val="71265794"/>
    <w:rsid w:val="71533639"/>
    <w:rsid w:val="71D9708C"/>
    <w:rsid w:val="71EE6E4A"/>
    <w:rsid w:val="71FE0128"/>
    <w:rsid w:val="720E0702"/>
    <w:rsid w:val="733A3FD6"/>
    <w:rsid w:val="73504D4A"/>
    <w:rsid w:val="736D1458"/>
    <w:rsid w:val="739F5EEB"/>
    <w:rsid w:val="73CC2623"/>
    <w:rsid w:val="74B60BDD"/>
    <w:rsid w:val="74FB3B0F"/>
    <w:rsid w:val="7557416E"/>
    <w:rsid w:val="755E63FC"/>
    <w:rsid w:val="75ED4AD2"/>
    <w:rsid w:val="762F3999"/>
    <w:rsid w:val="765A1C8C"/>
    <w:rsid w:val="76715A1F"/>
    <w:rsid w:val="76C84BF7"/>
    <w:rsid w:val="77364257"/>
    <w:rsid w:val="77CE4F95"/>
    <w:rsid w:val="78451C24"/>
    <w:rsid w:val="7850441D"/>
    <w:rsid w:val="78BD00F0"/>
    <w:rsid w:val="78FA433A"/>
    <w:rsid w:val="790243F1"/>
    <w:rsid w:val="79B06951"/>
    <w:rsid w:val="7A613399"/>
    <w:rsid w:val="7B9559F0"/>
    <w:rsid w:val="7BF84B89"/>
    <w:rsid w:val="7C0471A3"/>
    <w:rsid w:val="7C63164A"/>
    <w:rsid w:val="7CBB2722"/>
    <w:rsid w:val="7CF30790"/>
    <w:rsid w:val="7D11554A"/>
    <w:rsid w:val="7D494CE4"/>
    <w:rsid w:val="7D983576"/>
    <w:rsid w:val="7E560331"/>
    <w:rsid w:val="7EAD4DFF"/>
    <w:rsid w:val="7F075DA6"/>
    <w:rsid w:val="7F0A3FFF"/>
    <w:rsid w:val="7F3B68AE"/>
    <w:rsid w:val="7F621238"/>
    <w:rsid w:val="7F6673B4"/>
    <w:rsid w:val="7F8813C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opacity="13107f" focussize="0,0"/>
      <v:stroke weight="0.5pt" color="#FFFF00" endarrowwidth="narrow"/>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iPriority="99" w:semiHidden="0" w:name="Body Text First Indent"/>
    <w:lsdException w:qFormat="1" w:uiPriority="0" w:semiHidden="0" w:name="Body Text First Indent 2"/>
    <w:lsdException w:uiPriority="99" w:name="Note Heading"/>
    <w:lsdException w:qFormat="1" w:uiPriority="99" w:semiHidden="0"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9"/>
    <w:pPr>
      <w:keepNext/>
      <w:keepLines/>
      <w:numPr>
        <w:ilvl w:val="1"/>
        <w:numId w:val="1"/>
      </w:numPr>
      <w:adjustRightInd w:val="0"/>
      <w:snapToGrid w:val="0"/>
      <w:spacing w:line="360" w:lineRule="auto"/>
      <w:outlineLvl w:val="1"/>
    </w:pPr>
    <w:rPr>
      <w:rFonts w:eastAsia="黑体" w:cs="Times New Roman"/>
      <w:b/>
      <w:bCs/>
      <w:sz w:val="28"/>
      <w:szCs w:val="28"/>
      <w:lang w:val="zh-CN"/>
    </w:rPr>
  </w:style>
  <w:style w:type="paragraph" w:styleId="4">
    <w:name w:val="heading 3"/>
    <w:basedOn w:val="1"/>
    <w:next w:val="1"/>
    <w:qFormat/>
    <w:uiPriority w:val="9"/>
    <w:pPr>
      <w:keepNext/>
      <w:keepLines/>
      <w:numPr>
        <w:ilvl w:val="2"/>
        <w:numId w:val="1"/>
      </w:numPr>
      <w:spacing w:line="360" w:lineRule="auto"/>
      <w:ind w:left="0" w:firstLine="0"/>
      <w:outlineLvl w:val="2"/>
    </w:pPr>
    <w:rPr>
      <w:rFonts w:ascii="Times New Roman" w:hAnsi="Times New Roman" w:eastAsia="黑体" w:cs="宋体"/>
      <w:b/>
      <w:sz w:val="28"/>
    </w:rPr>
  </w:style>
  <w:style w:type="character" w:default="1" w:styleId="22">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annotation text"/>
    <w:basedOn w:val="1"/>
    <w:link w:val="27"/>
    <w:unhideWhenUsed/>
    <w:qFormat/>
    <w:uiPriority w:val="99"/>
    <w:pPr>
      <w:jc w:val="left"/>
    </w:pPr>
  </w:style>
  <w:style w:type="paragraph" w:styleId="6">
    <w:name w:val="Salutation"/>
    <w:basedOn w:val="1"/>
    <w:next w:val="1"/>
    <w:unhideWhenUsed/>
    <w:qFormat/>
    <w:uiPriority w:val="99"/>
  </w:style>
  <w:style w:type="paragraph" w:styleId="7">
    <w:name w:val="Body Text"/>
    <w:basedOn w:val="1"/>
    <w:link w:val="28"/>
    <w:unhideWhenUsed/>
    <w:qFormat/>
    <w:uiPriority w:val="99"/>
    <w:pPr>
      <w:spacing w:after="120"/>
    </w:pPr>
  </w:style>
  <w:style w:type="paragraph" w:styleId="8">
    <w:name w:val="Body Text Indent"/>
    <w:basedOn w:val="1"/>
    <w:next w:val="1"/>
    <w:link w:val="29"/>
    <w:unhideWhenUsed/>
    <w:qFormat/>
    <w:uiPriority w:val="0"/>
    <w:pPr>
      <w:spacing w:after="120"/>
      <w:ind w:left="420" w:leftChars="200"/>
    </w:pPr>
    <w:rPr>
      <w:rFonts w:ascii="Times New Roman" w:hAnsi="Times New Roman" w:eastAsia="宋体" w:cs="Times New Roman"/>
      <w:kern w:val="0"/>
      <w:sz w:val="20"/>
      <w:szCs w:val="24"/>
    </w:rPr>
  </w:style>
  <w:style w:type="paragraph" w:styleId="9">
    <w:name w:val="Plain Text"/>
    <w:basedOn w:val="1"/>
    <w:next w:val="6"/>
    <w:qFormat/>
    <w:uiPriority w:val="0"/>
    <w:rPr>
      <w:rFonts w:ascii="宋体" w:hAnsi="Courier New"/>
      <w:color w:val="000000"/>
      <w:kern w:val="0"/>
      <w:sz w:val="26"/>
      <w:szCs w:val="20"/>
    </w:rPr>
  </w:style>
  <w:style w:type="paragraph" w:styleId="10">
    <w:name w:val="Balloon Text"/>
    <w:basedOn w:val="1"/>
    <w:link w:val="30"/>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jc w:val="left"/>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Indent 3"/>
    <w:next w:val="14"/>
    <w:link w:val="33"/>
    <w:unhideWhenUsed/>
    <w:qFormat/>
    <w:uiPriority w:val="99"/>
    <w:rPr>
      <w:rFonts w:ascii="Calibri" w:hAnsi="Calibri" w:eastAsia="宋体" w:cs="Times New Roman"/>
      <w:kern w:val="2"/>
      <w:sz w:val="21"/>
      <w:szCs w:val="22"/>
      <w:lang w:val="en-US" w:eastAsia="zh-CN" w:bidi="ar-SA"/>
    </w:rPr>
  </w:style>
  <w:style w:type="paragraph" w:customStyle="1" w:styleId="14">
    <w:name w:val="样式 正文文本缩进 3 + 左侧:  2 字符"/>
    <w:basedOn w:val="1"/>
    <w:qFormat/>
    <w:uiPriority w:val="0"/>
  </w:style>
  <w:style w:type="paragraph" w:styleId="15">
    <w:name w:val="Body Text 2"/>
    <w:basedOn w:val="1"/>
    <w:link w:val="34"/>
    <w:unhideWhenUsed/>
    <w:qFormat/>
    <w:uiPriority w:val="99"/>
    <w:pPr>
      <w:spacing w:after="120" w:line="480" w:lineRule="auto"/>
    </w:pPr>
  </w:style>
  <w:style w:type="paragraph" w:styleId="16">
    <w:name w:val="Normal (Web)"/>
    <w:basedOn w:val="1"/>
    <w:link w:val="35"/>
    <w:qFormat/>
    <w:uiPriority w:val="99"/>
    <w:pPr>
      <w:widowControl/>
      <w:spacing w:before="100" w:beforeAutospacing="1" w:after="100" w:afterAutospacing="1"/>
      <w:ind w:firstLine="640"/>
      <w:jc w:val="center"/>
      <w:outlineLvl w:val="0"/>
    </w:pPr>
    <w:rPr>
      <w:rFonts w:ascii="宋体" w:hAnsi="宋体"/>
      <w:sz w:val="24"/>
    </w:rPr>
  </w:style>
  <w:style w:type="paragraph" w:styleId="17">
    <w:name w:val="annotation subject"/>
    <w:basedOn w:val="5"/>
    <w:next w:val="5"/>
    <w:link w:val="36"/>
    <w:unhideWhenUsed/>
    <w:qFormat/>
    <w:uiPriority w:val="99"/>
    <w:rPr>
      <w:b/>
      <w:bCs/>
    </w:rPr>
  </w:style>
  <w:style w:type="paragraph" w:styleId="18">
    <w:name w:val="Body Text First Indent"/>
    <w:basedOn w:val="7"/>
    <w:link w:val="37"/>
    <w:unhideWhenUsed/>
    <w:qFormat/>
    <w:uiPriority w:val="99"/>
    <w:pPr>
      <w:ind w:firstLine="420" w:firstLineChars="100"/>
    </w:pPr>
  </w:style>
  <w:style w:type="paragraph" w:styleId="19">
    <w:name w:val="Body Text First Indent 2"/>
    <w:basedOn w:val="8"/>
    <w:next w:val="1"/>
    <w:unhideWhenUsed/>
    <w:qFormat/>
    <w:uiPriority w:val="0"/>
    <w:pPr>
      <w:ind w:firstLine="420" w:firstLineChars="200"/>
    </w:pPr>
  </w:style>
  <w:style w:type="table" w:styleId="21">
    <w:name w:val="Table Grid"/>
    <w:basedOn w:val="2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3">
    <w:name w:val="Strong"/>
    <w:basedOn w:val="22"/>
    <w:qFormat/>
    <w:uiPriority w:val="22"/>
    <w:rPr>
      <w:b/>
    </w:rPr>
  </w:style>
  <w:style w:type="character" w:styleId="24">
    <w:name w:val="Hyperlink"/>
    <w:basedOn w:val="22"/>
    <w:unhideWhenUsed/>
    <w:qFormat/>
    <w:uiPriority w:val="99"/>
    <w:rPr>
      <w:color w:val="0000FF"/>
      <w:u w:val="single"/>
    </w:rPr>
  </w:style>
  <w:style w:type="character" w:styleId="25">
    <w:name w:val="annotation reference"/>
    <w:basedOn w:val="22"/>
    <w:unhideWhenUsed/>
    <w:qFormat/>
    <w:uiPriority w:val="0"/>
    <w:rPr>
      <w:sz w:val="21"/>
      <w:szCs w:val="21"/>
    </w:rPr>
  </w:style>
  <w:style w:type="paragraph" w:customStyle="1" w:styleId="26">
    <w:name w:val="表格内容"/>
    <w:basedOn w:val="1"/>
    <w:link w:val="38"/>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27">
    <w:name w:val="批注文字 Char"/>
    <w:basedOn w:val="22"/>
    <w:link w:val="5"/>
    <w:qFormat/>
    <w:uiPriority w:val="99"/>
  </w:style>
  <w:style w:type="character" w:customStyle="1" w:styleId="28">
    <w:name w:val="正文文本 Char"/>
    <w:basedOn w:val="22"/>
    <w:link w:val="7"/>
    <w:qFormat/>
    <w:uiPriority w:val="99"/>
  </w:style>
  <w:style w:type="character" w:customStyle="1" w:styleId="29">
    <w:name w:val="正文文本缩进 Char"/>
    <w:basedOn w:val="22"/>
    <w:link w:val="8"/>
    <w:qFormat/>
    <w:uiPriority w:val="0"/>
    <w:rPr>
      <w:rFonts w:ascii="Times New Roman" w:hAnsi="Times New Roman" w:eastAsia="宋体" w:cs="Times New Roman"/>
      <w:kern w:val="0"/>
      <w:sz w:val="20"/>
      <w:szCs w:val="24"/>
    </w:rPr>
  </w:style>
  <w:style w:type="character" w:customStyle="1" w:styleId="30">
    <w:name w:val="批注框文本 Char"/>
    <w:basedOn w:val="22"/>
    <w:link w:val="10"/>
    <w:semiHidden/>
    <w:qFormat/>
    <w:uiPriority w:val="99"/>
    <w:rPr>
      <w:sz w:val="18"/>
      <w:szCs w:val="18"/>
    </w:rPr>
  </w:style>
  <w:style w:type="character" w:customStyle="1" w:styleId="31">
    <w:name w:val="页脚 Char"/>
    <w:basedOn w:val="22"/>
    <w:link w:val="11"/>
    <w:qFormat/>
    <w:uiPriority w:val="99"/>
    <w:rPr>
      <w:sz w:val="18"/>
      <w:szCs w:val="18"/>
    </w:rPr>
  </w:style>
  <w:style w:type="character" w:customStyle="1" w:styleId="32">
    <w:name w:val="页眉 Char"/>
    <w:basedOn w:val="22"/>
    <w:link w:val="12"/>
    <w:qFormat/>
    <w:uiPriority w:val="99"/>
    <w:rPr>
      <w:sz w:val="18"/>
      <w:szCs w:val="18"/>
    </w:rPr>
  </w:style>
  <w:style w:type="character" w:customStyle="1" w:styleId="33">
    <w:name w:val="正文文本缩进 3 Char"/>
    <w:basedOn w:val="22"/>
    <w:link w:val="13"/>
    <w:qFormat/>
    <w:uiPriority w:val="99"/>
    <w:rPr>
      <w:rFonts w:ascii="Calibri" w:hAnsi="Calibri"/>
      <w:kern w:val="2"/>
      <w:sz w:val="21"/>
      <w:szCs w:val="22"/>
      <w:lang w:val="en-US" w:eastAsia="zh-CN" w:bidi="ar-SA"/>
    </w:rPr>
  </w:style>
  <w:style w:type="character" w:customStyle="1" w:styleId="34">
    <w:name w:val="正文文本 2 Char"/>
    <w:basedOn w:val="22"/>
    <w:link w:val="15"/>
    <w:semiHidden/>
    <w:qFormat/>
    <w:uiPriority w:val="99"/>
  </w:style>
  <w:style w:type="character" w:customStyle="1" w:styleId="35">
    <w:name w:val="普通(网站) Char"/>
    <w:link w:val="16"/>
    <w:qFormat/>
    <w:locked/>
    <w:uiPriority w:val="99"/>
    <w:rPr>
      <w:rFonts w:ascii="宋体" w:hAnsi="宋体" w:cs="Times New Roman"/>
      <w:kern w:val="2"/>
      <w:sz w:val="24"/>
      <w:szCs w:val="22"/>
    </w:rPr>
  </w:style>
  <w:style w:type="character" w:customStyle="1" w:styleId="36">
    <w:name w:val="批注主题 Char"/>
    <w:basedOn w:val="27"/>
    <w:link w:val="17"/>
    <w:semiHidden/>
    <w:qFormat/>
    <w:uiPriority w:val="99"/>
    <w:rPr>
      <w:b/>
      <w:bCs/>
    </w:rPr>
  </w:style>
  <w:style w:type="character" w:customStyle="1" w:styleId="37">
    <w:name w:val="正文首行缩进 Char"/>
    <w:basedOn w:val="28"/>
    <w:link w:val="18"/>
    <w:semiHidden/>
    <w:qFormat/>
    <w:uiPriority w:val="99"/>
  </w:style>
  <w:style w:type="character" w:customStyle="1" w:styleId="38">
    <w:name w:val="表格内容 Char Char"/>
    <w:link w:val="26"/>
    <w:qFormat/>
    <w:uiPriority w:val="0"/>
    <w:rPr>
      <w:rFonts w:ascii="Arial" w:hAnsi="Arial" w:eastAsia="仿宋_GB2312" w:cs="Times New Roman"/>
      <w:kern w:val="0"/>
      <w:sz w:val="24"/>
      <w:szCs w:val="20"/>
    </w:rPr>
  </w:style>
  <w:style w:type="paragraph" w:customStyle="1" w:styleId="39">
    <w:name w:val="Default"/>
    <w:basedOn w:val="40"/>
    <w:link w:val="41"/>
    <w:qFormat/>
    <w:uiPriority w:val="0"/>
    <w:pPr>
      <w:autoSpaceDE w:val="0"/>
      <w:autoSpaceDN w:val="0"/>
    </w:pPr>
    <w:rPr>
      <w:rFonts w:ascii="宋体" w:hAnsi="Times New Roman" w:eastAsia="宋体"/>
      <w:b w:val="0"/>
      <w:bCs w:val="0"/>
      <w:color w:val="000000"/>
      <w:sz w:val="24"/>
      <w:szCs w:val="24"/>
    </w:rPr>
  </w:style>
  <w:style w:type="paragraph" w:customStyle="1" w:styleId="40">
    <w:name w:val="标题2"/>
    <w:basedOn w:val="3"/>
    <w:qFormat/>
    <w:uiPriority w:val="0"/>
    <w:pPr>
      <w:numPr>
        <w:numId w:val="2"/>
      </w:numPr>
      <w:spacing w:line="440" w:lineRule="exact"/>
    </w:pPr>
    <w:rPr>
      <w:kern w:val="0"/>
    </w:rPr>
  </w:style>
  <w:style w:type="character" w:customStyle="1" w:styleId="41">
    <w:name w:val="Default Char Char"/>
    <w:link w:val="39"/>
    <w:qFormat/>
    <w:uiPriority w:val="0"/>
    <w:rPr>
      <w:rFonts w:ascii="宋体" w:hAnsi="Times New Roman" w:eastAsia="宋体" w:cs="宋体"/>
      <w:color w:val="000000"/>
      <w:kern w:val="0"/>
      <w:sz w:val="24"/>
      <w:szCs w:val="24"/>
    </w:rPr>
  </w:style>
  <w:style w:type="paragraph" w:customStyle="1" w:styleId="42">
    <w:name w:val="1正文段落"/>
    <w:basedOn w:val="1"/>
    <w:qFormat/>
    <w:uiPriority w:val="0"/>
    <w:pPr>
      <w:spacing w:line="360" w:lineRule="auto"/>
      <w:ind w:firstLine="480" w:firstLineChars="200"/>
      <w:jc w:val="left"/>
    </w:pPr>
    <w:rPr>
      <w:rFonts w:ascii="Times New Roman" w:hAnsi="Times New Roman"/>
      <w:kern w:val="0"/>
      <w:sz w:val="24"/>
      <w:szCs w:val="24"/>
    </w:rPr>
  </w:style>
  <w:style w:type="paragraph" w:customStyle="1" w:styleId="43">
    <w:name w:val="MFS正文 Char"/>
    <w:basedOn w:val="18"/>
    <w:qFormat/>
    <w:uiPriority w:val="0"/>
    <w:pPr>
      <w:adjustRightInd w:val="0"/>
      <w:snapToGrid w:val="0"/>
      <w:spacing w:before="93" w:line="360" w:lineRule="auto"/>
      <w:ind w:firstLine="200" w:firstLineChars="200"/>
    </w:pPr>
    <w:rPr>
      <w:rFonts w:ascii="Times New Roman" w:hAnsi="Times New Roman" w:eastAsia="楷体_GB2312" w:cs="Times New Roman"/>
      <w:sz w:val="24"/>
      <w:szCs w:val="24"/>
    </w:rPr>
  </w:style>
  <w:style w:type="character" w:customStyle="1" w:styleId="44">
    <w:name w:val="表格正文 Char"/>
    <w:link w:val="45"/>
    <w:qFormat/>
    <w:locked/>
    <w:uiPriority w:val="0"/>
    <w:rPr>
      <w:szCs w:val="24"/>
    </w:rPr>
  </w:style>
  <w:style w:type="paragraph" w:customStyle="1" w:styleId="45">
    <w:name w:val="表格正文"/>
    <w:basedOn w:val="1"/>
    <w:next w:val="1"/>
    <w:link w:val="44"/>
    <w:qFormat/>
    <w:uiPriority w:val="0"/>
    <w:pPr>
      <w:spacing w:line="360" w:lineRule="exact"/>
      <w:jc w:val="center"/>
    </w:pPr>
    <w:rPr>
      <w:rFonts w:ascii="Times New Roman" w:hAnsi="Times New Roman"/>
      <w:kern w:val="0"/>
      <w:sz w:val="20"/>
      <w:szCs w:val="24"/>
    </w:rPr>
  </w:style>
  <w:style w:type="paragraph" w:customStyle="1" w:styleId="46">
    <w:name w:val="表内容"/>
    <w:basedOn w:val="1"/>
    <w:next w:val="1"/>
    <w:qFormat/>
    <w:uiPriority w:val="99"/>
    <w:pPr>
      <w:spacing w:line="320" w:lineRule="exact"/>
      <w:jc w:val="center"/>
    </w:pPr>
    <w:rPr>
      <w:rFonts w:ascii="Times New Roman" w:hAnsi="Times New Roman" w:eastAsia="宋体" w:cs="Times New Roman"/>
      <w:szCs w:val="20"/>
    </w:rPr>
  </w:style>
  <w:style w:type="paragraph" w:customStyle="1" w:styleId="47">
    <w:name w:val="修订1"/>
    <w:semiHidden/>
    <w:qFormat/>
    <w:uiPriority w:val="99"/>
    <w:rPr>
      <w:rFonts w:ascii="Calibri" w:hAnsi="Calibri" w:eastAsia="宋体" w:cs="Times New Roman"/>
      <w:kern w:val="2"/>
      <w:sz w:val="21"/>
      <w:szCs w:val="22"/>
      <w:lang w:val="en-US" w:eastAsia="zh-CN" w:bidi="ar-SA"/>
    </w:rPr>
  </w:style>
  <w:style w:type="paragraph" w:customStyle="1" w:styleId="48">
    <w:name w:val="中文报告书样式"/>
    <w:basedOn w:val="1"/>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49">
    <w:name w:val="表格内格式"/>
    <w:basedOn w:val="1"/>
    <w:link w:val="50"/>
    <w:qFormat/>
    <w:uiPriority w:val="0"/>
    <w:pPr>
      <w:adjustRightInd w:val="0"/>
      <w:snapToGrid w:val="0"/>
      <w:spacing w:before="60"/>
      <w:jc w:val="center"/>
    </w:pPr>
    <w:rPr>
      <w:rFonts w:ascii="Times New Roman" w:hAnsi="Times New Roman"/>
      <w:snapToGrid w:val="0"/>
      <w:kern w:val="0"/>
      <w:sz w:val="18"/>
      <w:szCs w:val="20"/>
    </w:rPr>
  </w:style>
  <w:style w:type="character" w:customStyle="1" w:styleId="50">
    <w:name w:val="表格内格式 Char"/>
    <w:link w:val="49"/>
    <w:qFormat/>
    <w:uiPriority w:val="0"/>
    <w:rPr>
      <w:rFonts w:ascii="Times New Roman" w:hAnsi="Times New Roman" w:eastAsia="宋体" w:cs="宋体"/>
      <w:snapToGrid w:val="0"/>
      <w:kern w:val="0"/>
      <w:sz w:val="18"/>
      <w:szCs w:val="20"/>
    </w:rPr>
  </w:style>
  <w:style w:type="character" w:customStyle="1" w:styleId="51">
    <w:name w:val="表格 Char"/>
    <w:link w:val="52"/>
    <w:qFormat/>
    <w:locked/>
    <w:uiPriority w:val="0"/>
    <w:rPr>
      <w:rFonts w:ascii="宋体"/>
    </w:rPr>
  </w:style>
  <w:style w:type="paragraph" w:customStyle="1" w:styleId="52">
    <w:name w:val="表格"/>
    <w:basedOn w:val="1"/>
    <w:next w:val="1"/>
    <w:link w:val="51"/>
    <w:qFormat/>
    <w:uiPriority w:val="0"/>
    <w:pPr>
      <w:adjustRightInd w:val="0"/>
      <w:snapToGrid w:val="0"/>
      <w:spacing w:beforeLines="10" w:afterLines="10" w:line="259" w:lineRule="auto"/>
      <w:jc w:val="center"/>
    </w:pPr>
    <w:rPr>
      <w:rFonts w:ascii="宋体" w:hAnsi="Times New Roman"/>
      <w:kern w:val="0"/>
      <w:sz w:val="20"/>
      <w:szCs w:val="20"/>
    </w:rPr>
  </w:style>
  <w:style w:type="character" w:customStyle="1" w:styleId="53">
    <w:name w:val="2 表格内容 Char"/>
    <w:link w:val="54"/>
    <w:qFormat/>
    <w:uiPriority w:val="0"/>
    <w:rPr>
      <w:szCs w:val="21"/>
    </w:rPr>
  </w:style>
  <w:style w:type="paragraph" w:customStyle="1" w:styleId="54">
    <w:name w:val="2 表格内容"/>
    <w:basedOn w:val="1"/>
    <w:link w:val="53"/>
    <w:qFormat/>
    <w:uiPriority w:val="0"/>
    <w:pPr>
      <w:adjustRightInd w:val="0"/>
      <w:snapToGrid w:val="0"/>
      <w:spacing w:line="320" w:lineRule="exact"/>
      <w:jc w:val="center"/>
    </w:pPr>
    <w:rPr>
      <w:rFonts w:ascii="Times New Roman" w:hAnsi="Times New Roman"/>
      <w:kern w:val="0"/>
      <w:sz w:val="20"/>
      <w:szCs w:val="21"/>
    </w:rPr>
  </w:style>
  <w:style w:type="character" w:customStyle="1" w:styleId="55">
    <w:name w:val="图表标注 Char"/>
    <w:link w:val="56"/>
    <w:qFormat/>
    <w:uiPriority w:val="0"/>
    <w:rPr>
      <w:rFonts w:eastAsia="黑体"/>
      <w:sz w:val="24"/>
    </w:rPr>
  </w:style>
  <w:style w:type="paragraph" w:customStyle="1" w:styleId="56">
    <w:name w:val="图表标注"/>
    <w:basedOn w:val="1"/>
    <w:link w:val="55"/>
    <w:qFormat/>
    <w:uiPriority w:val="0"/>
    <w:pPr>
      <w:spacing w:line="480" w:lineRule="exact"/>
      <w:jc w:val="center"/>
    </w:pPr>
    <w:rPr>
      <w:rFonts w:ascii="Times New Roman" w:hAnsi="Times New Roman" w:eastAsia="黑体"/>
      <w:kern w:val="0"/>
      <w:sz w:val="24"/>
      <w:szCs w:val="20"/>
    </w:rPr>
  </w:style>
  <w:style w:type="character" w:customStyle="1" w:styleId="57">
    <w:name w:val="fontstyle01"/>
    <w:qFormat/>
    <w:uiPriority w:val="0"/>
    <w:rPr>
      <w:rFonts w:hint="eastAsia" w:ascii="宋体" w:hAnsi="宋体" w:eastAsia="宋体"/>
      <w:color w:val="000000"/>
      <w:sz w:val="24"/>
      <w:szCs w:val="24"/>
    </w:rPr>
  </w:style>
  <w:style w:type="paragraph" w:customStyle="1" w:styleId="58">
    <w:name w:val="无间隔1"/>
    <w:qFormat/>
    <w:uiPriority w:val="1"/>
    <w:pPr>
      <w:widowControl w:val="0"/>
      <w:jc w:val="center"/>
    </w:pPr>
    <w:rPr>
      <w:rFonts w:ascii="Times New Roman" w:hAnsi="Times New Roman" w:eastAsia="宋体" w:cs="Times New Roman"/>
      <w:kern w:val="2"/>
      <w:sz w:val="21"/>
      <w:szCs w:val="24"/>
      <w:lang w:val="en-US" w:eastAsia="zh-CN" w:bidi="ar-SA"/>
    </w:rPr>
  </w:style>
  <w:style w:type="paragraph" w:customStyle="1" w:styleId="59">
    <w:name w:val="列出段落1"/>
    <w:basedOn w:val="1"/>
    <w:qFormat/>
    <w:uiPriority w:val="34"/>
    <w:pPr>
      <w:ind w:firstLine="420" w:firstLineChars="200"/>
    </w:pPr>
    <w:rPr>
      <w:rFonts w:ascii="Times New Roman" w:hAnsi="Times New Roman" w:eastAsia="宋体" w:cs="Times New Roman"/>
    </w:rPr>
  </w:style>
  <w:style w:type="character" w:customStyle="1" w:styleId="60">
    <w:name w:val="报告表正文 Char Char"/>
    <w:link w:val="61"/>
    <w:qFormat/>
    <w:uiPriority w:val="0"/>
    <w:rPr>
      <w:rFonts w:eastAsia="宋体"/>
      <w:sz w:val="24"/>
    </w:rPr>
  </w:style>
  <w:style w:type="paragraph" w:customStyle="1" w:styleId="61">
    <w:name w:val="报告表正文"/>
    <w:basedOn w:val="1"/>
    <w:link w:val="60"/>
    <w:qFormat/>
    <w:uiPriority w:val="0"/>
    <w:pPr>
      <w:adjustRightInd w:val="0"/>
      <w:spacing w:line="312" w:lineRule="auto"/>
      <w:ind w:left="113" w:right="113" w:firstLine="482"/>
      <w:jc w:val="left"/>
      <w:textAlignment w:val="baseline"/>
    </w:pPr>
    <w:rPr>
      <w:rFonts w:ascii="Times New Roman" w:hAnsi="Times New Roman"/>
      <w:kern w:val="0"/>
      <w:sz w:val="24"/>
      <w:szCs w:val="20"/>
    </w:rPr>
  </w:style>
  <w:style w:type="character" w:customStyle="1" w:styleId="62">
    <w:name w:val="批注文字 Char2"/>
    <w:qFormat/>
    <w:uiPriority w:val="99"/>
    <w:rPr>
      <w:szCs w:val="24"/>
    </w:rPr>
  </w:style>
  <w:style w:type="character" w:customStyle="1" w:styleId="63">
    <w:name w:val="占位符文本1"/>
    <w:basedOn w:val="22"/>
    <w:semiHidden/>
    <w:qFormat/>
    <w:uiPriority w:val="99"/>
    <w:rPr>
      <w:color w:val="808080"/>
    </w:rPr>
  </w:style>
  <w:style w:type="paragraph" w:customStyle="1" w:styleId="64">
    <w:name w:val="+正文"/>
    <w:basedOn w:val="1"/>
    <w:qFormat/>
    <w:uiPriority w:val="0"/>
    <w:pPr>
      <w:spacing w:line="360" w:lineRule="auto"/>
      <w:jc w:val="center"/>
    </w:pPr>
    <w:rPr>
      <w:rFonts w:ascii="Times New Roman" w:hAnsi="Times New Roman" w:eastAsia="黑体" w:cs="Times New Roman"/>
      <w:kern w:val="0"/>
      <w:sz w:val="24"/>
      <w:szCs w:val="24"/>
    </w:rPr>
  </w:style>
  <w:style w:type="paragraph" w:customStyle="1" w:styleId="65">
    <w:name w:val="Table Paragraph"/>
    <w:basedOn w:val="1"/>
    <w:qFormat/>
    <w:uiPriority w:val="1"/>
  </w:style>
  <w:style w:type="paragraph" w:customStyle="1" w:styleId="66">
    <w:name w:val="Table Text"/>
    <w:basedOn w:val="1"/>
    <w:semiHidden/>
    <w:qFormat/>
    <w:uiPriority w:val="0"/>
    <w:rPr>
      <w:rFonts w:ascii="宋体" w:hAnsi="宋体" w:eastAsia="宋体" w:cs="宋体"/>
      <w:sz w:val="24"/>
      <w:szCs w:val="24"/>
      <w:lang w:eastAsia="en-US"/>
    </w:rPr>
  </w:style>
  <w:style w:type="table" w:customStyle="1" w:styleId="67">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68">
    <w:name w:val="font31"/>
    <w:basedOn w:val="22"/>
    <w:qFormat/>
    <w:uiPriority w:val="0"/>
    <w:rPr>
      <w:rFonts w:hint="eastAsia" w:ascii="宋体" w:hAnsi="宋体" w:eastAsia="宋体" w:cs="宋体"/>
      <w:color w:val="000000"/>
      <w:sz w:val="18"/>
      <w:szCs w:val="18"/>
      <w:u w:val="none"/>
    </w:rPr>
  </w:style>
  <w:style w:type="character" w:customStyle="1" w:styleId="69">
    <w:name w:val="font21"/>
    <w:basedOn w:val="22"/>
    <w:qFormat/>
    <w:uiPriority w:val="0"/>
    <w:rPr>
      <w:rFonts w:hint="default" w:ascii="Times New Roman" w:hAnsi="Times New Roman" w:cs="Times New Roman"/>
      <w:color w:val="000000"/>
      <w:sz w:val="18"/>
      <w:szCs w:val="18"/>
      <w:u w:val="none"/>
    </w:rPr>
  </w:style>
  <w:style w:type="character" w:customStyle="1" w:styleId="70">
    <w:name w:val="font41"/>
    <w:basedOn w:val="22"/>
    <w:qFormat/>
    <w:uiPriority w:val="0"/>
    <w:rPr>
      <w:rFonts w:hint="default" w:ascii="Times New Roman" w:hAnsi="Times New Roman" w:cs="Times New Roman"/>
      <w:color w:val="000000"/>
      <w:sz w:val="18"/>
      <w:szCs w:val="18"/>
      <w:u w:val="none"/>
    </w:rPr>
  </w:style>
  <w:style w:type="character" w:customStyle="1" w:styleId="71">
    <w:name w:val="font71"/>
    <w:basedOn w:val="22"/>
    <w:qFormat/>
    <w:uiPriority w:val="0"/>
    <w:rPr>
      <w:rFonts w:hint="eastAsia" w:ascii="宋体" w:hAnsi="宋体" w:eastAsia="宋体" w:cs="宋体"/>
      <w:b/>
      <w:bCs/>
      <w:color w:val="000000"/>
      <w:sz w:val="18"/>
      <w:szCs w:val="18"/>
      <w:u w:val="none"/>
    </w:rPr>
  </w:style>
  <w:style w:type="character" w:customStyle="1" w:styleId="72">
    <w:name w:val="font11"/>
    <w:basedOn w:val="22"/>
    <w:qFormat/>
    <w:uiPriority w:val="0"/>
    <w:rPr>
      <w:rFonts w:hint="default" w:ascii="Times New Roman" w:hAnsi="Times New Roman" w:cs="Times New Roman"/>
      <w:b/>
      <w:bCs/>
      <w:color w:val="000000"/>
      <w:sz w:val="18"/>
      <w:szCs w:val="18"/>
      <w:u w:val="none"/>
    </w:rPr>
  </w:style>
  <w:style w:type="character" w:customStyle="1" w:styleId="73">
    <w:name w:val="font81"/>
    <w:basedOn w:val="22"/>
    <w:qFormat/>
    <w:uiPriority w:val="0"/>
    <w:rPr>
      <w:rFonts w:hint="eastAsia" w:ascii="宋体" w:hAnsi="宋体" w:eastAsia="宋体" w:cs="宋体"/>
      <w:color w:val="000000"/>
      <w:sz w:val="18"/>
      <w:szCs w:val="18"/>
      <w:u w:val="none"/>
    </w:rPr>
  </w:style>
  <w:style w:type="character" w:customStyle="1" w:styleId="74">
    <w:name w:val="font91"/>
    <w:basedOn w:val="22"/>
    <w:qFormat/>
    <w:uiPriority w:val="0"/>
    <w:rPr>
      <w:rFonts w:hint="eastAsia" w:ascii="宋体" w:hAnsi="宋体" w:eastAsia="宋体" w:cs="宋体"/>
      <w:color w:val="000000"/>
      <w:sz w:val="18"/>
      <w:szCs w:val="18"/>
      <w:u w:val="none"/>
    </w:rPr>
  </w:style>
  <w:style w:type="character" w:customStyle="1" w:styleId="75">
    <w:name w:val="font101"/>
    <w:basedOn w:val="22"/>
    <w:qFormat/>
    <w:uiPriority w:val="0"/>
    <w:rPr>
      <w:rFonts w:hint="default" w:ascii="Times New Roman" w:hAnsi="Times New Roman" w:cs="Times New Roman"/>
      <w:color w:val="000000"/>
      <w:sz w:val="18"/>
      <w:szCs w:val="18"/>
      <w:u w:val="none"/>
    </w:rPr>
  </w:style>
  <w:style w:type="character" w:customStyle="1" w:styleId="76">
    <w:name w:val="font112"/>
    <w:basedOn w:val="22"/>
    <w:qFormat/>
    <w:uiPriority w:val="0"/>
    <w:rPr>
      <w:rFonts w:hint="eastAsia" w:ascii="宋体" w:hAnsi="宋体" w:eastAsia="宋体" w:cs="宋体"/>
      <w:color w:val="000000"/>
      <w:sz w:val="18"/>
      <w:szCs w:val="18"/>
      <w:u w:val="none"/>
    </w:rPr>
  </w:style>
  <w:style w:type="character" w:customStyle="1" w:styleId="77">
    <w:name w:val="font121"/>
    <w:basedOn w:val="22"/>
    <w:qFormat/>
    <w:uiPriority w:val="0"/>
    <w:rPr>
      <w:rFonts w:hint="eastAsia" w:ascii="宋体" w:hAnsi="宋体" w:eastAsia="宋体" w:cs="宋体"/>
      <w:b/>
      <w:bCs/>
      <w:color w:val="000000"/>
      <w:sz w:val="18"/>
      <w:szCs w:val="18"/>
      <w:u w:val="none"/>
    </w:rPr>
  </w:style>
  <w:style w:type="character" w:customStyle="1" w:styleId="78">
    <w:name w:val="font131"/>
    <w:basedOn w:val="22"/>
    <w:qFormat/>
    <w:uiPriority w:val="0"/>
    <w:rPr>
      <w:rFonts w:hint="default" w:ascii="Times New Roman" w:hAnsi="Times New Roman" w:cs="Times New Roman"/>
      <w:color w:val="000000"/>
      <w:sz w:val="20"/>
      <w:szCs w:val="20"/>
      <w:u w:val="none"/>
    </w:rPr>
  </w:style>
  <w:style w:type="character" w:customStyle="1" w:styleId="79">
    <w:name w:val="font141"/>
    <w:basedOn w:val="22"/>
    <w:qFormat/>
    <w:uiPriority w:val="0"/>
    <w:rPr>
      <w:rFonts w:hint="eastAsia" w:ascii="宋体" w:hAnsi="宋体" w:eastAsia="宋体" w:cs="宋体"/>
      <w:color w:val="000000"/>
      <w:sz w:val="20"/>
      <w:szCs w:val="20"/>
      <w:u w:val="none"/>
    </w:rPr>
  </w:style>
  <w:style w:type="character" w:customStyle="1" w:styleId="80">
    <w:name w:val="font61"/>
    <w:basedOn w:val="22"/>
    <w:qFormat/>
    <w:uiPriority w:val="0"/>
    <w:rPr>
      <w:rFonts w:hint="default" w:ascii="Times New Roman" w:hAnsi="Times New Roman" w:cs="Times New Roman"/>
      <w:color w:val="000000"/>
      <w:sz w:val="18"/>
      <w:szCs w:val="18"/>
      <w:u w:val="none"/>
    </w:rPr>
  </w:style>
  <w:style w:type="paragraph" w:customStyle="1" w:styleId="81">
    <w:name w:val="li_正文"/>
    <w:basedOn w:val="1"/>
    <w:qFormat/>
    <w:uiPriority w:val="0"/>
    <w:pPr>
      <w:tabs>
        <w:tab w:val="left" w:pos="2340"/>
        <w:tab w:val="left" w:pos="4320"/>
      </w:tabs>
      <w:ind w:firstLine="530" w:firstLineChars="200"/>
    </w:pPr>
    <w:rPr>
      <w:rFonts w:ascii="Calibri" w:hAnsi="Calibri" w:eastAsia="宋体" w:cs="Times New Roman"/>
      <w:sz w:val="28"/>
      <w:szCs w:val="28"/>
    </w:rPr>
  </w:style>
  <w:style w:type="paragraph" w:styleId="82">
    <w:name w:val="List Paragraph"/>
    <w:basedOn w:val="1"/>
    <w:qFormat/>
    <w:uiPriority w:val="99"/>
    <w:pPr>
      <w:ind w:firstLine="420" w:firstLineChars="200"/>
    </w:pPr>
  </w:style>
  <w:style w:type="paragraph" w:styleId="83">
    <w:name w:val="No Spacing"/>
    <w:qFormat/>
    <w:uiPriority w:val="1"/>
    <w:pPr>
      <w:jc w:val="center"/>
    </w:pPr>
    <w:rPr>
      <w:rFonts w:ascii="Calibri" w:hAnsi="Calibri" w:eastAsia="宋体" w:cs="Times New Roman"/>
      <w:sz w:val="21"/>
      <w:lang w:val="en-US" w:eastAsia="zh-CN" w:bidi="ar-SA"/>
    </w:rPr>
  </w:style>
  <w:style w:type="paragraph" w:customStyle="1" w:styleId="84">
    <w:name w:val="简单回函地址"/>
    <w:basedOn w:val="1"/>
    <w:qFormat/>
    <w:uiPriority w:val="0"/>
    <w:pPr>
      <w:keepNext/>
      <w:keepLines/>
      <w:snapToGrid w:val="0"/>
      <w:spacing w:line="480" w:lineRule="exact"/>
      <w:ind w:firstLine="480" w:firstLineChars="200"/>
    </w:pPr>
    <w:rPr>
      <w:rFonts w:ascii="Times New Roman" w:hAnsi="Times New Roman" w:eastAsia="宋体" w:cs="Times New Roman"/>
      <w:sz w:val="24"/>
      <w:szCs w:val="20"/>
    </w:rPr>
  </w:style>
  <w:style w:type="paragraph" w:customStyle="1" w:styleId="85">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86">
    <w:name w:val="font51"/>
    <w:basedOn w:val="22"/>
    <w:qFormat/>
    <w:uiPriority w:val="0"/>
    <w:rPr>
      <w:rFonts w:hint="default" w:ascii="Times New Roman" w:hAnsi="Times New Roman" w:cs="Times New Roman"/>
      <w:color w:val="000000"/>
      <w:sz w:val="18"/>
      <w:szCs w:val="18"/>
      <w:u w:val="none"/>
    </w:rPr>
  </w:style>
  <w:style w:type="character" w:customStyle="1" w:styleId="87">
    <w:name w:val="text_jrykg"/>
    <w:basedOn w:val="22"/>
    <w:qFormat/>
    <w:uiPriority w:val="0"/>
  </w:style>
  <w:style w:type="paragraph" w:customStyle="1" w:styleId="88">
    <w:name w:val="表头2021"/>
    <w:basedOn w:val="1"/>
    <w:qFormat/>
    <w:uiPriority w:val="0"/>
    <w:pPr>
      <w:widowControl/>
      <w:jc w:val="center"/>
    </w:pPr>
    <w:rPr>
      <w:rFonts w:ascii="Times New Roman" w:hAnsi="Times New Roman" w:eastAsia="宋体" w:cs="宋体"/>
      <w:b/>
      <w:sz w:val="24"/>
      <w:szCs w:val="20"/>
    </w:rPr>
  </w:style>
  <w:style w:type="paragraph" w:customStyle="1" w:styleId="89">
    <w:name w:val="1小四"/>
    <w:basedOn w:val="1"/>
    <w:qFormat/>
    <w:uiPriority w:val="0"/>
    <w:pPr>
      <w:spacing w:line="360" w:lineRule="auto"/>
      <w:ind w:firstLine="480" w:firstLineChars="200"/>
    </w:pPr>
    <w:rPr>
      <w:rFonts w:ascii="Times New Roman" w:hAnsi="Times New Roman" w:cs="Times New Roman"/>
    </w:rPr>
  </w:style>
  <w:style w:type="paragraph" w:customStyle="1" w:styleId="90">
    <w:name w:val="居中"/>
    <w:basedOn w:val="1"/>
    <w:qFormat/>
    <w:uiPriority w:val="0"/>
    <w:pPr>
      <w:snapToGrid w:val="0"/>
      <w:spacing w:line="360" w:lineRule="auto"/>
      <w:jc w:val="center"/>
    </w:pPr>
    <w:rPr>
      <w:rFonts w:ascii="Times New Roman" w:hAnsi="Times New Roman" w:cs="Times New Roman"/>
    </w:rPr>
  </w:style>
  <w:style w:type="paragraph" w:customStyle="1" w:styleId="91">
    <w:name w:val="1表题"/>
    <w:basedOn w:val="1"/>
    <w:qFormat/>
    <w:uiPriority w:val="0"/>
    <w:pPr>
      <w:adjustRightInd w:val="0"/>
      <w:snapToGrid w:val="0"/>
      <w:spacing w:line="360" w:lineRule="auto"/>
      <w:jc w:val="center"/>
    </w:pPr>
    <w:rPr>
      <w:rFonts w:ascii="Times New Roman" w:hAnsi="Times New Roman" w:eastAsia="黑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wmf"/><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2c269607-3d39-4f89-bb9e-169ae6440639</errorID>
      <errorWord>双碳</errorWord>
      <group>L1_Political</group>
      <groupName>政治性问题</groupName>
      <ability>L2_Keyword</ability>
      <abilityName>固定表述</abilityName>
      <candidateList>
        <item>“双碳”</item>
      </candidateList>
      <explain>注意检查当前固定表述标点是否使用规范。</explain>
      <paraID>28CC1D5F</paraID>
      <start>22</start>
      <end>24</end>
      <status>unmodified</status>
      <modifiedWord/>
      <trackRevisions>false</trackRevisions>
    </reviewItem>
    <reviewItem>
      <errorID>4906c773-81fb-401b-af3e-a3eefd86a200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25947122</paraID>
      <start>30</start>
      <end>31</end>
      <status>unmodified</status>
      <modifiedWord/>
      <trackRevisions>false</trackRevisions>
    </reviewItem>
    <reviewItem>
      <errorID>8177e940-18a2-433f-a768-33c8c58cd875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370E690D</paraID>
      <start>42</start>
      <end>43</end>
      <status>unmodified</status>
      <modifiedWord/>
      <trackRevisions>false</trackRevisions>
    </reviewItem>
    <reviewItem>
      <errorID>85abd773-ed6f-4bc9-8d92-83b9c59ad7c9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193BFEA0</paraID>
      <start>26</start>
      <end>27</end>
      <status>unmodified</status>
      <modifiedWord/>
      <trackRevisions>false</trackRevisions>
    </reviewItem>
    <reviewItem>
      <errorID>b77a8b9b-7239-4408-9007-b4bb6e7e4c28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6681FBE6</paraID>
      <start>28</start>
      <end>29</end>
      <status>unmodified</status>
      <modifiedWord/>
      <trackRevisions>false</trackRevisions>
    </reviewItem>
    <reviewItem>
      <errorID>e915e3f1-d3bb-448b-a454-cb3028c67ad8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7CBA9F12</paraID>
      <start>42</start>
      <end>43</end>
      <status>unmodified</status>
      <modifiedWord/>
      <trackRevisions>false</trackRevisions>
    </reviewItem>
    <reviewItem>
      <errorID>0221ae18-4182-4d7d-bb7c-7f4babb49be6</errorID>
      <errorWord>[2024]1008号</errorWord>
      <group>L1_Knowledge</group>
      <groupName>知识性问题</groupName>
      <ability>L2_Knowledge</ability>
      <abilityName>其他知识</abilityName>
      <candidateList>
        <item>〔2024〕1008号</item>
      </candidateList>
      <explain>发文字号格式错误。</explain>
      <paraID>646ED0B9</paraID>
      <start>8</start>
      <end>19</end>
      <status>unmodified</status>
      <modifiedWord/>
      <trackRevisions>false</trackRevisions>
    </reviewItem>
    <reviewItem>
      <errorID>74919d85-56ec-41e6-a235-88a10c4aba69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70C0248D</paraID>
      <start>28</start>
      <end>29</end>
      <status>unmodified</status>
      <modifiedWord/>
      <trackRevisions>false</trackRevisions>
    </reviewItem>
    <reviewItem>
      <errorID>90548944-8b93-48bb-9f52-aa253105729e</errorID>
      <errorWord>双碳</errorWord>
      <group>L1_Political</group>
      <groupName>政治性问题</groupName>
      <ability>L2_Keyword</ability>
      <abilityName>固定表述</abilityName>
      <candidateList>
        <item>“双碳”</item>
      </candidateList>
      <explain>注意检查当前固定表述标点是否使用规范。</explain>
      <paraID>669EDE3E</paraID>
      <start>27</start>
      <end>29</end>
      <status>unmodified</status>
      <modifiedWord/>
      <trackRevisions>false</trackRevisions>
    </reviewItem>
    <reviewItem>
      <errorID>dbab4b62-ca56-4254-b3bb-14084f8b6a96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669EDE3E</paraID>
      <start>65</start>
      <end>66</end>
      <status>unmodified</status>
      <modifiedWord/>
      <trackRevisions>false</trackRevisions>
    </reviewItem>
    <reviewItem>
      <errorID>cf7f398e-e0aa-43be-9c0a-9ee48b874775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669EDE3E</paraID>
      <start>114</start>
      <end>115</end>
      <status>unmodified</status>
      <modifiedWord/>
      <trackRevisions>false</trackRevisions>
    </reviewItem>
    <reviewItem>
      <errorID>2680c0c1-388b-4ead-99fd-b348ecc8687f</errorID>
      <errorWord>国土空间规划管制</errorWord>
      <group>L1_Political</group>
      <groupName>政治性问题</groupName>
      <ability>L2_Keyword</ability>
      <abilityName>固定表述</abilityName>
      <candidateList>
        <item>国土空间用途管制</item>
      </candidateList>
      <explain>词汇“国土空间用途管制”在特定场景下为固定表述形式，请确认此处的“国土空间规划管制”是否存在不当。</explain>
      <paraID> 475716B</paraID>
      <start>128</start>
      <end>136</end>
      <status>unmodified</status>
      <modifiedWord/>
      <trackRevisions>false</trackRevisions>
    </reviewItem>
    <reviewItem>
      <errorID>5e4722d7-9626-4cbe-9aac-06e9c549a26e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5C511C68</paraID>
      <start>33</start>
      <end>34</end>
      <status>unmodified</status>
      <modifiedWord/>
      <trackRevisions>false</trackRevisions>
    </reviewItem>
    <reviewItem>
      <errorID>cfab8f16-60c5-4e8f-bf02-94a7c2e2b3d2</errorID>
      <errorWord>(</errorWord>
      <group>L1_Format</group>
      <groupName>格式问题</groupName>
      <ability>L2_HalfPunc_CN</ability>
      <abilityName>全半角问题</abilityName>
      <candidateList>
        <item>（</item>
      </candidateList>
      <explain>文本全半角错误。</explain>
      <paraID>2BB85F44</paraID>
      <start>19</start>
      <end>20</end>
      <status>modified</status>
      <modifiedWord>（</modifiedWord>
      <trackRevisions>false</trackRevisions>
    </reviewItem>
    <reviewItem>
      <errorID>18eac41f-e7fb-4117-b218-ad79f53313f0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2BB85F44</paraID>
      <start>24</start>
      <end>25</end>
      <status>unmodified</status>
      <modifiedWord/>
      <trackRevisions>false</trackRevisions>
    </reviewItem>
    <reviewItem>
      <errorID>d8c08ec2-3b21-43da-8189-75b5cbe988e3</errorID>
      <errorWord>)(</errorWord>
      <group>L1_Format</group>
      <groupName>格式问题</groupName>
      <ability>L2_HalfPunc_CN</ability>
      <abilityName>全半角问题</abilityName>
      <candidateList>
        <item>）（</item>
      </candidateList>
      <explain>文本全半角错误。</explain>
      <paraID>2BB85F44</paraID>
      <start>30</start>
      <end>32</end>
      <status>modified</status>
      <modifiedWord>）（</modifiedWord>
      <trackRevisions>false</trackRevisions>
    </reviewItem>
    <reviewItem>
      <errorID>7f9d6e62-4f30-488d-addf-0539274951bf</errorID>
      <errorWord>)</errorWord>
      <group>L1_Format</group>
      <groupName>格式问题</groupName>
      <ability>L2_HalfPunc_CN</ability>
      <abilityName>全半角问题</abilityName>
      <candidateList>
        <item>）</item>
      </candidateList>
      <explain>文本全半角错误。</explain>
      <paraID>2BB85F44</paraID>
      <start>34</start>
      <end>35</end>
      <status>modified</status>
      <modifiedWord>）</modifiedWord>
      <trackRevisions>false</trackRevisions>
    </reviewItem>
    <reviewItem>
      <errorID>5d133f74-ee7e-4a2a-a830-b28f1bb3d075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1313FC9E</paraID>
      <start>51</start>
      <end>52</end>
      <status>unmodified</status>
      <modifiedWord/>
      <trackRevisions>false</trackRevisions>
    </reviewItem>
    <reviewItem>
      <errorID>d472ca51-71ba-406b-b5c6-0b4b917714a5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1313FC9E</paraID>
      <start>117</start>
      <end>118</end>
      <status>unmodified</status>
      <modifiedWord/>
      <trackRevisions>false</trackRevisions>
    </reviewItem>
    <reviewItem>
      <errorID>02e0fe55-cce4-4e06-a561-bdad7eb20fd4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5C235B0</paraID>
      <start>40</start>
      <end>41</end>
      <status>unmodified</status>
      <modifiedWord/>
      <trackRevisions>false</trackRevisions>
    </reviewItem>
    <reviewItem>
      <errorID>cfe36eac-70e7-44cc-ae1e-ea015b6efd3f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30821DBD</paraID>
      <start>24</start>
      <end>25</end>
      <status>unmodified</status>
      <modifiedWord/>
      <trackRevisions>false</trackRevisions>
    </reviewItem>
    <reviewItem>
      <errorID>3ca8c9c5-8f01-4f5b-a88d-b56894aae866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7AD424C8</paraID>
      <start>22</start>
      <end>23</end>
      <status>unmodified</status>
      <modifiedWord/>
      <trackRevisions>false</trackRevisions>
    </reviewItem>
    <reviewItem>
      <errorID>840bcd42-32f5-4407-9e9b-c6fc1e65cbea</errorID>
      <errorWord>要求的</errorWord>
      <group>L1_Grammar</group>
      <groupName>语法问题</groupName>
      <ability>L2_Order</ability>
      <abilityName>语序不当</abilityName>
      <candidateList>
        <item>要求</item>
      </candidateList>
      <explain>句子可能没有遵循时空、逻辑顺序，或者介词、关联词等位置不当。</explain>
      <paraID>7AD424C8</paraID>
      <start>47</start>
      <end>50</end>
      <status>unmodified</status>
      <modifiedWord/>
      <trackRevisions>false</trackRevisions>
    </reviewItem>
    <reviewItem>
      <errorID>df05c639-2997-4d97-8150-9301b2b05466</errorID>
      <errorWord>坚持绿色协调发展</errorWord>
      <group>L1_Political</group>
      <groupName>政治性问题</groupName>
      <ability>L2_Keyword</ability>
      <abilityName>固定表述</abilityName>
      <candidateList>
        <item>坚持绿色低碳发展</item>
      </candidateList>
      <explain>词汇“坚持绿色低碳发展”在特定场景下为固定表述形式，请确认此处的“坚持绿色协调发展”是否存在不当。</explain>
      <paraID>6473B7E6</paraID>
      <start>12</start>
      <end>20</end>
      <status>unmodified</status>
      <modifiedWord/>
      <trackRevisions>false</trackRevisions>
    </reviewItem>
    <reviewItem>
      <errorID>cf784fad-18b9-4371-bc97-e698d9261075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4FB8B8C5</paraID>
      <start>23</start>
      <end>24</end>
      <status>unmodified</status>
      <modifiedWord/>
      <trackRevisions>false</trackRevisions>
    </reviewItem>
    <reviewItem>
      <errorID>11055bfa-38a5-4602-88ae-65ec2ccf001c</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4FB8B8C5</paraID>
      <start>81</start>
      <end>82</end>
      <status>unmodified</status>
      <modifiedWord/>
      <trackRevisions>false</trackRevisions>
    </reviewItem>
    <reviewItem>
      <errorID>f5e3fef9-9ca5-4e1b-97fe-2c435bc89800</errorID>
      <errorWord>其它</errorWord>
      <group>L1_Word</group>
      <groupName>字词问题</groupName>
      <ability>L2_Alias</ability>
      <abilityName>也作/曾用词</abilityName>
      <candidateList>
        <item>其他</item>
      </candidateList>
      <explain>词汇[其它]为不规范表述或旧称，其规范书面表述为[其他]。</explain>
      <paraID>212C5D1F</paraID>
      <start>147</start>
      <end>149</end>
      <status>unmodified</status>
      <modifiedWord/>
      <trackRevisions>false</trackRevisions>
    </reviewItem>
    <reviewItem>
      <errorID>f6726d52-a62a-4f57-834b-a1840d32e6f3</errorID>
      <errorWord>生</errorWord>
      <group>L1_Grammar</group>
      <groupName>语法问题</groupName>
      <ability>L2_Order</ability>
      <abilityName>语序不当</abilityName>
      <candidateList>
        <item>对生</item>
      </candidateList>
      <explain>句子可能没有遵循时空、逻辑顺序，或者介词、关联词等位置不当。</explain>
      <paraID>766EE663</paraID>
      <start>234</start>
      <end>235</end>
      <status>unmodified</status>
      <modifiedWord/>
      <trackRevisions>false</trackRevisions>
    </reviewItem>
    <reviewItem>
      <errorID>9aa806ae-04f0-4524-a1e5-b252545362e5</errorID>
      <errorWord>双碳</errorWord>
      <group>L1_Political</group>
      <groupName>政治性问题</groupName>
      <ability>L2_Keyword</ability>
      <abilityName>固定表述</abilityName>
      <candidateList>
        <item>“双碳”</item>
      </candidateList>
      <explain>注意检查当前固定表述标点是否使用规范。</explain>
      <paraID>40762D14</paraID>
      <start>26</start>
      <end>28</end>
      <status>unmodified</status>
      <modifiedWord/>
      <trackRevisions>false</trackRevisions>
    </reviewItem>
    <reviewItem>
      <errorID>54883fcb-7769-4bfe-b768-bf280070bbd1</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587C784E</paraID>
      <start>5</start>
      <end>13</end>
      <status>unmodified</status>
      <modifiedWord/>
      <trackRevisions>false</trackRevisions>
    </reviewItem>
    <reviewItem>
      <errorID>03f55113-bed2-43ed-9c6b-f0aa3d712797</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587C784E</paraID>
      <start>96</start>
      <end>104</end>
      <status>unmodified</status>
      <modifiedWord/>
      <trackRevisions>false</trackRevisions>
    </reviewItem>
    <reviewItem>
      <errorID>a90e27c5-5ff3-4ffb-8c20-bfd0f3e5d5be</errorID>
      <errorWord>加强</errorWord>
      <group>L1_Grammar</group>
      <groupName>语法问题</groupName>
      <ability>L2_Grammar</ability>
      <abilityName>语法错误</abilityName>
      <candidateList>
        <item>促进</item>
      </candidateList>
      <explain>“水平～加强”搭配不当，建议修改为“水平～促进”。</explain>
      <paraID>79B25C4F</paraID>
      <start>166</start>
      <end>168</end>
      <status>unmodified</status>
      <modifiedWord/>
      <trackRevisions>false</trackRevisions>
    </reviewItem>
    <reviewItem>
      <errorID>4d4f7c07-9130-4285-9b79-dd2eee999b76</errorID>
      <errorWord>淮河流域水污染防治暂
行条例</errorWord>
      <group>L1_Knowledge</group>
      <groupName>知识性问题</groupName>
      <ability>L2_Knowledge</ability>
      <abilityName>其他知识</abilityName>
      <candidateList>
        <item>淮河流域水污染防治暂行条例</item>
      </candidateList>
      <explain>当前法律法规未收录或尚未生效，注意核查是否正确。</explain>
      <paraID>79B25C4F</paraID>
      <start>170</start>
      <end>183</end>
      <status>modified</status>
      <modifiedWord>淮河流域水污染防治暂行条例</modifiedWord>
      <trackRevisions>false</trackRevisions>
    </reviewItem>
    <reviewItem>
      <errorID>272162a0-3a59-4539-b8e2-ace2cb1231eb</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5EFB729C</paraID>
      <start>23</start>
      <end>24</end>
      <status>unmodified</status>
      <modifiedWord/>
      <trackRevisions>false</trackRevisions>
    </reviewItem>
    <reviewItem>
      <errorID>2f9598b5-e47e-42c5-b03c-37f101104601</errorID>
      <errorWord>发展和改革委</errorWord>
      <group>L1_Knowledge</group>
      <groupName>知识性问题</groupName>
      <ability>L2_Knowledge</ability>
      <abilityName>其他知识</abilityName>
      <candidateList>
        <item>发展改革委</item>
      </candidateList>
      <explain/>
      <paraID>1CB77857</paraID>
      <start>11</start>
      <end>17</end>
      <status>unmodified</status>
      <modifiedWord/>
      <trackRevisions>false</trackRevisions>
    </reviewItem>
    <reviewItem>
      <errorID>5c3e8570-cba1-46d0-861e-2cdb71166215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1CB77857</paraID>
      <start>36</start>
      <end>38</end>
      <status>modified</status>
      <modifiedWord>》《</modifiedWord>
      <trackRevisions>false</trackRevisions>
    </reviewItem>
    <reviewItem>
      <errorID>5e2c9b75-54ed-4e94-97bc-2a0826e81636</errorID>
      <errorWord>IV类</errorWord>
      <group>L1_Knowledge</group>
      <groupName>知识性问题</groupName>
      <ability>L2_Knowledge</ability>
      <abilityName>其他知识</abilityName>
      <candidateList>
        <item>Ⅳ类</item>
      </candidateList>
      <explain>中文环境下罗马数字格式错误。</explain>
      <paraID>5053E585</paraID>
      <start>109</start>
      <end>112</end>
      <status>unmodified</status>
      <modifiedWord/>
      <trackRevisions>false</trackRevisions>
    </reviewItem>
    <reviewItem>
      <errorID>e81255be-ea7c-4753-ba4c-d87a4102f913</errorID>
      <errorWord>《土壤环境质量农用地土壤污染风险管控标准》（试行）</errorWord>
      <group>L1_Knowledge</group>
      <groupName>知识性问题</groupName>
      <ability>L2_Knowledge</ability>
      <abilityName>其他知识</abilityName>
      <candidateList>
        <item>《土壤环境质量农用地土壤污染风险管控标准（试行）》</item>
      </candidateList>
      <explain>疑似政策文件、法律法规名称等书写不规范，请注意检查。</explain>
      <paraID>5053E585</paraID>
      <start>241</start>
      <end>266</end>
      <status>modified</status>
      <modifiedWord>《土壤环境质量农用地土壤污染风险管控标准（试行）》</modifiedWord>
      <trackRevisions>false</trackRevisions>
    </reviewItem>
    <reviewItem>
      <errorID>4e0e0fc6-24de-461d-b13e-758b01472391</errorID>
      <errorWord>：</errorWord>
      <group>L1_Format</group>
      <groupName>格式问题</groupName>
      <ability>L2_HalfPunc_CN</ability>
      <abilityName>全半角问题</abilityName>
      <candidateList>
        <item>:</item>
      </candidateList>
      <explain>文本全半角错误。</explain>
      <paraID>250F583F</paraID>
      <start>13</start>
      <end>14</end>
      <status>unmodified</status>
      <modifiedWord/>
      <trackRevisions>false</trackRevisions>
    </reviewItem>
    <reviewItem>
      <errorID>97de6561-207a-409b-a6d5-4609038bcd5b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4548DA</paraID>
      <start>0</start>
      <end>2</end>
      <status>unmodified</status>
      <modifiedWord/>
      <trackRevisions>false</trackRevisions>
    </reviewItem>
    <reviewItem>
      <errorID>49cfd200-7ff3-4c26-92f1-a11c9d0eee92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5C2F7C3A</paraID>
      <start>0</start>
      <end>2</end>
      <status>unmodified</status>
      <modifiedWord/>
      <trackRevisions>false</trackRevisions>
    </reviewItem>
    <reviewItem>
      <errorID>4b5331e7-0da5-417a-8acf-cbd19bc1356b</errorID>
      <errorWord>双碳</errorWord>
      <group>L1_Political</group>
      <groupName>政治性问题</groupName>
      <ability>L2_Keyword</ability>
      <abilityName>固定表述</abilityName>
      <candidateList>
        <item>“双碳”</item>
      </candidateList>
      <explain>注意检查当前固定表述标点是否使用规范。</explain>
      <paraID>623667BF</paraID>
      <start>27</start>
      <end>29</end>
      <status>unmodified</status>
      <modifiedWord/>
      <trackRevisions>false</trackRevisions>
    </reviewItem>
    <reviewItem>
      <errorID>0e37a2fc-49df-48be-a98c-001f280886d7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41C9ABCD</paraID>
      <start>0</start>
      <end>2</end>
      <status>unmodified</status>
      <modifiedWord/>
      <trackRevisions>false</trackRevisions>
    </reviewItem>
    <reviewItem>
      <errorID>c6cbd314-ebb1-4b6a-b2dc-f4102992e21a</errorID>
      <errorWord>胶粘剂</errorWord>
      <group>L1_Word</group>
      <groupName>字词问题</groupName>
      <ability>L2_Typo</ability>
      <abilityName>字词错误</abilityName>
      <candidateList>
        <item>胶黏剂</item>
      </candidateList>
      <explain/>
      <paraID>6C002CD7</paraID>
      <start>26</start>
      <end>29</end>
      <status>unmodified</status>
      <modifiedWord/>
      <trackRevisions>false</trackRevisions>
    </reviewItem>
    <reviewItem>
      <errorID>5c3851b7-9b4b-40f3-9d37-d552aa5c4699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F6EEA38</paraID>
      <start>0</start>
      <end>2</end>
      <status>unmodified</status>
      <modifiedWord/>
      <trackRevisions>false</trackRevisions>
    </reviewItem>
    <reviewItem>
      <errorID>9b14d119-86e8-46ca-97ee-26de14cb57f9</errorID>
      <errorWord>目</errorWord>
      <group>L1_Word</group>
      <groupName>字词问题</groupName>
      <ability>L2_Typo</ability>
      <abilityName>字词错误</abilityName>
      <candidateList>
        <item>目是</item>
      </candidateList>
      <explain/>
      <paraID>41CF3DEB</paraID>
      <start>2</start>
      <end>4</end>
      <status>modified</status>
      <modifiedWord>目是</modifiedWord>
      <trackRevisions>false</trackRevisions>
    </reviewItem>
    <reviewItem>
      <errorID>3b2928fe-a94f-4956-bdc4-40967b6ffac5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3825A6DB</paraID>
      <start>0</start>
      <end>2</end>
      <status>unmodified</status>
      <modifiedWord/>
      <trackRevisions>false</trackRevisions>
    </reviewItem>
    <reviewItem>
      <errorID>ec4c8e17-6f8f-40a1-a621-c4db9d34a212</errorID>
      <errorWord>双碳</errorWord>
      <group>L1_Political</group>
      <groupName>政治性问题</groupName>
      <ability>L2_Keyword</ability>
      <abilityName>固定表述</abilityName>
      <candidateList>
        <item>“双碳”</item>
      </candidateList>
      <explain>注意检查当前固定表述标点是否使用规范。</explain>
      <paraID>52ED7362</paraID>
      <start>61</start>
      <end>63</end>
      <status>unmodified</status>
      <modifiedWord/>
      <trackRevisions>false</trackRevisions>
    </reviewItem>
    <reviewItem>
      <errorID>af98afb9-8d2d-4c02-84cc-c2ddf32a7785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55C7EF5A</paraID>
      <start>0</start>
      <end>2</end>
      <status>unmodified</status>
      <modifiedWord/>
      <trackRevisions>false</trackRevisions>
    </reviewItem>
    <reviewItem>
      <errorID>29c350e7-f166-4997-b3d6-364039840032</errorID>
      <errorWord>胶粘剂</errorWord>
      <group>L1_Word</group>
      <groupName>字词问题</groupName>
      <ability>L2_Typo</ability>
      <abilityName>字词错误</abilityName>
      <candidateList>
        <item>胶黏剂</item>
      </candidateList>
      <explain/>
      <paraID>24AA033F</paraID>
      <start>112</start>
      <end>115</end>
      <status>unmodified</status>
      <modifiedWord/>
      <trackRevisions>false</trackRevisions>
    </reviewItem>
    <reviewItem>
      <errorID>7dadaca9-1c2c-47ff-9957-62f15ae93d41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A4CF053</paraID>
      <start>0</start>
      <end>2</end>
      <status>unmodified</status>
      <modifiedWord/>
      <trackRevisions>false</trackRevisions>
    </reviewItem>
    <reviewItem>
      <errorID>78e28a9e-96cd-4aad-8a11-b2f015c10ebe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67B0ED11</paraID>
      <start>0</start>
      <end>2</end>
      <status>unmodified</status>
      <modifiedWord/>
      <trackRevisions>false</trackRevisions>
    </reviewItem>
    <reviewItem>
      <errorID>4175f02f-4037-415d-aff7-c1871b81d044</errorID>
      <errorWord>应</errorWord>
      <group>L1_Word</group>
      <groupName>字词问题</groupName>
      <ability>L2_Typo</ability>
      <abilityName>字词错误</abilityName>
      <candidateList>
        <item>应纳</item>
      </candidateList>
      <explain/>
      <paraID>71D82615</paraID>
      <start>64</start>
      <end>65</end>
      <status>unmodified</status>
      <modifiedWord/>
      <trackRevisions>false</trackRevisions>
    </reviewItem>
    <reviewItem>
      <errorID>3f4b47c0-6645-4773-be6d-ea95282d2eae</errorID>
      <errorWord>双碳</errorWord>
      <group>L1_Political</group>
      <groupName>政治性问题</groupName>
      <ability>L2_Keyword</ability>
      <abilityName>固定表述</abilityName>
      <candidateList>
        <item>“双碳”</item>
      </candidateList>
      <explain>注意检查当前固定表述标点是否使用规范。</explain>
      <paraID>29687402</paraID>
      <start>27</start>
      <end>29</end>
      <status>unmodified</status>
      <modifiedWord/>
      <trackRevisions>false</trackRevisions>
    </reviewItem>
    <reviewItem>
      <errorID>2838f771-ed88-4939-a54d-d08c6f875d1e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27375881</paraID>
      <start>0</start>
      <end>2</end>
      <status>unmodified</status>
      <modifiedWord/>
      <trackRevisions>false</trackRevisions>
    </reviewItem>
    <reviewItem>
      <errorID>4e6f4d32-8d52-4b80-b436-660d9f77395b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7A4BBCD0</paraID>
      <start>0</start>
      <end>3</end>
      <status>unmodified</status>
      <modifiedWord/>
      <trackRevisions>false</trackRevisions>
    </reviewItem>
    <reviewItem>
      <errorID>c9813247-cc39-40e1-8e8e-db8f459da931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60B6C9BB</paraID>
      <start>37</start>
      <end>57</end>
      <status>modified</status>
      <modifiedWord>《产业结构调整指导目录（2024年本）》</modifiedWord>
      <trackRevisions>false</trackRevisions>
    </reviewItem>
    <reviewItem>
      <errorID>84980d5c-99a8-48b3-b58f-57bc359a479c</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78AACB6E</paraID>
      <start>2</start>
      <end>22</end>
      <status>modified</status>
      <modifiedWord>《产业结构调整指导目录（2024年本）》</modifiedWord>
      <trackRevisions>false</trackRevisions>
    </reviewItem>
    <reviewItem>
      <errorID>9befca12-f7fa-43a9-89d2-e7d5c2275c7a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77E02122</paraID>
      <start>0</start>
      <end>3</end>
      <status>unmodified</status>
      <modifiedWord/>
      <trackRevisions>false</trackRevisions>
    </reviewItem>
    <reviewItem>
      <errorID>d0ae2aee-357f-4d0b-84d3-93e658a2c879</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3AE2FEA7</paraID>
      <start>50</start>
      <end>56</end>
      <status>unmodified</status>
      <modifiedWord/>
      <trackRevisions>false</trackRevisions>
    </reviewItem>
    <reviewItem>
      <errorID>549e8566-c033-4a24-ae1e-f716d226a30d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1BE0779D</paraID>
      <start>0</start>
      <end>3</end>
      <status>unmodified</status>
      <modifiedWord/>
      <trackRevisions>false</trackRevisions>
    </reviewItem>
    <reviewItem>
      <errorID>338d9a29-ea93-421f-a041-e6a9f9f7fef8</errorID>
      <errorWord>双碳</errorWord>
      <group>L1_Political</group>
      <groupName>政治性问题</groupName>
      <ability>L2_Keyword</ability>
      <abilityName>固定表述</abilityName>
      <candidateList>
        <item>“双碳”</item>
      </candidateList>
      <explain>注意检查当前固定表述标点是否使用规范。</explain>
      <paraID>48611B1D</paraID>
      <start>43</start>
      <end>45</end>
      <status>unmodified</status>
      <modifiedWord/>
      <trackRevisions>false</trackRevisions>
    </reviewItem>
    <reviewItem>
      <errorID>6a5940e2-3046-42bb-bfb0-aece2b97e916</errorID>
      <errorWord>外逸</errorWord>
      <group>L1_Word</group>
      <groupName>字词问题</groupName>
      <ability>L2_Typo</ability>
      <abilityName>字词错误</abilityName>
      <candidateList>
        <item>外溢</item>
      </candidateList>
      <explain/>
      <paraID>13B45642</paraID>
      <start>53</start>
      <end>55</end>
      <status>unmodified</status>
      <modifiedWord/>
      <trackRevisions>false</trackRevisions>
    </reviewItem>
    <reviewItem>
      <errorID>8a4f75e9-f392-4453-9f58-2bc309875392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10A243E0</paraID>
      <start>0</start>
      <end>3</end>
      <status>unmodified</status>
      <modifiedWord/>
      <trackRevisions>false</trackRevisions>
    </reviewItem>
    <reviewItem>
      <errorID>bfd8774e-9060-49de-ae17-fa051c032df5</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3A194250</paraID>
      <start>55</start>
      <end>61</end>
      <status>unmodified</status>
      <modifiedWord/>
      <trackRevisions>false</trackRevisions>
    </reviewItem>
    <reviewItem>
      <errorID>b1b18e6e-54cf-4168-9d3b-59dd2aa51e49</errorID>
      <errorWord>胶粘剂</errorWord>
      <group>L1_Word</group>
      <groupName>字词问题</groupName>
      <ability>L2_Typo</ability>
      <abilityName>字词错误</abilityName>
      <candidateList>
        <item>胶黏剂</item>
      </candidateList>
      <explain/>
      <paraID>6A4823C9</paraID>
      <start>22</start>
      <end>25</end>
      <status>unmodified</status>
      <modifiedWord/>
      <trackRevisions>false</trackRevisions>
    </reviewItem>
    <reviewItem>
      <errorID>8f49078b-1efb-4986-84e5-556f40f81035</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7DD525C6</paraID>
      <start>16</start>
      <end>22</end>
      <status>unmodified</status>
      <modifiedWord/>
      <trackRevisions>false</trackRevisions>
    </reviewItem>
    <reviewItem>
      <errorID>0d7fb95a-5485-4025-b102-3f8ba22b2984</errorID>
      <errorWord>(</errorWord>
      <group>L1_Format</group>
      <groupName>格式问题</groupName>
      <ability>L2_HalfPunc_CN</ability>
      <abilityName>全半角问题</abilityName>
      <candidateList>
        <item>（</item>
      </candidateList>
      <explain>文本全半角错误。</explain>
      <paraID>7DD525C6</paraID>
      <start>38</start>
      <end>39</end>
      <status>modified</status>
      <modifiedWord>（</modifiedWord>
      <trackRevisions>false</trackRevisions>
    </reviewItem>
    <reviewItem>
      <errorID>e9ca7d64-fe9c-4965-bcdf-67e6b0a82fcd</errorID>
      <errorWord>)</errorWord>
      <group>L1_Format</group>
      <groupName>格式问题</groupName>
      <ability>L2_HalfPunc_CN</ability>
      <abilityName>全半角问题</abilityName>
      <candidateList>
        <item>）</item>
      </candidateList>
      <explain>文本全半角错误。</explain>
      <paraID>7DD525C6</paraID>
      <start>43</start>
      <end>44</end>
      <status>modified</status>
      <modifiedWord>）</modifiedWord>
      <trackRevisions>false</trackRevisions>
    </reviewItem>
    <reviewItem>
      <errorID>4b599826-4112-4d37-b5d5-92998da82e2c</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2632A5AC</paraID>
      <start>86</start>
      <end>92</end>
      <status>unmodified</status>
      <modifiedWord/>
      <trackRevisions>false</trackRevisions>
    </reviewItem>
    <reviewItem>
      <errorID>63aa5102-0486-4a42-b745-2d93f86cf4b0</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1CD82EB3</paraID>
      <start>26</start>
      <end>32</end>
      <status>unmodified</status>
      <modifiedWord/>
      <trackRevisions>false</trackRevisions>
    </reviewItem>
    <reviewItem>
      <errorID>8e82ba8a-691f-4a93-bd0c-ec9042ade24f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4705D58D</paraID>
      <start>0</start>
      <end>3</end>
      <status>unmodified</status>
      <modifiedWord/>
      <trackRevisions>false</trackRevisions>
    </reviewItem>
    <reviewItem>
      <errorID>ee812902-325a-4fb7-b41e-3d08bf11814f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FB1AB1B</paraID>
      <start>0</start>
      <end>2</end>
      <status>unmodified</status>
      <modifiedWord/>
      <trackRevisions>false</trackRevisions>
    </reviewItem>
    <reviewItem>
      <errorID>e33c3296-6b9d-4abe-8dec-626694cbea5f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1E9B49A4</paraID>
      <start>0</start>
      <end>2</end>
      <status>unmodified</status>
      <modifiedWord/>
      <trackRevisions>false</trackRevisions>
    </reviewItem>
    <reviewItem>
      <errorID>8d20ee74-dff1-4214-b89a-5ae18b7ee3c4</errorID>
      <errorWord>两高项目</errorWord>
      <group>L1_Political</group>
      <groupName>政治性问题</groupName>
      <ability>L2_Keyword</ability>
      <abilityName>固定表述</abilityName>
      <candidateList>
        <item>“两高”项目</item>
      </candidateList>
      <explain>注意检查当前固定表述标点是否使用规范。</explain>
      <paraID>1E9B49A4</paraID>
      <start>2</start>
      <end>8</end>
      <status>modified</status>
      <modifiedWord>“两高”项目</modifiedWord>
      <trackRevisions>false</trackRevisions>
    </reviewItem>
    <reviewItem>
      <errorID>2774fab7-1f6f-4729-832f-685b636c95af</errorID>
      <errorWord>(</errorWord>
      <group>L1_Format</group>
      <groupName>格式问题</groupName>
      <ability>L2_HalfPunc_CN</ability>
      <abilityName>全半角问题</abilityName>
      <candidateList>
        <item>（</item>
      </candidateList>
      <explain>文本全半角错误。</explain>
      <paraID> 8DB6980</paraID>
      <start>96</start>
      <end>97</end>
      <status>modified</status>
      <modifiedWord>（</modifiedWord>
      <trackRevisions>false</trackRevisions>
    </reviewItem>
    <reviewItem>
      <errorID>d2ded81b-e171-4eb1-a492-a82bdc9698ed</errorID>
      <errorWord>)</errorWord>
      <group>L1_Format</group>
      <groupName>格式问题</groupName>
      <ability>L2_HalfPunc_CN</ability>
      <abilityName>全半角问题</abilityName>
      <candidateList>
        <item>）</item>
      </candidateList>
      <explain>文本全半角错误。</explain>
      <paraID> 8DB6980</paraID>
      <start>103</start>
      <end>104</end>
      <status>modified</status>
      <modifiedWord>）</modifiedWord>
      <trackRevisions>false</trackRevisions>
    </reviewItem>
    <reviewItem>
      <errorID>29510cd4-1cdd-4514-93ea-828b1d63e208</errorID>
      <errorWord>胶粘剂</errorWord>
      <group>L1_Word</group>
      <groupName>字词问题</groupName>
      <ability>L2_Typo</ability>
      <abilityName>字词错误</abilityName>
      <candidateList>
        <item>胶黏剂</item>
      </candidateList>
      <explain/>
      <paraID> F825D4C</paraID>
      <start>47</start>
      <end>50</end>
      <status>unmodified</status>
      <modifiedWord/>
      <trackRevisions>false</trackRevisions>
    </reviewItem>
    <reviewItem>
      <errorID>f6e55d2c-3e90-4c0f-8d53-1978e24abf41</errorID>
      <errorWord>胶粘剂</errorWord>
      <group>L1_Word</group>
      <groupName>字词问题</groupName>
      <ability>L2_Typo</ability>
      <abilityName>字词错误</abilityName>
      <candidateList>
        <item>胶黏剂</item>
      </candidateList>
      <explain/>
      <paraID>386E5A26</paraID>
      <start>24</start>
      <end>27</end>
      <status>unmodified</status>
      <modifiedWord/>
      <trackRevisions>false</trackRevisions>
    </reviewItem>
    <reviewItem>
      <errorID>fb790750-93bf-4118-9a4f-9e923d36cfd5</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793E1548</paraID>
      <start>16</start>
      <end>22</end>
      <status>unmodified</status>
      <modifiedWord/>
      <trackRevisions>false</trackRevisions>
    </reviewItem>
    <reviewItem>
      <errorID>cb7f1530-7c8e-407e-9349-c1de72b00b32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23038EDE</paraID>
      <start>0</start>
      <end>2</end>
      <status>unmodified</status>
      <modifiedWord/>
      <trackRevisions>false</trackRevisions>
    </reviewItem>
    <reviewItem>
      <errorID>867a509c-6b78-4b47-a45f-726d5a630798</errorID>
      <errorWord>双碳</errorWord>
      <group>L1_Political</group>
      <groupName>政治性问题</groupName>
      <ability>L2_Keyword</ability>
      <abilityName>固定表述</abilityName>
      <candidateList>
        <item>“双碳”</item>
      </candidateList>
      <explain>注意检查当前固定表述标点是否使用规范。</explain>
      <paraID>70E18443</paraID>
      <start>52</start>
      <end>54</end>
      <status>unmodified</status>
      <modifiedWord/>
      <trackRevisions>false</trackRevisions>
    </reviewItem>
    <reviewItem>
      <errorID>a3cb9d50-a5c3-4529-b432-6cd94096c812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3B964AFB</paraID>
      <start>0</start>
      <end>2</end>
      <status>unmodified</status>
      <modifiedWord/>
      <trackRevisions>false</trackRevisions>
    </reviewItem>
    <reviewItem>
      <errorID>5fb77712-fa6c-4bc8-86e1-d2d1d237f491</errorID>
      <errorWord>双碳</errorWord>
      <group>L1_Political</group>
      <groupName>政治性问题</groupName>
      <ability>L2_Keyword</ability>
      <abilityName>固定表述</abilityName>
      <candidateList>
        <item>“双碳”</item>
      </candidateList>
      <explain>注意检查当前固定表述标点是否使用规范。</explain>
      <paraID>4E09D343</paraID>
      <start>27</start>
      <end>29</end>
      <status>unmodified</status>
      <modifiedWord/>
      <trackRevisions>false</trackRevisions>
    </reviewItem>
    <reviewItem>
      <errorID>b1fa7ea6-60d8-4e2f-adaa-7ce7cc515d01</errorID>
      <errorWord>双碳</errorWord>
      <group>L1_Political</group>
      <groupName>政治性问题</groupName>
      <ability>L2_Keyword</ability>
      <abilityName>固定表述</abilityName>
      <candidateList>
        <item>“双碳”</item>
      </candidateList>
      <explain>注意检查当前固定表述标点是否使用规范。</explain>
      <paraID>5522A1AE</paraID>
      <start>21</start>
      <end>23</end>
      <status>unmodified</status>
      <modifiedWord/>
      <trackRevisions>false</trackRevisions>
    </reviewItem>
    <reviewItem>
      <errorID>a3d98125-fe65-438c-b97f-82a981187410</errorID>
      <errorWord>满足危</errorWord>
      <group>L1_Word</group>
      <groupName>字词问题</groupName>
      <ability>L2_Typo</ability>
      <abilityName>字词错误</abilityName>
      <candidateList>
        <item>满足</item>
      </candidateList>
      <explain/>
      <paraID>26D74039</paraID>
      <start>90</start>
      <end>92</end>
      <status>modified</status>
      <modifiedWord>满足</modifiedWord>
      <trackRevisions>false</trackRevisions>
    </reviewItem>
    <reviewItem>
      <errorID>0d62b51a-1aa2-4825-83ba-432507e8a4dc</errorID>
      <errorWord>系统施</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63AB8605</paraID>
      <start>45</start>
      <end>47</end>
      <status>modified</status>
      <modifiedWord>系统</modifiedWord>
      <trackRevisions>false</trackRevisions>
    </reviewItem>
    <reviewItem>
      <errorID>b17fce10-2147-40fb-b2f0-c4a89637bf42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1C07019F</paraID>
      <start>0</start>
      <end>2</end>
      <status>unmodified</status>
      <modifiedWord/>
      <trackRevisions>false</trackRevisions>
    </reviewItem>
    <reviewItem>
      <errorID>416d59e2-be3d-49c1-b1ce-6c4b4f9f3b2a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44DF5315</paraID>
      <start>0</start>
      <end>2</end>
      <status>unmodified</status>
      <modifiedWord/>
      <trackRevisions>false</trackRevisions>
    </reviewItem>
    <reviewItem>
      <errorID>3ac5f9aa-9185-4886-9814-cf3378a68068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7FD7E2C3</paraID>
      <start>0</start>
      <end>2</end>
      <status>unmodified</status>
      <modifiedWord/>
      <trackRevisions>false</trackRevisions>
    </reviewItem>
    <reviewItem>
      <errorID>f31cf384-25e1-4970-a970-68469fee261e</errorID>
      <errorWord>70~72%</errorWord>
      <group>L1_Knowledge</group>
      <groupName>知识性问题</groupName>
      <ability>L2_Knowledge</ability>
      <abilityName>其他知识</abilityName>
      <candidateList>
        <item>70%～72%</item>
      </candidateList>
      <explain>1. “70~72%”中的单位“%”仅出现在后一个数字上，容易引起歧义；根据《现代汉语标点符号数字用法规范手册》，数字表示范围两边需要使用统一的格式。2. 根据标点国标 4.13 中的规则，数字、时间或地域连接符应使用（视觉上更长的）“—”或“～”。</explain>
      <paraID>45A464AA</paraID>
      <start>5</start>
      <end>11</end>
      <status>unmodified</status>
      <modifiedWord/>
      <trackRevisions>false</trackRevisions>
    </reviewItem>
    <reviewItem>
      <errorID>f9c1e894-0ab2-4ee2-804b-df9d3bc07ea3</errorID>
      <errorWord>8.2~8.9%</errorWord>
      <group>L1_Knowledge</group>
      <groupName>知识性问题</groupName>
      <ability>L2_Knowledge</ability>
      <abilityName>其他知识</abilityName>
      <candidateList>
        <item>8.2%～8.9%</item>
      </candidateList>
      <explain>1. “8.2~8.9%”中的单位“%”仅出现在后一个数字上，容易引起歧义；根据《现代汉语标点符号数字用法规范手册》，数字表示范围两边需要使用统一的格式。2. 根据标点国标 4.13 中的规则，数字、时间或地域连接符应使用（视觉上更长的）“—”或“～”。</explain>
      <paraID>45A464AA</paraID>
      <start>33</start>
      <end>41</end>
      <status>unmodified</status>
      <modifiedWord/>
      <trackRevisions>false</trackRevisions>
    </reviewItem>
    <reviewItem>
      <errorID>fac036c8-0f47-44c9-ae65-60ad7878d93e</errorID>
      <errorWord>38~48%</errorWord>
      <group>L1_Knowledge</group>
      <groupName>知识性问题</groupName>
      <ability>L2_Knowledge</ability>
      <abilityName>其他知识</abilityName>
      <candidateList>
        <item>38%～48%</item>
      </candidateList>
      <explain>1. “38~48%”中的单位“%”仅出现在后一个数字上，容易引起歧义；根据《现代汉语标点符号数字用法规范手册》，数字表示范围两边需要使用统一的格式。2. 根据标点国标 4.13 中的规则，数字、时间或地域连接符应使用（视觉上更长的）“—”或“～”。</explain>
      <paraID>20FE27F4</paraID>
      <start>19</start>
      <end>25</end>
      <status>unmodified</status>
      <modifiedWord/>
      <trackRevisions>false</trackRevisions>
    </reviewItem>
    <reviewItem>
      <errorID>0b1c17d6-b5e2-430a-90f1-1b726e486805</errorID>
      <errorWord>30~40%</errorWord>
      <group>L1_Knowledge</group>
      <groupName>知识性问题</groupName>
      <ability>L2_Knowledge</ability>
      <abilityName>其他知识</abilityName>
      <candidateList>
        <item>30%～40%</item>
      </candidateList>
      <explain>1. “30~40%”中的单位“%”仅出现在后一个数字上，容易引起歧义；根据《现代汉语标点符号数字用法规范手册》，数字表示范围两边需要使用统一的格式。2. 根据标点国标 4.13 中的规则，数字、时间或地域连接符应使用（视觉上更长的）“—”或“～”。</explain>
      <paraID>20FE27F4</paraID>
      <start>30</start>
      <end>36</end>
      <status>unmodified</status>
      <modifiedWord/>
      <trackRevisions>false</trackRevisions>
    </reviewItem>
    <reviewItem>
      <errorID>7208fd4e-91a7-4582-bc73-b6bfbe88c233</errorID>
      <errorWord>膜组</errorWord>
      <group>L1_Word</group>
      <groupName>字词问题</groupName>
      <ability>L2_Typo</ability>
      <abilityName>字词错误</abilityName>
      <candidateList>
        <item>模组</item>
      </candidateList>
      <explain/>
      <paraID>7147A87A</paraID>
      <start>0</start>
      <end>2</end>
      <status>unmodified</status>
      <modifiedWord/>
      <trackRevisions>false</trackRevisions>
    </reviewItem>
    <reviewItem>
      <errorID>29f8f686-21a3-463f-9208-2ed992ae9241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5A671476</paraID>
      <start>57</start>
      <end>58</end>
      <status>unmodified</status>
      <modifiedWord/>
      <trackRevisions>false</trackRevisions>
    </reviewItem>
    <reviewItem>
      <errorID>296667d1-a87e-49cf-a6f1-89f9dccbcf7b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643CCEB7</paraID>
      <start>0</start>
      <end>2</end>
      <status>unmodified</status>
      <modifiedWord/>
      <trackRevisions>false</trackRevisions>
    </reviewItem>
    <reviewItem>
      <errorID>527d0980-923b-4fa5-b8c5-284406f21aab</errorID>
      <errorWord>纯水</errorWord>
      <group>L1_Word</group>
      <groupName>字词问题</groupName>
      <ability>L2_Typo</ability>
      <abilityName>字词错误</abilityName>
      <candidateList>
        <item>清水</item>
      </candidateList>
      <explain/>
      <paraID>33D556DA</paraID>
      <start>17</start>
      <end>19</end>
      <status>unmodified</status>
      <modifiedWord/>
      <trackRevisions>false</trackRevisions>
    </reviewItem>
    <reviewItem>
      <errorID>092ca824-5fe7-458a-95e3-0b9d1a95f6ce</errorID>
      <errorWord>(</errorWord>
      <group>L1_Format</group>
      <groupName>格式问题</groupName>
      <ability>L2_HalfPunc_CN</ability>
      <abilityName>全半角问题</abilityName>
      <candidateList>
        <item>（</item>
      </candidateList>
      <explain>文本全半角错误。</explain>
      <paraID>4B30BC9E</paraID>
      <start>3</start>
      <end>4</end>
      <status>modified</status>
      <modifiedWord>（</modifiedWord>
      <trackRevisions>false</trackRevisions>
    </reviewItem>
    <reviewItem>
      <errorID>703d456f-9b85-4c2b-b163-e1937e103b57</errorID>
      <errorWord>)</errorWord>
      <group>L1_Format</group>
      <groupName>格式问题</groupName>
      <ability>L2_HalfPunc_CN</ability>
      <abilityName>全半角问题</abilityName>
      <candidateList>
        <item>）</item>
      </candidateList>
      <explain>文本全半角错误。</explain>
      <paraID>4B30BC9E</paraID>
      <start>7</start>
      <end>8</end>
      <status>modified</status>
      <modifiedWord>）</modifiedWord>
      <trackRevisions>false</trackRevisions>
    </reviewItem>
    <reviewItem>
      <errorID>e87a9345-f816-418d-8147-7cbafba59ef5</errorID>
      <errorWord>(</errorWord>
      <group>L1_Format</group>
      <groupName>格式问题</groupName>
      <ability>L2_HalfPunc_CN</ability>
      <abilityName>全半角问题</abilityName>
      <candidateList>
        <item>（</item>
      </candidateList>
      <explain>文本全半角错误。</explain>
      <paraID> 8F9FB85</paraID>
      <start>3</start>
      <end>4</end>
      <status>modified</status>
      <modifiedWord>（</modifiedWord>
      <trackRevisions>false</trackRevisions>
    </reviewItem>
    <reviewItem>
      <errorID>58e30c96-c7ec-4e2a-990b-bdbfcc99282b</errorID>
      <errorWord>)</errorWord>
      <group>L1_Format</group>
      <groupName>格式问题</groupName>
      <ability>L2_HalfPunc_CN</ability>
      <abilityName>全半角问题</abilityName>
      <candidateList>
        <item>）</item>
      </candidateList>
      <explain>文本全半角错误。</explain>
      <paraID> 8F9FB85</paraID>
      <start>7</start>
      <end>8</end>
      <status>modified</status>
      <modifiedWord>）</modifiedWord>
      <trackRevisions>false</trackRevisions>
    </reviewItem>
    <reviewItem>
      <errorID>62f3915f-1799-4746-a82c-28bc56ac7aa8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6CA35704</paraID>
      <start>0</start>
      <end>2</end>
      <status>unmodified</status>
      <modifiedWord/>
      <trackRevisions>false</trackRevisions>
    </reviewItem>
    <reviewItem>
      <errorID>3052d985-bca6-476e-803d-ea61ed9edea6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2BF52D</paraID>
      <start>0</start>
      <end>2</end>
      <status>unmodified</status>
      <modifiedWord/>
      <trackRevisions>false</trackRevisions>
    </reviewItem>
    <reviewItem>
      <errorID>6add20ec-d965-425f-b8d2-962fec0f8f1e</errorID>
      <errorWord>双碳</errorWord>
      <group>L1_Political</group>
      <groupName>政治性问题</groupName>
      <ability>L2_Keyword</ability>
      <abilityName>固定表述</abilityName>
      <candidateList>
        <item>“双碳”</item>
      </candidateList>
      <explain>注意检查当前固定表述标点是否使用规范。</explain>
      <paraID>4643E85B</paraID>
      <start>37</start>
      <end>39</end>
      <status>unmodified</status>
      <modifiedWord/>
      <trackRevisions>false</trackRevisions>
    </reviewItem>
    <reviewItem>
      <errorID>74f2ecf3-e09e-49da-b749-99690d52b4f1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536E9BBA</paraID>
      <start>0</start>
      <end>2</end>
      <status>unmodified</status>
      <modifiedWord/>
      <trackRevisions>false</trackRevisions>
    </reviewItem>
    <reviewItem>
      <errorID>90500950-63ff-4be5-9bab-cb2bc30c0dd0</errorID>
      <errorWord>双碳</errorWord>
      <group>L1_Political</group>
      <groupName>政治性问题</groupName>
      <ability>L2_Keyword</ability>
      <abilityName>固定表述</abilityName>
      <candidateList>
        <item>“双碳”</item>
      </candidateList>
      <explain>注意检查当前固定表述标点是否使用规范。</explain>
      <paraID>5784652A</paraID>
      <start>27</start>
      <end>29</end>
      <status>unmodified</status>
      <modifiedWord/>
      <trackRevisions>false</trackRevisions>
    </reviewItem>
    <reviewItem>
      <errorID>f0399fd9-18a0-46c0-a123-6ba9385fe86e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621BD0F6</paraID>
      <start>0</start>
      <end>2</end>
      <status>unmodified</status>
      <modifiedWord/>
      <trackRevisions>false</trackRevisions>
    </reviewItem>
    <reviewItem>
      <errorID>47a8ed41-ae5b-4e82-a655-e1710280b347</errorID>
      <errorWord>~</errorWord>
      <group>L1_Format</group>
      <groupName>格式问题</groupName>
      <ability>L2_HalfPunc_CN</ability>
      <abilityName>全半角问题</abilityName>
      <candidateList>
        <item>～</item>
      </candidateList>
      <explain>文本全半角错误。</explain>
      <paraID>  94BAFD</paraID>
      <start>29</start>
      <end>30</end>
      <status>unmodified</status>
      <modifiedWord/>
      <trackRevisions>false</trackRevisions>
    </reviewItem>
    <reviewItem>
      <errorID>f5e3c164-64eb-4fe2-878c-00aca0e96608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94BAFD</paraID>
      <start>102</start>
      <end>103</end>
      <status>unmodified</status>
      <modifiedWord/>
      <trackRevisions>false</trackRevisions>
    </reviewItem>
    <reviewItem>
      <errorID>a3e67081-397d-4e38-8b9e-186638a12471</errorID>
      <errorWord>杂志</errorWord>
      <group>L1_Word</group>
      <groupName>字词问题</groupName>
      <ability>L2_Typo</ability>
      <abilityName>字词错误</abilityName>
      <candidateList>
        <item>杂质</item>
      </candidateList>
      <explain/>
      <paraID>7ED914D6</paraID>
      <start>8</start>
      <end>10</end>
      <status>modified</status>
      <modifiedWord>杂质</modifiedWord>
      <trackRevisions>false</trackRevisions>
    </reviewItem>
    <reviewItem>
      <errorID>a85b0175-e1bd-4c6f-a4c6-79378374405b</errorID>
      <errorWord>盐份</errorWord>
      <group>L1_Word</group>
      <groupName>字词问题</groupName>
      <ability>L2_Variant</ability>
      <abilityName>异形词</abilityName>
      <candidateList>
        <item>盐分</item>
      </candidateList>
      <explain>词汇[盐份]的规范词形写作[盐分]。</explain>
      <paraID>16F8DF0B</paraID>
      <start>94</start>
      <end>96</end>
      <status>modified</status>
      <modifiedWord>盐分</modifiedWord>
      <trackRevisions>false</trackRevisions>
    </reviewItem>
    <reviewItem>
      <errorID>58af6be3-9988-44b6-8f4c-6ea91797c058</errorID>
      <errorWord>双碳</errorWord>
      <group>L1_Political</group>
      <groupName>政治性问题</groupName>
      <ability>L2_Keyword</ability>
      <abilityName>固定表述</abilityName>
      <candidateList>
        <item>“双碳”</item>
      </candidateList>
      <explain>注意检查当前固定表述标点是否使用规范。</explain>
      <paraID>50E6A1B3</paraID>
      <start>33</start>
      <end>35</end>
      <status>unmodified</status>
      <modifiedWord/>
      <trackRevisions>false</trackRevisions>
    </reviewItem>
    <reviewItem>
      <errorID>f48a15cb-efde-43bb-ae75-ba30b3483c9d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145754A3</paraID>
      <start>0</start>
      <end>2</end>
      <status>unmodified</status>
      <modifiedWord/>
      <trackRevisions>false</trackRevisions>
    </reviewItem>
    <reviewItem>
      <errorID>fa88750e-b0cd-4f80-80f0-e28079c25bd7</errorID>
      <errorWord>(</errorWord>
      <group>L1_Format</group>
      <groupName>格式问题</groupName>
      <ability>L2_HalfPunc_CN</ability>
      <abilityName>全半角问题</abilityName>
      <candidateList>
        <item>（</item>
      </candidateList>
      <explain>文本全半角错误。</explain>
      <paraID>6BC387D3</paraID>
      <start>37</start>
      <end>38</end>
      <status>modified</status>
      <modifiedWord>（</modifiedWord>
      <trackRevisions>false</trackRevisions>
    </reviewItem>
    <reviewItem>
      <errorID>feaf7f6f-df69-4562-96e1-6dacf768c3fe</errorID>
      <errorWord>)</errorWord>
      <group>L1_Format</group>
      <groupName>格式问题</groupName>
      <ability>L2_HalfPunc_CN</ability>
      <abilityName>全半角问题</abilityName>
      <candidateList>
        <item>）</item>
      </candidateList>
      <explain>文本全半角错误。</explain>
      <paraID>6BC387D3</paraID>
      <start>39</start>
      <end>40</end>
      <status>modified</status>
      <modifiedWord>）</modifiedWord>
      <trackRevisions>false</trackRevisions>
    </reviewItem>
    <reviewItem>
      <errorID>88e7d562-e7c5-4afa-a62d-eb4772d0b0ce</errorID>
      <errorWord>(</errorWord>
      <group>L1_Format</group>
      <groupName>格式问题</groupName>
      <ability>L2_HalfPunc_CN</ability>
      <abilityName>全半角问题</abilityName>
      <candidateList>
        <item>（</item>
      </candidateList>
      <explain>文本全半角错误。</explain>
      <paraID>6BC387D3</paraID>
      <start>46</start>
      <end>47</end>
      <status>modified</status>
      <modifiedWord>（</modifiedWord>
      <trackRevisions>false</trackRevisions>
    </reviewItem>
    <reviewItem>
      <errorID>5f430f53-552e-4f6b-a611-4c9ea7a27021</errorID>
      <errorWord>)</errorWord>
      <group>L1_Format</group>
      <groupName>格式问题</groupName>
      <ability>L2_HalfPunc_CN</ability>
      <abilityName>全半角问题</abilityName>
      <candidateList>
        <item>）</item>
      </candidateList>
      <explain>文本全半角错误。</explain>
      <paraID>6BC387D3</paraID>
      <start>48</start>
      <end>49</end>
      <status>modified</status>
      <modifiedWord>）</modifiedWord>
      <trackRevisions>false</trackRevisions>
    </reviewItem>
    <reviewItem>
      <errorID>255e05e2-2330-46cf-903e-4513023b5a54</errorID>
      <errorWord>(</errorWord>
      <group>L1_Format</group>
      <groupName>格式问题</groupName>
      <ability>L2_HalfPunc_CN</ability>
      <abilityName>全半角问题</abilityName>
      <candidateList>
        <item>（</item>
      </candidateList>
      <explain>文本全半角错误。</explain>
      <paraID>6BC387D3</paraID>
      <start>56</start>
      <end>57</end>
      <status>modified</status>
      <modifiedWord>（</modifiedWord>
      <trackRevisions>false</trackRevisions>
    </reviewItem>
    <reviewItem>
      <errorID>9caa77c9-d6fd-49d1-bab1-ab9e43941450</errorID>
      <errorWord>)</errorWord>
      <group>L1_Format</group>
      <groupName>格式问题</groupName>
      <ability>L2_HalfPunc_CN</ability>
      <abilityName>全半角问题</abilityName>
      <candidateList>
        <item>）</item>
      </candidateList>
      <explain>文本全半角错误。</explain>
      <paraID>6BC387D3</paraID>
      <start>61</start>
      <end>62</end>
      <status>modified</status>
      <modifiedWord>）</modifiedWord>
      <trackRevisions>false</trackRevisions>
    </reviewItem>
    <reviewItem>
      <errorID>7d325f3c-94d3-4d15-99f7-ecbebb671df4</errorID>
      <errorWord>(</errorWord>
      <group>L1_Format</group>
      <groupName>格式问题</groupName>
      <ability>L2_HalfPunc_CN</ability>
      <abilityName>全半角问题</abilityName>
      <candidateList>
        <item>（</item>
      </candidateList>
      <explain>文本全半角错误。</explain>
      <paraID>6BC387D3</paraID>
      <start>68</start>
      <end>69</end>
      <status>modified</status>
      <modifiedWord>（</modifiedWord>
      <trackRevisions>false</trackRevisions>
    </reviewItem>
    <reviewItem>
      <errorID>79ee2d78-4715-46c3-af89-3d1a1137eb2d</errorID>
      <errorWord>)</errorWord>
      <group>L1_Format</group>
      <groupName>格式问题</groupName>
      <ability>L2_HalfPunc_CN</ability>
      <abilityName>全半角问题</abilityName>
      <candidateList>
        <item>）</item>
      </candidateList>
      <explain>文本全半角错误。</explain>
      <paraID>6BC387D3</paraID>
      <start>73</start>
      <end>74</end>
      <status>modified</status>
      <modifiedWord>）</modifiedWord>
      <trackRevisions>false</trackRevisions>
    </reviewItem>
    <reviewItem>
      <errorID>ff014620-5473-4ced-b336-ed7555779b1a</errorID>
      <errorWord>(</errorWord>
      <group>L1_Format</group>
      <groupName>格式问题</groupName>
      <ability>L2_HalfPunc_CN</ability>
      <abilityName>全半角问题</abilityName>
      <candidateList>
        <item>（</item>
      </candidateList>
      <explain>文本全半角错误。</explain>
      <paraID>6BC387D3</paraID>
      <start>79</start>
      <end>80</end>
      <status>modified</status>
      <modifiedWord>（</modifiedWord>
      <trackRevisions>false</trackRevisions>
    </reviewItem>
    <reviewItem>
      <errorID>281b1f1b-93f0-4340-93ed-bac9d4729378</errorID>
      <errorWord>)</errorWord>
      <group>L1_Format</group>
      <groupName>格式问题</groupName>
      <ability>L2_HalfPunc_CN</ability>
      <abilityName>全半角问题</abilityName>
      <candidateList>
        <item>）</item>
      </candidateList>
      <explain>文本全半角错误。</explain>
      <paraID>6BC387D3</paraID>
      <start>84</start>
      <end>85</end>
      <status>modified</status>
      <modifiedWord>）</modifiedWord>
      <trackRevisions>false</trackRevisions>
    </reviewItem>
    <reviewItem>
      <errorID>8481bbf3-9cf0-4a7b-beed-b3e9c73d5009</errorID>
      <errorWord>(</errorWord>
      <group>L1_Format</group>
      <groupName>格式问题</groupName>
      <ability>L2_HalfPunc_CN</ability>
      <abilityName>全半角问题</abilityName>
      <candidateList>
        <item>（</item>
      </candidateList>
      <explain>文本全半角错误。</explain>
      <paraID>6BC387D3</paraID>
      <start>90</start>
      <end>91</end>
      <status>modified</status>
      <modifiedWord>（</modifiedWord>
      <trackRevisions>false</trackRevisions>
    </reviewItem>
    <reviewItem>
      <errorID>c2b4cac6-f571-460f-88ca-d0fd2d3e0af3</errorID>
      <errorWord>)</errorWord>
      <group>L1_Format</group>
      <groupName>格式问题</groupName>
      <ability>L2_HalfPunc_CN</ability>
      <abilityName>全半角问题</abilityName>
      <candidateList>
        <item>）</item>
      </candidateList>
      <explain>文本全半角错误。</explain>
      <paraID>6BC387D3</paraID>
      <start>95</start>
      <end>96</end>
      <status>modified</status>
      <modifiedWord>）</modifiedWord>
      <trackRevisions>false</trackRevisions>
    </reviewItem>
    <reviewItem>
      <errorID>a0aba385-df67-4c86-af02-2acf1817fea0</errorID>
      <errorWord>(</errorWord>
      <group>L1_Format</group>
      <groupName>格式问题</groupName>
      <ability>L2_HalfPunc_CN</ability>
      <abilityName>全半角问题</abilityName>
      <candidateList>
        <item>（</item>
      </candidateList>
      <explain>文本全半角错误。</explain>
      <paraID>6BC387D3</paraID>
      <start>98</start>
      <end>99</end>
      <status>modified</status>
      <modifiedWord>（</modifiedWord>
      <trackRevisions>false</trackRevisions>
    </reviewItem>
    <reviewItem>
      <errorID>222e7dd7-f21a-4144-9dcb-7cbb771b789d</errorID>
      <errorWord>)</errorWord>
      <group>L1_Format</group>
      <groupName>格式问题</groupName>
      <ability>L2_HalfPunc_CN</ability>
      <abilityName>全半角问题</abilityName>
      <candidateList>
        <item>）</item>
      </candidateList>
      <explain>文本全半角错误。</explain>
      <paraID>6BC387D3</paraID>
      <start>118</start>
      <end>119</end>
      <status>modified</status>
      <modifiedWord>）</modifiedWord>
      <trackRevisions>false</trackRevisions>
    </reviewItem>
    <reviewItem>
      <errorID>df82d1bc-4801-4422-9018-efecc2ea27fb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6B3B9B5B</paraID>
      <start>0</start>
      <end>2</end>
      <status>unmodified</status>
      <modifiedWord/>
      <trackRevisions>false</trackRevisions>
    </reviewItem>
    <reviewItem>
      <errorID>ae82db48-79b5-4a1e-9b32-1e475dee8669</errorID>
      <errorWord>～</errorWord>
      <group>L1_Format</group>
      <groupName>格式问题</groupName>
      <ability>L2_HalfPunc_CN</ability>
      <abilityName>全半角问题</abilityName>
      <candidateList>
        <item>~</item>
      </candidateList>
      <explain>文本全半角错误。</explain>
      <paraID>5420611D</paraID>
      <start>1</start>
      <end>2</end>
      <status>unmodified</status>
      <modifiedWord/>
      <trackRevisions>false</trackRevisions>
    </reviewItem>
    <reviewItem>
      <errorID>893ed3e7-341c-45df-936d-5e8030df14eb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9D78DE2</paraID>
      <start>0</start>
      <end>2</end>
      <status>unmodified</status>
      <modifiedWord/>
      <trackRevisions>false</trackRevisions>
    </reviewItem>
    <reviewItem>
      <errorID>0302e5e9-0a3d-4549-87f4-1844d73c51d6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1874DE16</paraID>
      <start>0</start>
      <end>2</end>
      <status>unmodified</status>
      <modifiedWord/>
      <trackRevisions>false</trackRevisions>
    </reviewItem>
    <reviewItem>
      <errorID>535f2be1-5855-4ac6-8c2e-84ad0cd12000</errorID>
      <errorWord>双碳</errorWord>
      <group>L1_Political</group>
      <groupName>政治性问题</groupName>
      <ability>L2_Keyword</ability>
      <abilityName>固定表述</abilityName>
      <candidateList>
        <item>“双碳”</item>
      </candidateList>
      <explain>注意检查当前固定表述标点是否使用规范。</explain>
      <paraID>149EA7D3</paraID>
      <start>27</start>
      <end>29</end>
      <status>unmodified</status>
      <modifiedWord/>
      <trackRevisions>false</trackRevisions>
    </reviewItem>
    <reviewItem>
      <errorID>b25ab043-8658-4b0c-bb24-c5c943fdfc08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64561B59</paraID>
      <start>0</start>
      <end>2</end>
      <status>unmodified</status>
      <modifiedWord/>
      <trackRevisions>false</trackRevisions>
    </reviewItem>
    <reviewItem>
      <errorID>dcc7feff-8e03-4cd2-a671-673c0a8fd9cf</errorID>
      <errorWord>双碳</errorWord>
      <group>L1_Political</group>
      <groupName>政治性问题</groupName>
      <ability>L2_Keyword</ability>
      <abilityName>固定表述</abilityName>
      <candidateList>
        <item>“双碳”</item>
      </candidateList>
      <explain>注意检查当前固定表述标点是否使用规范。</explain>
      <paraID>4AD242FA</paraID>
      <start>82</start>
      <end>84</end>
      <status>unmodified</status>
      <modifiedWord/>
      <trackRevisions>false</trackRevisions>
    </reviewItem>
    <reviewItem>
      <errorID>b83f5663-f273-4a87-a526-59241f71cb11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7B32ACD3</paraID>
      <start>0</start>
      <end>2</end>
      <status>unmodified</status>
      <modifiedWord/>
      <trackRevisions>false</trackRevisions>
    </reviewItem>
    <reviewItem>
      <errorID>93b624b0-908d-4d7b-841b-95a6f58c034b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A952BDE</paraID>
      <start>0</start>
      <end>2</end>
      <status>unmodified</status>
      <modifiedWord/>
      <trackRevisions>false</trackRevisions>
    </reviewItem>
    <reviewItem>
      <errorID>cd2d1b3f-7cbe-4259-9b59-468f685b225d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3A2BABA7</paraID>
      <start>0</start>
      <end>2</end>
      <status>unmodified</status>
      <modifiedWord/>
      <trackRevisions>false</trackRevisions>
    </reviewItem>
    <reviewItem>
      <errorID>116b7f68-1806-4db8-8ace-602a55071d2c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67E9582B</paraID>
      <start>0</start>
      <end>2</end>
      <status>unmodified</status>
      <modifiedWord/>
      <trackRevisions>false</trackRevisions>
    </reviewItem>
    <reviewItem>
      <errorID>7314cca7-14d8-4f0e-ba12-fed575e1a310</errorID>
      <errorWord>双碳</errorWord>
      <group>L1_Political</group>
      <groupName>政治性问题</groupName>
      <ability>L2_Keyword</ability>
      <abilityName>固定表述</abilityName>
      <candidateList>
        <item>“双碳”</item>
      </candidateList>
      <explain>注意检查当前固定表述标点是否使用规范。</explain>
      <paraID>59258DAE</paraID>
      <start>27</start>
      <end>29</end>
      <status>unmodified</status>
      <modifiedWord/>
      <trackRevisions>false</trackRevisions>
    </reviewItem>
    <reviewItem>
      <errorID>4a9fb1df-144b-4948-8685-981d05d23d8f</errorID>
      <errorWord>III类</errorWord>
      <group>L1_Knowledge</group>
      <groupName>知识性问题</groupName>
      <ability>L2_Knowledge</ability>
      <abilityName>其他知识</abilityName>
      <candidateList>
        <item>Ⅲ类</item>
      </candidateList>
      <explain>中文环境下罗马数字格式错误。</explain>
      <paraID>10944653</paraID>
      <start>12</start>
      <end>16</end>
      <status>unmodified</status>
      <modifiedWord/>
      <trackRevisions>false</trackRevisions>
    </reviewItem>
    <reviewItem>
      <errorID>847ff51d-1ceb-4c9b-9656-df44e8101d27</errorID>
      <errorWord>双碳</errorWord>
      <group>L1_Political</group>
      <groupName>政治性问题</groupName>
      <ability>L2_Keyword</ability>
      <abilityName>固定表述</abilityName>
      <candidateList>
        <item>“双碳”</item>
      </candidateList>
      <explain>注意检查当前固定表述标点是否使用规范。</explain>
      <paraID>4EE84D7F</paraID>
      <start>24</start>
      <end>26</end>
      <status>unmodified</status>
      <modifiedWord/>
      <trackRevisions>false</trackRevisions>
    </reviewItem>
    <reviewItem>
      <errorID>d4b69a42-9cff-4938-8d6a-68b6e5247128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47702206</paraID>
      <start>0</start>
      <end>2</end>
      <status>unmodified</status>
      <modifiedWord/>
      <trackRevisions>false</trackRevisions>
    </reviewItem>
    <reviewItem>
      <errorID>a03a9b73-7b0e-4d3f-a2fa-4429ec36781c</errorID>
      <errorWord>)</errorWord>
      <group>L1_Format</group>
      <groupName>格式问题</groupName>
      <ability>L2_HalfPunc_CN</ability>
      <abilityName>全半角问题</abilityName>
      <candidateList>
        <item>）</item>
      </candidateList>
      <explain>文本全半角错误。</explain>
      <paraID>164D012F</paraID>
      <start>28</start>
      <end>29</end>
      <status>modified</status>
      <modifiedWord>）</modifiedWord>
      <trackRevisions>false</trackRevisions>
    </reviewItem>
    <reviewItem>
      <errorID>65b0e682-283a-496f-a862-f6305f60788a</errorID>
      <errorWord>（</errorWord>
      <group>L1_Format</group>
      <groupName>格式问题</groupName>
      <ability>L2_HalfPunc_CN</ability>
      <abilityName>全半角问题</abilityName>
      <candidateList>
        <item>(</item>
      </candidateList>
      <explain>文本全半角错误。</explain>
      <paraID>558EA982</paraID>
      <start>0</start>
      <end>1</end>
      <status>modified</status>
      <modifiedWord>(</modifiedWord>
      <trackRevisions>false</trackRevisions>
    </reviewItem>
    <reviewItem>
      <errorID>f3597d65-c2ac-4109-a677-30ccce3bac80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473BA24A</paraID>
      <start>0</start>
      <end>2</end>
      <status>unmodified</status>
      <modifiedWord/>
      <trackRevisions>false</trackRevisions>
    </reviewItem>
    <reviewItem>
      <errorID>68bf0033-d062-4907-96c4-9840271f5391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5AF47C</paraID>
      <start>0</start>
      <end>2</end>
      <status>unmodified</status>
      <modifiedWord/>
      <trackRevisions>false</trackRevisions>
    </reviewItem>
    <reviewItem>
      <errorID>006fa58b-8ac9-487b-8488-839070d5892e</errorID>
      <errorWord>(</errorWord>
      <group>L1_Format</group>
      <groupName>格式问题</groupName>
      <ability>L2_HalfPunc_CN</ability>
      <abilityName>全半角问题</abilityName>
      <candidateList>
        <item>（</item>
      </candidateList>
      <explain>文本全半角错误。</explain>
      <paraID>648D8817</paraID>
      <start>41</start>
      <end>42</end>
      <status>modified</status>
      <modifiedWord>（</modifiedWord>
      <trackRevisions>false</trackRevisions>
    </reviewItem>
    <reviewItem>
      <errorID>1a370b11-224b-4dff-9f72-9c80ddf020a3</errorID>
      <errorWord>[2017]19号</errorWord>
      <group>L1_Knowledge</group>
      <groupName>知识性问题</groupName>
      <ability>L2_Knowledge</ability>
      <abilityName>其他知识</abilityName>
      <candidateList>
        <item>〔2017〕19号</item>
      </candidateList>
      <explain>发文字号格式错误。</explain>
      <paraID>648D8817</paraID>
      <start>45</start>
      <end>54</end>
      <status>unmodified</status>
      <modifiedWord/>
      <trackRevisions>false</trackRevisions>
    </reviewItem>
    <reviewItem>
      <errorID>c7b011b4-c1d2-40da-a85b-b00aa20de471</errorID>
      <errorWord>)</errorWord>
      <group>L1_Format</group>
      <groupName>格式问题</groupName>
      <ability>L2_HalfPunc_CN</ability>
      <abilityName>全半角问题</abilityName>
      <candidateList>
        <item>）</item>
      </candidateList>
      <explain>文本全半角错误。</explain>
      <paraID>648D8817</paraID>
      <start>54</start>
      <end>55</end>
      <status>modified</status>
      <modifiedWord>）</modifiedWord>
      <trackRevisions>false</trackRevisions>
    </reviewItem>
    <reviewItem>
      <errorID>6691ab71-0c96-419f-93d4-8098b6e1f6ef</errorID>
      <errorWord>(</errorWord>
      <group>L1_Format</group>
      <groupName>格式问题</groupName>
      <ability>L2_HalfPunc_CN</ability>
      <abilityName>全半角问题</abilityName>
      <candidateList>
        <item>（</item>
      </candidateList>
      <explain>文本全半角错误。</explain>
      <paraID>648D8817</paraID>
      <start>96</start>
      <end>97</end>
      <status>modified</status>
      <modifiedWord>（</modifiedWord>
      <trackRevisions>false</trackRevisions>
    </reviewItem>
    <reviewItem>
      <errorID>87588216-f1e6-4297-887a-075b36d2ddab</errorID>
      <errorWord>)</errorWord>
      <group>L1_Format</group>
      <groupName>格式问题</groupName>
      <ability>L2_HalfPunc_CN</ability>
      <abilityName>全半角问题</abilityName>
      <candidateList>
        <item>）</item>
      </candidateList>
      <explain>文本全半角错误。</explain>
      <paraID>648D8817</paraID>
      <start>98</start>
      <end>99</end>
      <status>modified</status>
      <modifiedWord>）</modifiedWord>
      <trackRevisions>false</trackRevisions>
    </reviewItem>
    <reviewItem>
      <errorID>9516769f-94e0-43c6-8c9b-f83638696185</errorID>
      <errorWord>(</errorWord>
      <group>L1_Format</group>
      <groupName>格式问题</groupName>
      <ability>L2_HalfPunc_CN</ability>
      <abilityName>全半角问题</abilityName>
      <candidateList>
        <item>（</item>
      </candidateList>
      <explain>文本全半角错误。</explain>
      <paraID>648D8817</paraID>
      <start>107</start>
      <end>108</end>
      <status>modified</status>
      <modifiedWord>（</modifiedWord>
      <trackRevisions>false</trackRevisions>
    </reviewItem>
    <reviewItem>
      <errorID>2c1eea5c-7475-4228-8b5b-4b19a4477af4</errorID>
      <errorWord>)</errorWord>
      <group>L1_Format</group>
      <groupName>格式问题</groupName>
      <ability>L2_HalfPunc_CN</ability>
      <abilityName>全半角问题</abilityName>
      <candidateList>
        <item>）</item>
      </candidateList>
      <explain>文本全半角错误。</explain>
      <paraID>648D8817</paraID>
      <start>112</start>
      <end>113</end>
      <status>modified</status>
      <modifiedWord>）</modifiedWord>
      <trackRevisions>false</trackRevisions>
    </reviewItem>
    <reviewItem>
      <errorID>b9cea2b7-edbd-467e-a6ba-97c5683f24b0</errorID>
      <errorWord>&lt;</errorWord>
      <group>L1_Format</group>
      <groupName>格式问题</groupName>
      <ability>L2_HalfPunc_CN</ability>
      <abilityName>全半角问题</abilityName>
      <candidateList>
        <item>〈</item>
      </candidateList>
      <explain>文本全半角错误。</explain>
      <paraID>23384A11</paraID>
      <start>15</start>
      <end>16</end>
      <status>unmodified</status>
      <modifiedWord/>
      <trackRevisions>false</trackRevisions>
    </reviewItem>
    <reviewItem>
      <errorID>02468d89-2375-4638-8a97-8a1fee1fc72e</errorID>
      <errorWord>&gt;的通知》</errorWord>
      <group>L1_Punc</group>
      <groupName>标点问题</groupName>
      <ability>L2_Punc_CN</ability>
      <abilityName>标点符号问题</abilityName>
      <candidateList>
        <item>〉的通知》</item>
      </candidateList>
      <explain/>
      <paraID>23384A11</paraID>
      <start>33</start>
      <end>38</end>
      <status>unmodified</status>
      <modifiedWord/>
      <trackRevisions>false</trackRevisions>
    </reviewItem>
    <reviewItem>
      <errorID>e19567e1-efec-494a-be64-939f4942c58e</errorID>
      <errorWord>(</errorWord>
      <group>L1_Format</group>
      <groupName>格式问题</groupName>
      <ability>L2_HalfPunc_CN</ability>
      <abilityName>全半角问题</abilityName>
      <candidateList>
        <item>（</item>
      </candidateList>
      <explain>文本全半角错误。</explain>
      <paraID>23384A11</paraID>
      <start>38</start>
      <end>39</end>
      <status>modified</status>
      <modifiedWord>（</modifiedWord>
      <trackRevisions>false</trackRevisions>
    </reviewItem>
    <reviewItem>
      <errorID>0762f6fa-fd69-4d82-9107-bfb0e2c55c23</errorID>
      <errorWord>)</errorWord>
      <group>L1_Format</group>
      <groupName>格式问题</groupName>
      <ability>L2_HalfPunc_CN</ability>
      <abilityName>全半角问题</abilityName>
      <candidateList>
        <item>）</item>
      </candidateList>
      <explain>文本全半角错误。</explain>
      <paraID>23384A11</paraID>
      <start>49</start>
      <end>50</end>
      <status>modified</status>
      <modifiedWord>）</modifiedWord>
      <trackRevisions>false</trackRevisions>
    </reviewItem>
    <reviewItem>
      <errorID>2430b366-0780-49a5-a65c-8ac5409ef9a9</errorID>
      <errorWord>&lt;</errorWord>
      <group>L1_Format</group>
      <groupName>格式问题</groupName>
      <ability>L2_HalfPunc_CN</ability>
      <abilityName>全半角问题</abilityName>
      <candidateList>
        <item>〈</item>
      </candidateList>
      <explain>文本全半角错误。</explain>
      <paraID>23384A11</paraID>
      <start>56</start>
      <end>57</end>
      <status>unmodified</status>
      <modifiedWord/>
      <trackRevisions>false</trackRevisions>
    </reviewItem>
    <reviewItem>
      <errorID>f76fcb5e-c922-497e-a625-c810328f832f</errorID>
      <errorWord>&gt;的通知》</errorWord>
      <group>L1_Punc</group>
      <groupName>标点问题</groupName>
      <ability>L2_Punc_CN</ability>
      <abilityName>标点符号问题</abilityName>
      <candidateList>
        <item>〉的通知》</item>
      </candidateList>
      <explain/>
      <paraID>23384A11</paraID>
      <start>68</start>
      <end>73</end>
      <status>unmodified</status>
      <modifiedWord/>
      <trackRevisions>false</trackRevisions>
    </reviewItem>
    <reviewItem>
      <errorID>8a91cef4-ebb5-4f04-a8ff-3706b5df0942</errorID>
      <errorWord>(</errorWord>
      <group>L1_Format</group>
      <groupName>格式问题</groupName>
      <ability>L2_HalfPunc_CN</ability>
      <abilityName>全半角问题</abilityName>
      <candidateList>
        <item>（</item>
      </candidateList>
      <explain>文本全半角错误。</explain>
      <paraID>23384A11</paraID>
      <start>73</start>
      <end>74</end>
      <status>modified</status>
      <modifiedWord>（</modifiedWord>
      <trackRevisions>false</trackRevisions>
    </reviewItem>
    <reviewItem>
      <errorID>d6c7e062-3cd5-48e4-b2db-82e71ecbd1e1</errorID>
      <errorWord>[2025]27号</errorWord>
      <group>L1_Knowledge</group>
      <groupName>知识性问题</groupName>
      <ability>L2_Knowledge</ability>
      <abilityName>其他知识</abilityName>
      <candidateList>
        <item>〔2025〕27号</item>
      </candidateList>
      <explain>发文字号格式错误。</explain>
      <paraID>23384A11</paraID>
      <start>77</start>
      <end>86</end>
      <status>unmodified</status>
      <modifiedWord/>
      <trackRevisions>false</trackRevisions>
    </reviewItem>
    <reviewItem>
      <errorID>7de46c19-4560-462b-a63d-5a48c3673d7c</errorID>
      <errorWord>)</errorWord>
      <group>L1_Format</group>
      <groupName>格式问题</groupName>
      <ability>L2_HalfPunc_CN</ability>
      <abilityName>全半角问题</abilityName>
      <candidateList>
        <item>）</item>
      </candidateList>
      <explain>文本全半角错误。</explain>
      <paraID>23384A11</paraID>
      <start>86</start>
      <end>87</end>
      <status>modified</status>
      <modifiedWord>）</modifiedWord>
      <trackRevisions>false</trackRevisions>
    </reviewItem>
    <reviewItem>
      <errorID>b6c04be5-ac43-45a2-b8f7-adca0f525637</errorID>
      <errorWord>双碳</errorWord>
      <group>L1_Political</group>
      <groupName>政治性问题</groupName>
      <ability>L2_Keyword</ability>
      <abilityName>固定表述</abilityName>
      <candidateList>
        <item>“双碳”</item>
      </candidateList>
      <explain>注意检查当前固定表述标点是否使用规范。</explain>
      <paraID>780C2860</paraID>
      <start>27</start>
      <end>29</end>
      <status>unmodified</status>
      <modifiedWord/>
      <trackRevisions>false</trackRevisions>
    </reviewItem>
    <reviewItem>
      <errorID>4e1965ee-e882-42ff-86ed-626d08ed6664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687A0B5A</paraID>
      <start>0</start>
      <end>2</end>
      <status>unmodified</status>
      <modifiedWord/>
      <trackRevisions>false</trackRevisions>
    </reviewItem>
    <reviewItem>
      <errorID>0523d38a-f108-423a-beb7-82b2fe1a1fe0</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5F9448DD</paraID>
      <start>73</start>
      <end>78</end>
      <status>unmodified</status>
      <modifiedWord/>
      <trackRevisions>false</trackRevisions>
    </reviewItem>
    <reviewItem>
      <errorID>513ef13f-5e62-49d1-aa52-da4a587fec48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2A545F63</paraID>
      <start>73</start>
      <end>74</end>
      <status>unmodified</status>
      <modifiedWord/>
      <trackRevisions>false</trackRevisions>
    </reviewItem>
    <reviewItem>
      <errorID>7515a172-8c1f-40ed-9958-ea1bf8665e9b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3F52E6C4</paraID>
      <start>0</start>
      <end>2</end>
      <status>unmodified</status>
      <modifiedWord/>
      <trackRevisions>false</trackRevisions>
    </reviewItem>
    <reviewItem>
      <errorID>bb30c34e-e194-415e-a7c9-fbe2d1e614cb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6D306C6F</paraID>
      <start>0</start>
      <end>3</end>
      <status>unmodified</status>
      <modifiedWord/>
      <trackRevisions>false</trackRevisions>
    </reviewItem>
    <reviewItem>
      <errorID>c3216ceb-ec34-480c-b72a-92687f8d21fe</errorID>
      <errorWord>)</errorWord>
      <group>L1_Format</group>
      <groupName>格式问题</groupName>
      <ability>L2_HalfPunc_CN</ability>
      <abilityName>全半角问题</abilityName>
      <candidateList>
        <item>）</item>
      </candidateList>
      <explain>文本全半角错误。</explain>
      <paraID>348D74A5</paraID>
      <start>29</start>
      <end>30</end>
      <status>modified</status>
      <modifiedWord>）</modifiedWord>
      <trackRevisions>false</trackRevisions>
    </reviewItem>
    <reviewItem>
      <errorID>12786921-a282-467b-83ac-bf9d2a05a80b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192EDFCC</paraID>
      <start>0</start>
      <end>2</end>
      <status>unmodified</status>
      <modifiedWord/>
      <trackRevisions>false</trackRevisions>
    </reviewItem>
    <reviewItem>
      <errorID>438542a1-0f71-4c50-9da6-72891614fdb6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61DABE14</paraID>
      <start>0</start>
      <end>2</end>
      <status>unmodified</status>
      <modifiedWord/>
      <trackRevisions>false</trackRevisions>
    </reviewItem>
    <reviewItem>
      <errorID>da3efd52-9687-401d-99b0-91f859c55103</errorID>
      <errorWord>双碳</errorWord>
      <group>L1_Political</group>
      <groupName>政治性问题</groupName>
      <ability>L2_Keyword</ability>
      <abilityName>固定表述</abilityName>
      <candidateList>
        <item>“双碳”</item>
      </candidateList>
      <explain>注意检查当前固定表述标点是否使用规范。</explain>
      <paraID>  4FCEBF</paraID>
      <start>26</start>
      <end>28</end>
      <status>unmodified</status>
      <modifiedWord/>
      <trackRevisions>false</trackRevisions>
    </reviewItem>
    <reviewItem>
      <errorID>88d041c1-30a6-495d-9cb6-d0c3a1a3ea7f</errorID>
      <errorWord>污水厂</errorWord>
      <group>L1_Word</group>
      <groupName>字词问题</groupName>
      <ability>L2_Typo</ability>
      <abilityName>字词错误</abilityName>
      <candidateList>
        <item>污水处理厂</item>
      </candidateList>
      <explain/>
      <paraID>34EBBA38</paraID>
      <start>172</start>
      <end>177</end>
      <status>modified</status>
      <modifiedWord>污水处理厂</modifiedWord>
      <trackRevisions>false</trackRevisions>
    </reviewItem>
    <reviewItem>
      <errorID>b884d0e4-7676-4492-b17f-dfad883198ed</errorID>
      <errorWord>双碳</errorWord>
      <group>L1_Political</group>
      <groupName>政治性问题</groupName>
      <ability>L2_Keyword</ability>
      <abilityName>固定表述</abilityName>
      <candidateList>
        <item>“双碳”</item>
      </candidateList>
      <explain>注意检查当前固定表述标点是否使用规范。</explain>
      <paraID>5C51C20D</paraID>
      <start>27</start>
      <end>29</end>
      <status>unmodified</status>
      <modifiedWord/>
      <trackRevisions>false</trackRevisions>
    </reviewItem>
    <reviewItem>
      <errorID>3778f41f-5728-47b3-abc1-227b9b2a7230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4BFCB1A1</paraID>
      <start>0</start>
      <end>2</end>
      <status>unmodified</status>
      <modifiedWord/>
      <trackRevisions>false</trackRevisions>
    </reviewItem>
    <reviewItem>
      <errorID>a92ab80d-7855-4991-92fe-38f05b526173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3299BC79</paraID>
      <start>0</start>
      <end>2</end>
      <status>unmodified</status>
      <modifiedWord/>
      <trackRevisions>false</trackRevisions>
    </reviewItem>
    <reviewItem>
      <errorID>cc5412e2-68e8-442c-ad07-7abdec5926c2</errorID>
      <errorWord>）</errorWord>
      <group>L1_Format</group>
      <groupName>格式问题</groupName>
      <ability>L2_HalfPunc_CN</ability>
      <abilityName>全半角问题</abilityName>
      <candidateList>
        <item>)</item>
      </candidateList>
      <explain>文本全半角错误。</explain>
      <paraID>67D0EC40</paraID>
      <start>33</start>
      <end>34</end>
      <status>modified</status>
      <modifiedWord>)</modifiedWord>
      <trackRevisions>false</trackRevisions>
    </reviewItem>
    <reviewItem>
      <errorID>14c6ec34-8d81-4223-a379-93677900559a</errorID>
      <errorWord>）</errorWord>
      <group>L1_Format</group>
      <groupName>格式问题</groupName>
      <ability>L2_HalfPunc_CN</ability>
      <abilityName>全半角问题</abilityName>
      <candidateList>
        <item>)</item>
      </candidateList>
      <explain>文本全半角错误。</explain>
      <paraID>7743BB3E</paraID>
      <start>23</start>
      <end>24</end>
      <status>modified</status>
      <modifiedWord>)</modifiedWord>
      <trackRevisions>false</trackRevisions>
    </reviewItem>
    <reviewItem>
      <errorID>407fe46a-3527-48ab-a833-75101ac19103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7BC7B895</paraID>
      <start>0</start>
      <end>2</end>
      <status>unmodified</status>
      <modifiedWord/>
      <trackRevisions>false</trackRevisions>
    </reviewItem>
    <reviewItem>
      <errorID>948fff6e-08d4-44e4-bd25-2b5b2882872c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680D1694</paraID>
      <start>0</start>
      <end>2</end>
      <status>unmodified</status>
      <modifiedWord/>
      <trackRevisions>false</trackRevisions>
    </reviewItem>
    <reviewItem>
      <errorID>3af63bba-0bfc-40e0-8d7d-2fdf44bb2cfc</errorID>
      <errorWord>~</errorWord>
      <group>L1_Format</group>
      <groupName>格式问题</groupName>
      <ability>L2_HalfPunc_CN</ability>
      <abilityName>全半角问题</abilityName>
      <candidateList>
        <item>～</item>
      </candidateList>
      <explain>文本全半角错误。</explain>
      <paraID> F0543CD</paraID>
      <start>139</start>
      <end>140</end>
      <status>unmodified</status>
      <modifiedWord/>
      <trackRevisions>false</trackRevisions>
    </reviewItem>
    <reviewItem>
      <errorID>2722ee2b-0edc-4faa-a5d7-8b1c9a90e0ee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60913DB</paraID>
      <start>0</start>
      <end>2</end>
      <status>unmodified</status>
      <modifiedWord/>
      <trackRevisions>false</trackRevisions>
    </reviewItem>
    <reviewItem>
      <errorID>8ae21a48-8c6c-4756-9ec3-b2923e6588ab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40D3E5F5</paraID>
      <start>0</start>
      <end>2</end>
      <status>unmodified</status>
      <modifiedWord/>
      <trackRevisions>false</trackRevisions>
    </reviewItem>
    <reviewItem>
      <errorID>bdf8f834-cba9-4b1e-853e-955a71b3034e</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7A3CFE75</paraID>
      <start>0</start>
      <end>2</end>
      <status>unmodified</status>
      <modifiedWord/>
      <trackRevisions>false</trackRevisions>
    </reviewItem>
    <reviewItem>
      <errorID>cdb19847-52aa-4f90-8f61-502a4e5d6186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7A3CFE75</paraID>
      <start>90</start>
      <end>91</end>
      <status>unmodified</status>
      <modifiedWord/>
      <trackRevisions>false</trackRevisions>
    </reviewItem>
    <reviewItem>
      <errorID>df46b46a-d475-40c9-b2c4-262f7b479090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7A3CFE75</paraID>
      <start>140</start>
      <end>141</end>
      <status>unmodified</status>
      <modifiedWord/>
      <trackRevisions>false</trackRevisions>
    </reviewItem>
    <reviewItem>
      <errorID>6ace93b4-d11a-4790-a0d3-8e6aa9e9339c</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598EBF0E</paraID>
      <start>0</start>
      <end>2</end>
      <status>unmodified</status>
      <modifiedWord/>
      <trackRevisions>false</trackRevisions>
    </reviewItem>
    <reviewItem>
      <errorID>b1ac90e4-8569-470b-85de-aca0b6c09d50</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6525ACE7</paraID>
      <start>0</start>
      <end>2</end>
      <status>unmodified</status>
      <modifiedWord/>
      <trackRevisions>false</trackRevisions>
    </reviewItem>
    <reviewItem>
      <errorID>566892ee-44f4-4bce-ad05-8dc646c708b9</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2E719A8A</paraID>
      <start>0</start>
      <end>2</end>
      <status>unmodified</status>
      <modifiedWord/>
      <trackRevisions>false</trackRevisions>
    </reviewItem>
    <reviewItem>
      <errorID>3750d1e6-4244-432f-b170-98fa4eb53d30</errorID>
      <errorWord>管理办法》中</errorWord>
      <group>L1_Word</group>
      <groupName>字词问题</groupName>
      <ability>L2_Typo</ability>
      <abilityName>字词错误</abilityName>
      <candidateList>
        <item>管理办法》</item>
      </candidateList>
      <explain/>
      <paraID>730604D2</paraID>
      <start>70</start>
      <end>76</end>
      <status>unmodified</status>
      <modifiedWord/>
      <trackRevisions>false</trackRevisions>
    </reviewItem>
    <reviewItem>
      <errorID>317fdbcb-cf41-4fd4-ba39-2596031cc117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2628A0E7</paraID>
      <start>0</start>
      <end>2</end>
      <status>unmodified</status>
      <modifiedWord/>
      <trackRevisions>false</trackRevisions>
    </reviewItem>
    <reviewItem>
      <errorID>d16fa08e-64ec-4de3-9b11-0bd8a764fb73</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 2C19912</paraID>
      <start>208</start>
      <end>212</end>
      <status>unmodified</status>
      <modifiedWord/>
      <trackRevisions>false</trackRevisions>
    </reviewItem>
    <reviewItem>
      <errorID>066b74b8-5386-4055-aa96-b5191ae1a827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21F67519</paraID>
      <start>65</start>
      <end>66</end>
      <status>unmodified</status>
      <modifiedWord/>
      <trackRevisions>false</trackRevisions>
    </reviewItem>
    <reviewItem>
      <errorID>31dbe1ba-d4b0-4fe3-af5f-1f644ae1aade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21F67519</paraID>
      <start>107</start>
      <end>108</end>
      <status>unmodified</status>
      <modifiedWord/>
      <trackRevisions>false</trackRevisions>
    </reviewItem>
    <reviewItem>
      <errorID>fa712d8b-e756-401b-8827-2006ae79f402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14A53B47</paraID>
      <start>0</start>
      <end>2</end>
      <status>unmodified</status>
      <modifiedWord/>
      <trackRevisions>false</trackRevisions>
    </reviewItem>
    <reviewItem>
      <errorID>5b56dfa5-0465-4a23-acd1-0d9d3e81c4fa</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16AB7DE1</paraID>
      <start>0</start>
      <end>2</end>
      <status>unmodified</status>
      <modifiedWord/>
      <trackRevisions>false</trackRevisions>
    </reviewItem>
    <reviewItem>
      <errorID>debc29ca-47e3-4309-a467-78f67da5ba40</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237889DA</paraID>
      <start>0</start>
      <end>2</end>
      <status>unmodified</status>
      <modifiedWord/>
      <trackRevisions>false</trackRevisions>
    </reviewItem>
    <reviewItem>
      <errorID>a0cc5135-8791-40e4-84ce-b2161a6ebb81</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6BA23F3B</paraID>
      <start>0</start>
      <end>2</end>
      <status>unmodified</status>
      <modifiedWord/>
      <trackRevisions>false</trackRevisions>
    </reviewItem>
    <reviewItem>
      <errorID>46400d83-000c-4855-927f-9325589e76ec</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58DA9982</paraID>
      <start>0</start>
      <end>2</end>
      <status>unmodified</status>
      <modifiedWord/>
      <trackRevisions>false</trackRevisions>
    </reviewItem>
    <reviewItem>
      <errorID>b420fbd4-07d0-4409-aab7-eac067773aec</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452F9C6A</paraID>
      <start>0</start>
      <end>2</end>
      <status>unmodified</status>
      <modifiedWord/>
      <trackRevisions>false</trackRevisions>
    </reviewItem>
    <reviewItem>
      <errorID>79b8d890-b269-44c9-9bda-931cf11040fe</errorID>
      <errorWord>程</errorWord>
      <group>L1_Word</group>
      <groupName>字词问题</groupName>
      <ability>L2_Typo</ability>
      <abilityName>字词错误</abilityName>
      <candidateList>
        <item>程中</item>
      </candidateList>
      <explain/>
      <paraID>452F9C6A</paraID>
      <start>17</start>
      <end>18</end>
      <status>unmodified</status>
      <modifiedWord/>
      <trackRevisions>false</trackRevisions>
    </reviewItem>
    <reviewItem>
      <errorID>b5719c2f-e3bd-4782-84fd-5a851119387c</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9E02A7D</paraID>
      <start>0</start>
      <end>2</end>
      <status>unmodified</status>
      <modifiedWord/>
      <trackRevisions>false</trackRevisions>
    </reviewItem>
    <reviewItem>
      <errorID>cc72fba8-3625-4c8c-9511-3983ba5ebcb4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EFC331E</paraID>
      <start>0</start>
      <end>2</end>
      <status>unmodified</status>
      <modifiedWord/>
      <trackRevisions>false</trackRevisions>
    </reviewItem>
    <reviewItem>
      <errorID>c8902f45-78da-4b0e-9cd6-38786d998184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16E68A0E</paraID>
      <start>0</start>
      <end>2</end>
      <status>unmodified</status>
      <modifiedWord/>
      <trackRevisions>false</trackRevisions>
    </reviewItem>
    <reviewItem>
      <errorID>931000ad-dbe3-424f-b16c-e38c406b6fe0</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562A3C1E</paraID>
      <start>0</start>
      <end>2</end>
      <status>unmodified</status>
      <modifiedWord/>
      <trackRevisions>false</trackRevisions>
    </reviewItem>
    <reviewItem>
      <errorID>ce06ab7e-5359-4fb7-a9ca-cd8c0b98a93d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4E4A10AF</paraID>
      <start>0</start>
      <end>2</end>
      <status>unmodified</status>
      <modifiedWord/>
      <trackRevisions>false</trackRevisions>
    </reviewItem>
    <reviewItem>
      <errorID>55d651bc-0c95-470b-83a6-cf2bf9fb8c3e</errorID>
      <errorWord>)</errorWord>
      <group>L1_Format</group>
      <groupName>格式问题</groupName>
      <ability>L2_HalfPunc_CN</ability>
      <abilityName>全半角问题</abilityName>
      <candidateList>
        <item>）</item>
      </candidateList>
      <explain>文本全半角错误。</explain>
      <paraID> 4FEBE7B</paraID>
      <start>29</start>
      <end>30</end>
      <status>modified</status>
      <modifiedWord>）</modifiedWord>
      <trackRevisions>false</trackRevisions>
    </reviewItem>
    <reviewItem>
      <errorID>52e98b20-f44a-49e0-bac4-20492e20836f</errorID>
      <errorWord>（</errorWord>
      <group>L1_Format</group>
      <groupName>格式问题</groupName>
      <ability>L2_HalfPunc_CN</ability>
      <abilityName>全半角问题</abilityName>
      <candidateList>
        <item>(</item>
      </candidateList>
      <explain>文本全半角错误。</explain>
      <paraID>6A48157D</paraID>
      <start>0</start>
      <end>1</end>
      <status>modified</status>
      <modifiedWord>(</modifiedWord>
      <trackRevisions>false</trackRevisions>
    </reviewItem>
    <reviewItem>
      <errorID>d7453f1b-8919-4e86-8821-8bf1825fe70c</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6151C16E</paraID>
      <start>183</start>
      <end>187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a1dc4e-11cc-4e8b-acbe-614f2938a456}">
  <ds:schemaRefs/>
</ds:datastoreItem>
</file>

<file path=docProps/app.xml><?xml version="1.0" encoding="utf-8"?>
<Properties xmlns="http://schemas.openxmlformats.org/officeDocument/2006/extended-properties" xmlns:vt="http://schemas.openxmlformats.org/officeDocument/2006/docPropsVTypes">
  <Template>Normal</Template>
  <Pages>82</Pages>
  <Words>48</Words>
  <Characters>71</Characters>
  <Lines>280</Lines>
  <Paragraphs>79</Paragraphs>
  <TotalTime>36</TotalTime>
  <ScaleCrop>false</ScaleCrop>
  <LinksUpToDate>false</LinksUpToDate>
  <CharactersWithSpaces>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2025-02-18T01:55:00Z</dcterms:created>
  <dc:creator>L</dc:creator>
  <cp:lastModifiedBy>qzuser</cp:lastModifiedBy>
  <cp:lastPrinted>2023-01-10T02:03:00Z</cp:lastPrinted>
  <dcterms:modified xsi:type="dcterms:W3CDTF">2026-07-13T09:10:06Z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4C24ECB562014E16BB1D46E7C619D32C_13</vt:lpwstr>
  </property>
  <property fmtid="{D5CDD505-2E9C-101B-9397-08002B2CF9AE}" pid="4" name="KSOTemplateDocerSaveRecord">
    <vt:lpwstr>eyJoZGlkIjoiYjk4MTdlNWRmMDY1YmUzMzBkNjM5MTYwYTA5NDliYmQiLCJ1c2VySWQiOiIzMDkxMDk3NTcifQ==</vt:lpwstr>
  </property>
</Properties>
</file>