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5D732">
      <w:pPr>
        <w:spacing w:line="1400" w:lineRule="exact"/>
        <w:jc w:val="distribute"/>
        <w:rPr>
          <w:rFonts w:hint="eastAsia" w:eastAsia="方正大标宋简体"/>
          <w:b/>
          <w:color w:val="FF0000"/>
          <w:spacing w:val="-48"/>
          <w:w w:val="40"/>
          <w:sz w:val="120"/>
          <w:szCs w:val="120"/>
        </w:rPr>
      </w:pPr>
    </w:p>
    <w:p w14:paraId="4C1DFEA0">
      <w:pPr>
        <w:spacing w:line="1400" w:lineRule="exact"/>
        <w:jc w:val="distribute"/>
        <w:rPr>
          <w:rFonts w:hint="eastAsia" w:eastAsia="方正大标宋简体"/>
          <w:color w:val="FF0000"/>
          <w:spacing w:val="20"/>
          <w:w w:val="40"/>
          <w:position w:val="-10"/>
          <w:sz w:val="150"/>
          <w:szCs w:val="150"/>
          <w:lang w:eastAsia="zh-CN"/>
        </w:rPr>
      </w:pPr>
      <w:r>
        <w:rPr>
          <w:rFonts w:eastAsia="方正大标宋简体"/>
          <w:color w:val="FF0000"/>
          <w:spacing w:val="-48"/>
          <w:w w:val="40"/>
          <w:position w:val="-10"/>
          <w:sz w:val="150"/>
          <w:szCs w:val="150"/>
        </w:rPr>
        <w:t>凤台县</w:t>
      </w:r>
      <w:r>
        <w:rPr>
          <w:rFonts w:hint="eastAsia" w:eastAsia="方正大标宋简体"/>
          <w:color w:val="FF0000"/>
          <w:spacing w:val="-48"/>
          <w:w w:val="40"/>
          <w:position w:val="-10"/>
          <w:sz w:val="150"/>
          <w:szCs w:val="150"/>
          <w:lang w:eastAsia="zh-CN"/>
        </w:rPr>
        <w:t>地震局文件</w:t>
      </w:r>
    </w:p>
    <w:p w14:paraId="44FB4467">
      <w:pPr>
        <w:jc w:val="distribute"/>
        <w:rPr>
          <w:rFonts w:hint="eastAsia" w:eastAsia="方正大标宋简体"/>
          <w:color w:val="FF0000"/>
          <w:spacing w:val="20"/>
          <w:w w:val="40"/>
          <w:sz w:val="20"/>
          <w:szCs w:val="20"/>
        </w:rPr>
      </w:pPr>
    </w:p>
    <w:p w14:paraId="10FF7B9B"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B5C8FD4"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37CA08A"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145415</wp:posOffset>
                </wp:positionV>
                <wp:extent cx="5539740" cy="3175"/>
                <wp:effectExtent l="0" t="0" r="0" b="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39740" cy="317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flip:y;margin-left:-1.5pt;margin-top:11.45pt;height:0.25pt;width:436.2pt;z-index:251659264;mso-width-relative:page;mso-height-relative:page;" filled="f" stroked="t" coordsize="21600,21600" o:gfxdata="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9nqRTZAAAACAEAAA8AAAAAAAAAAQAgAAAAIgAAAGRycy9kb3du&#10;cmV2LnhtbFBLAQIUABQAAAAIAIdO4kBfnQt4/gEAAPEDAAAOAAAAAAAAAAEAIAAAACgBAABkcnMv&#10;ZTJvRG9jLnhtbFBLBQYAAAAABgAGAFkBAACYBQAAAAA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4E062FF7"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EDBBB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2"/>
          <w:sz w:val="44"/>
          <w:szCs w:val="44"/>
          <w:lang w:val="en-US" w:eastAsia="zh-CN" w:bidi="ar-SA"/>
        </w:rPr>
        <w:t>凤台县地震局202</w:t>
      </w:r>
      <w:r>
        <w:rPr>
          <w:rFonts w:hint="eastAsia" w:ascii="宋体" w:hAnsi="宋体" w:cs="宋体"/>
          <w:b/>
          <w:i w:val="0"/>
          <w:caps w:val="0"/>
          <w:color w:val="000000"/>
          <w:spacing w:val="0"/>
          <w:kern w:val="2"/>
          <w:sz w:val="44"/>
          <w:szCs w:val="44"/>
          <w:lang w:val="en-US" w:eastAsia="zh-CN" w:bidi="ar-SA"/>
        </w:rPr>
        <w:t>5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2"/>
          <w:sz w:val="44"/>
          <w:szCs w:val="44"/>
          <w:lang w:val="en-US" w:eastAsia="zh-CN" w:bidi="ar-SA"/>
        </w:rPr>
        <w:t>年度行政事业性国有</w:t>
      </w:r>
    </w:p>
    <w:p w14:paraId="43D9C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2"/>
          <w:sz w:val="44"/>
          <w:szCs w:val="44"/>
          <w:lang w:val="en-US" w:eastAsia="zh-CN" w:bidi="ar-SA"/>
        </w:rPr>
        <w:t>资产分析报告</w:t>
      </w:r>
    </w:p>
    <w:p w14:paraId="6EB2D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7F64774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为适应向全国人大常委会报告国有资产管理情况工作的要求，根据《行政单位国有资产管理暂行办法》（财政部令第35号）、《事业单位国有资产管理暂行办法》（财政部令第36号）和《行政事业单位国有资产报告制度》等有关规定，现对我单位本年度资产总体、配置、使用、处置以及收益情况等分析报告如下：</w:t>
      </w:r>
    </w:p>
    <w:p w14:paraId="686A080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一、单位基本情况</w:t>
      </w:r>
    </w:p>
    <w:p w14:paraId="521A888B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截至2025年12月31日，我单位编制人数6人，较上年度增加0人，年末实有人数4人，较上年度增加0人。</w:t>
      </w:r>
    </w:p>
    <w:p w14:paraId="7E1E38B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二、行政事业单位国有资产基本情况</w:t>
      </w:r>
    </w:p>
    <w:p w14:paraId="0982204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（一）资产总体情况</w:t>
      </w:r>
    </w:p>
    <w:p w14:paraId="0DFA3383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截至2025年12月31日，我单位资产总额（账面净值，下同）20.45万元，较上年增长-27.71%。负债总额0.12万元,较上年增长-60.10%。净资产20.33万元,较上年增长-27.37%。</w:t>
      </w:r>
    </w:p>
    <w:p w14:paraId="2141F7B0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1.资产分布情况。</w:t>
      </w:r>
    </w:p>
    <w:p w14:paraId="503BC733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行政单位国有资产20.45万元，占100.00%；事业单位国有资产0.00万元，占0.00%。</w:t>
      </w:r>
    </w:p>
    <w:p w14:paraId="0210BD98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2.资产构成情况。</w:t>
      </w:r>
    </w:p>
    <w:p w14:paraId="73011994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流动资产0.75万元，较上年增长-19.43%，占资产总额3.67%；固定资产19.70万元，较上年增长-28.00%, 占资产总额96.33%；在建工程0.00万元，较上年增长0.00%，占资产总额0.00%；长期投资0.00万元，占资产总额0.00%；无形资产0.00万元，较上年增长0.00%，占资产总额0.00%；公共基础设施0.00万元，占资产总额0.00%；政府储备物资0.00万元，占资产总额0.00%；文物资源0.00万元，占资产总额0.00%；保障性住房0.00万元，占资产总额0.00%；其他资产0.00万元，占资产总额0.00%。</w:t>
      </w:r>
    </w:p>
    <w:p w14:paraId="370CB6FC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3.固定资产构成情况。</w:t>
      </w:r>
    </w:p>
    <w:p w14:paraId="36E01E7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房屋和构筑物1.05万元，占固定资产的5.32%（其中，房屋1.05万元，占固定资产的5.32%）；设备18.10万元，占91.89%（其中，车辆0.00万元，占0.00%，单价100万（含）以上（不含车辆）设备0.00万元，占0.00%）；陈列品0.00万元，占0.00%；图书和档案0.00万元，占0.00%；家具和用具0.55万元，占2.79%；特种动植物0.00万元，占0.00%。    </w:t>
      </w:r>
    </w:p>
    <w:p w14:paraId="610B89F1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（二）具体管理情况</w:t>
      </w:r>
    </w:p>
    <w:p w14:paraId="5D29D06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1.资产配置情况</w:t>
      </w:r>
    </w:p>
    <w:p w14:paraId="4B1BA26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2025年度，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配置固定资产0.00万元（账面原值，下同）。从资产类别分析，配置房屋和构筑物0.00万元，占0.00%；配置设备0.00万元，占0.00%；配置陈列品0.00万元，占0.00%；配置图书和档案0.00万元，占0.00%；配置家具和用具0.00万元，占0.00%；配置特种动植物0.00万元，占0.00%。从配置方式分析，建设0.00万元，占0.00%；新购0.00万元，占0.00%；调拨0.00万元，占0.00%；接受捐赠0.00万元，占0.00%；置换0.00万元，占0.00%；其他方式新增0.00万元，占0.00%。</w:t>
      </w:r>
    </w:p>
    <w:p w14:paraId="78D98B9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配置无形资产0.00万元。从资产类别分析，配置专利0.00万元，占0.00%；配置非专利技术0.00万元，占0.00%；配置土地使用权0.00万元，占0.00%；配置计算机软件0.00万元，占0.00%。从配置方式分析，建设0.00万元，占0.00%；新购0.00万元，占0.00%；调拨0.00万元，占0.00%；接受捐赠0.00万元，占0.00%；置换0.00万元，占0.00%；其他方式新增0.00万元，占0.00%。</w:t>
      </w:r>
    </w:p>
    <w:p w14:paraId="6EDC6294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配置在建工程0.00万元。</w:t>
      </w:r>
    </w:p>
    <w:p w14:paraId="56B367A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2.资产使用情况。</w:t>
      </w:r>
    </w:p>
    <w:p w14:paraId="54B8257A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（1）资产自用情况。</w:t>
      </w:r>
    </w:p>
    <w:p w14:paraId="2F03AEE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自用固定资产47.77万元，占账面固定资产总额的81.16%，其中:在用47.77万元，占账面固定资产总额的81.16%；闲置0.00万元，占账面固定资产总额的0.00%；待处置（待报废、毁损等）0.00万元，占账面固定资产总额的0.00%。自用无形资产0.00万元，占账面无形资产总额的0.00%；其中在用0.00万元，占账面无形资产总额的0.00%；闲置0.00万元，占账面无形资产总额的0.00%；待处置（待报废、毁损等）0.00万元，占账面无形资产总额的0.00%。</w:t>
      </w:r>
    </w:p>
    <w:p w14:paraId="42323E1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（2）出租出借情况。</w:t>
      </w:r>
    </w:p>
    <w:p w14:paraId="36C99A1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出租出借资产11.09万元，占资产总额的18.61%。其中，流动资产0.00万元，占资产总额的0.00%；固定资产11.09万元，占资产总额的18.61%；无形资产0.00万元，占资产总额的0.00%；在建工程0.00万元，占资产总额的0.00%；其他资产0.00万元，占资产总额的0.00%。</w:t>
      </w:r>
    </w:p>
    <w:p w14:paraId="7E89CB2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2025年度新增出租出借资产10.20万元。其中，流动资产0.00万元，占0.00%；固定资产10.20万元，占100.00%；无形资产0.00万元，占0.00%,在建工程0.00万元，占0.00%,其他资产0.00万元，占0.00%。</w:t>
      </w:r>
    </w:p>
    <w:p w14:paraId="01DF8F12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（3）对外投资情况。</w:t>
      </w:r>
    </w:p>
    <w:p w14:paraId="1825DB31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对外投资总额0.00万元。其中，短期投资0.00万元；长期债券投资0.00万元；长期股权投资0.00万元。</w:t>
      </w:r>
    </w:p>
    <w:p w14:paraId="127E57FB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2025年度新增对外投资0.00笔，账面原值0.00万元。其中，短期投资0.00笔，账面原值0.00万元；长期债券投资0.00笔，账面原值0.00万元；长期股权投资0.00笔，账面原值0.00万元。</w:t>
      </w:r>
    </w:p>
    <w:p w14:paraId="3E988B3C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3.资产处置情况</w:t>
      </w:r>
    </w:p>
    <w:p w14:paraId="39B950CD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2025年度，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处置资产0.00万元。从资产类别分析,流动资产0.00万元，占0.00%；固定资产0.00万元，占0.00%；无形资产0.00万元，占0.00%；长期投资0.00万元，占0.00%；在建工程0.00万元，占0.00%；其他资产0.00万元，占0.00%。从处置形式上分析，转让0.00万元，占0.00%；无偿划转0.00万元，占0.00%；对外捐赠0.00万元，占0.00%；置换0.00万元，占0.00%；报废0.00万元，占0.00%；损失核销0.00万元，占0.00%，其他方式0.00万元，占0.00%。</w:t>
      </w:r>
    </w:p>
    <w:p w14:paraId="2DC6F2E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4.资产收益情况。</w:t>
      </w:r>
    </w:p>
    <w:p w14:paraId="28D6778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2025年度，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出租出借资产收益4.30万元，其中，流动资产收益0.00万元，占0.00%；固定资产收益4.30万元，占100.00%；无形资产收益0.00万元，占0.00%；在建工程收益0.00万元，占0.00%；其他资产收益0.00万元，占0.00%；往期出租出借资产收益0.00万元，占0.00%。对外投资收益0.00万元，其中，短期投资收益0.00万元，占0.00%；长期债券投资收益0.00万元，占0.00%；长期股权投资收益0.00万元，占0.00%。资产处置收益0.00万元，其中：本期处置资产收益0.00万元，占0.00%；往期处置资产收益0.00万元，占0.00%。</w:t>
      </w:r>
    </w:p>
    <w:p w14:paraId="1B92C301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1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5.资产盘活情况。</w:t>
      </w:r>
    </w:p>
    <w:p w14:paraId="27A81D8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1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2025年度，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盘活资产11.09万元，收入0.00万元。按盘活方式，内部挖潜0.00万元，占0.00%；共享共用0.00万元，占0.00%；调剂利用（无偿划转）0.00万元，占0.00%；对外出租11.09万元，占100.00%；转让（出售）0.00万元，占0.00%；其他方式0.00万元，占0.00%。按资产分类，固定资产盘活11.09万元，占100.00%，其中房屋11.09万元，占固定资产100.00%，设备0.00万元，占固定资产0.00%；无形资产0.00万元，占0.00%；其他资产0.00万元，占0.00%。</w:t>
      </w:r>
    </w:p>
    <w:p w14:paraId="5C693C82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（三）重点资产情况。</w:t>
      </w:r>
    </w:p>
    <w:p w14:paraId="46A21123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1.土地资产情况。</w:t>
      </w:r>
    </w:p>
    <w:p w14:paraId="3672F05D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土地账面面积0.00平方米，账面原值0.00万元，账面净值0.00万元。从使用状况分析：在用0.00平方米，占比0.00%，出租出借0.00平方米，占比0.00%，闲置0.00平方米，占比0.00%，待处置0.00平方米，占比0.00%。本年度新增0.00平方米，账面原值0.00万元。</w:t>
      </w:r>
    </w:p>
    <w:p w14:paraId="6838966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2.房屋资产情况</w:t>
      </w:r>
    </w:p>
    <w:p w14:paraId="4393A08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房屋账面面积369.75平方米，账面价值11.09万元，其中办公用房面积0.00平方米，占房屋的0.00%；业务用房面积369.75平方米，占100.00%；其他用房面积0.00平方米，占0.00%。从使用状况分析：在用0.00平方米，占0.00%,出租出借369.75平方米，占100.00%,闲置0.00平方米，占0.00%,待处置0.00平方米，占0.00%。</w:t>
      </w:r>
    </w:p>
    <w:p w14:paraId="66AAAD01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本年度新增账面面积0.00平方米，账面原值0.00万元；本年度处置账面面积0.00平方米，账面原值0.00万元。</w:t>
      </w:r>
    </w:p>
    <w:p w14:paraId="248D3E5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3.车辆资产情况</w:t>
      </w:r>
    </w:p>
    <w:p w14:paraId="060D9CE9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车辆账面数量0辆，账面原值0.00万元，账面净值0.00万元。从使用状况分析：在用0辆，占0.00%，出租出借0辆，占0.00%，闲置0辆，占0.00%，待处置0辆，占0.00%。</w:t>
      </w:r>
    </w:p>
    <w:p w14:paraId="35B0AC49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本年度新增车辆0辆，账面原值0.00万元；处置车辆0辆，账面原值0.00万元。</w:t>
      </w:r>
    </w:p>
    <w:p w14:paraId="257D38C9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4.在建工程情况</w:t>
      </w:r>
    </w:p>
    <w:p w14:paraId="1B310F28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账面在建工程0.00万元，其中，在建0.00万元，占0.00%，停建0.00万元，占0.00%；建成未使用0.00万元,占0.00%；已投入使用0.00万元，占0.00%；（未转固年限大于6个月0.00万元，占0.00%）。</w:t>
      </w:r>
    </w:p>
    <w:p w14:paraId="6115E3C9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本年度新增0.00万元，处置0.00万元。</w:t>
      </w:r>
    </w:p>
    <w:p w14:paraId="59FE9D9C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1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（四）资产绩效情况。</w:t>
      </w:r>
    </w:p>
    <w:p w14:paraId="6D62AB8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截至2025年12月31日，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固定资产成新率为33.46%；公共基础设施成新率为0.00%；保障性住房成新率为0.00%。</w:t>
      </w:r>
    </w:p>
    <w:p w14:paraId="55C1E5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三、资产管理工作情况</w:t>
      </w:r>
    </w:p>
    <w:p w14:paraId="49B47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3" w:firstLineChars="200"/>
        <w:contextualSpacing/>
        <w:jc w:val="left"/>
        <w:textAlignment w:val="auto"/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（一）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提高认识,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注重业务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学习,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夯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实管理基础</w:t>
      </w:r>
    </w:p>
    <w:p w14:paraId="259340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为加强和规范行政事业单位国有资产管理,提高财政资金使用效益,保证单位国有资产的安全完整,进一步提高资产管理水平,认真学习《行政事业单位国有资产管理办法》等有关文件,明确了工作职责与工作要求,力求做到规范管理、科学统筹,不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断提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高资产使用效率。</w:t>
      </w:r>
    </w:p>
    <w:p w14:paraId="2D50FD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3" w:firstLineChars="200"/>
        <w:contextualSpacing/>
        <w:jc w:val="left"/>
        <w:textAlignment w:val="auto"/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二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）完善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资产管理制度,提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高资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产管理水平</w:t>
      </w:r>
    </w:p>
    <w:p w14:paraId="0000FE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行政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事业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单位国有资产管理工作需要有相应的配套管理办法来支持实施,构筑完善的制度体系是建立行政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事业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单位国有资产管理长效机制的基础。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我单位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为进一步提高资产管理水平,防止国有资产流失,维护国有资产的安全和完整,在工作中结合本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单位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实际情况,积极探索与之相适应的资产管理配套实施办法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，制定国有资产管理制度，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加大了资产管理力度。</w:t>
      </w:r>
    </w:p>
    <w:p w14:paraId="6D8B3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3" w:firstLineChars="200"/>
        <w:contextualSpacing/>
        <w:jc w:val="left"/>
        <w:textAlignment w:val="auto"/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  <w:lang w:eastAsia="zh-CN"/>
        </w:rPr>
        <w:t>（三）</w:t>
      </w:r>
      <w:r>
        <w:rPr>
          <w:rFonts w:hint="eastAsia" w:ascii="仿宋" w:hAnsi="仿宋" w:eastAsia="仿宋" w:cs="仿宋"/>
          <w:b/>
          <w:bCs w:val="0"/>
          <w:i w:val="0"/>
          <w:kern w:val="30"/>
          <w:sz w:val="32"/>
          <w:szCs w:val="32"/>
          <w:u w:val="none"/>
        </w:rPr>
        <w:t>加强日常资产管理,规范管理程序</w:t>
      </w:r>
    </w:p>
    <w:p w14:paraId="57615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在资产的日常管理方面,实施“单位资产动态兼管,资源共享,资产管理与预算管理、资金管理相结合”的管理办去。</w:t>
      </w:r>
    </w:p>
    <w:p w14:paraId="1E9C14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(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一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)新增(购买、接收捐赠)资产及时入账,落实保管制度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责任到人。</w:t>
      </w:r>
    </w:p>
    <w:p w14:paraId="0ED265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(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二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)资产盘亏、报废由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单位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办公室盘点后提出资产盘亏、报废申请报告,并会同财务部门核查落实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，上</w:t>
      </w: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</w:rPr>
        <w:t>报财政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部门审批，严格规范资产处置程序。</w:t>
      </w:r>
    </w:p>
    <w:p w14:paraId="57F3E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(三)落实检查制度,对各股室资产的调配、使用、保管进行定期和不定期检查,特别是对易携带、易丢失、已损坏资产的检查,做到了账实相符,存放地点清楚，责任人员明确。</w:t>
      </w:r>
    </w:p>
    <w:p w14:paraId="4537B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kern w:val="30"/>
          <w:sz w:val="32"/>
          <w:szCs w:val="32"/>
          <w:u w:val="none"/>
          <w:lang w:eastAsia="zh-CN"/>
        </w:rPr>
        <w:t>(四)各股室均加强了安全措施,本年度无资产被盗现象,使用管理人员都能做好检查维护工作,确保资产的使用性能。</w:t>
      </w:r>
    </w:p>
    <w:p w14:paraId="74C01B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四、保障单位履职和促进事业发展情况</w:t>
      </w:r>
    </w:p>
    <w:p w14:paraId="3E3C467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为认真贯彻落实党中央、国务院关于“过紧日子”的工作要求，有效盘活并高效使用固定资产，提升行政事业单位国有资产管理整体水平，更好地服务与保障单位履职和事业发展，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多措并举，在狠抓责任管理、基础管理、行为管理、追责管理四个方面下功夫，力促固定资产管理更有成效。</w:t>
      </w:r>
    </w:p>
    <w:p w14:paraId="0B1A007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压紧压实管理责任，健全管理制度。强化和落实管理职责，加强固定资产顶层设计，明确固定资产监督和管理职责，层层压实、层层落实。建立固定资产管理实施办法，进一步细化要求，针对固定资产验收登记、核算入账、领用移交等重点环节，查漏补缺。完善内部控制制度，强化固定资产配置、使用、处置等环节管控，强化部门的通力协作，形成合力。</w:t>
      </w:r>
    </w:p>
    <w:p w14:paraId="1ABBC64A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 发力加压基础管理，切实摸清家底。单位严格落实政府会计准则制度，按规定设置固定资产账簿，认真核对检查，做好固定资产卡片管理，做到有物必登、登记到人。常态化开展固定资产清查盘点，全面掌握固定资产数量、价值和使用状况。</w:t>
      </w:r>
    </w:p>
    <w:p w14:paraId="38F927FB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 严格规范管理行为，提升管理效能。认真落实“过紧日子”要求，在摸清固定资产存量基础上，根据实际需要提出合理配置需求，并强化审核把关。积极推进固定资产在单位内部调剂共享，提升固定资产使用效益。</w:t>
      </w:r>
    </w:p>
    <w:p w14:paraId="08E33D32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建立完善追责机制，加强监管检查。建立固定资产追责机制，落实损失赔偿责任。对因使用、保管不善造成损失的，划定责任范围。建立固定资产全过程绩效管理体系，实施跟踪问效。加强固定资产监督检查，针对固定资产制度完善情况、基础工作是否扎实等进行检查，对出现问题的，依法追究责任。</w:t>
      </w:r>
    </w:p>
    <w:p w14:paraId="50A462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五、资产管理工作存在的问题</w:t>
      </w:r>
    </w:p>
    <w:p w14:paraId="288192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多年的努力，我单位在国有资产的管理实践与探索中取得了一些成效，也积累了一些经验，但离真正实现国有资产有效管理的目标和任务还有差距，在实际工作中还有欠缺和不足。</w:t>
      </w:r>
    </w:p>
    <w:p w14:paraId="7D857C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1.制度不完善：缺乏涵盖资产采购、使用、处置等全流程的详细规范，导致各环节操作无据可依，出现管理漏洞。</w:t>
      </w:r>
    </w:p>
    <w:p w14:paraId="1ACBF7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</w:t>
      </w:r>
    </w:p>
    <w:p w14:paraId="2FD458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2.执行不严格：虽有制度，但在实际工作中未严格落实。</w:t>
      </w:r>
    </w:p>
    <w:p w14:paraId="6A2479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3.资产清查方面:清查不全面,仅对部分主要资产进行清查，忽视了一些低值易耗品、无形资产等，造成账外资产存在。</w:t>
      </w:r>
    </w:p>
    <w:p w14:paraId="099F68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4.清查周期长：资产清查间隔时间过长，难以及时发现资产的变动情况，影响资产信息的时效性。</w:t>
      </w:r>
    </w:p>
    <w:p w14:paraId="3458A5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5.专业素质不足：资产管理人员缺乏财务、评估等专业知识，难以对资产进行准确核算和价值评估。</w:t>
      </w:r>
    </w:p>
    <w:p w14:paraId="43A873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6.责任不明确：资产管理涉及多部门多岗位，但职责划分不清，出现问题时相互推诿。 </w:t>
      </w:r>
    </w:p>
    <w:p w14:paraId="4B0550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六、下一步工作思路</w:t>
      </w:r>
    </w:p>
    <w:p w14:paraId="342DBE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完善制度细则：深入调研国资管理各环节，制定涵盖资产购置、调配、使用、报废全流程的详尽管理制度，明确每一步骤的操作标准、责任主体与监督机制。</w:t>
      </w:r>
    </w:p>
    <w:p w14:paraId="30CC6B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强化执行监督：设立专门的监督小组，定期对制度执行情况进行检查，将制度执行纳入员工绩效考核，对违规操作严肃问责，确保制度刚性执行。</w:t>
      </w:r>
    </w:p>
    <w:p w14:paraId="2DF9B1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资产清查：全面清查盘点，按季度开展全面资产清查，涵盖固定资产、流动资产、无形资产等，建立清查档案，详细记录资产状况，对清查中发现的账实不符问题及时整改。</w:t>
      </w:r>
    </w:p>
    <w:p w14:paraId="71701A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专业培训提升：定期组织及参加国资管理相关培训，内容包括资产评估、财务核算、法规政策等，提升职工专业素养。</w:t>
      </w:r>
    </w:p>
    <w:p w14:paraId="3AE59A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明确职责分工：制定详细的岗位说明书，明确各部门、岗位在国资管理中的职责，建立责任追溯机制，一旦出现管理问题，可精准追溯到具体责任人。</w:t>
      </w:r>
    </w:p>
    <w:p w14:paraId="1A0A0D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优化资产配置：根据各部门实际需求，合理调配资产，建立资产共享平台，提高资产利用率，减少闲置浪费，对长期闲置资产及时进行处置。</w:t>
      </w:r>
    </w:p>
    <w:p w14:paraId="5FE6B9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 w14:paraId="1723D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D9588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5430C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contextualSpacing/>
        <w:jc w:val="left"/>
        <w:textAlignment w:val="auto"/>
        <w:rPr>
          <w:rFonts w:hint="eastAsia" w:ascii="仿宋" w:hAnsi="仿宋" w:eastAsia="仿宋" w:cs="仿宋"/>
          <w:bCs/>
          <w:kern w:val="30"/>
          <w:sz w:val="32"/>
          <w:szCs w:val="32"/>
        </w:rPr>
      </w:pPr>
    </w:p>
    <w:p w14:paraId="4E58F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contextualSpacing/>
        <w:jc w:val="left"/>
        <w:textAlignment w:val="auto"/>
        <w:rPr>
          <w:rFonts w:hint="eastAsia" w:ascii="仿宋" w:hAnsi="仿宋" w:eastAsia="仿宋" w:cs="仿宋"/>
          <w:bCs/>
          <w:kern w:val="30"/>
          <w:sz w:val="32"/>
          <w:szCs w:val="32"/>
        </w:rPr>
      </w:pPr>
    </w:p>
    <w:p w14:paraId="7EE5F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contextualSpacing/>
        <w:jc w:val="left"/>
        <w:textAlignment w:val="auto"/>
        <w:rPr>
          <w:rFonts w:hint="eastAsia" w:ascii="仿宋" w:hAnsi="仿宋" w:eastAsia="仿宋" w:cs="仿宋"/>
          <w:bCs/>
          <w:kern w:val="30"/>
          <w:sz w:val="32"/>
          <w:szCs w:val="32"/>
        </w:rPr>
      </w:pPr>
    </w:p>
    <w:p w14:paraId="3F26D1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contextualSpacing/>
        <w:jc w:val="left"/>
        <w:textAlignment w:val="auto"/>
        <w:rPr>
          <w:rFonts w:hint="eastAsia" w:ascii="仿宋" w:hAnsi="仿宋" w:eastAsia="仿宋" w:cs="仿宋"/>
          <w:bCs/>
          <w:kern w:val="30"/>
          <w:sz w:val="32"/>
          <w:szCs w:val="32"/>
        </w:rPr>
      </w:pPr>
    </w:p>
    <w:p w14:paraId="2A97E819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16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08B3E3B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16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凤台县地震局</w:t>
      </w:r>
    </w:p>
    <w:p w14:paraId="4A745EE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footerReference r:id="rId4" w:type="even"/>
      <w:pgSz w:w="12240" w:h="15840"/>
      <w:pgMar w:top="1440" w:right="1701" w:bottom="1440" w:left="1701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E1923">
    <w:pPr>
      <w:pStyle w:val="10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2</w:t>
    </w:r>
    <w:r>
      <w:fldChar w:fldCharType="end"/>
    </w:r>
  </w:p>
  <w:p w14:paraId="668118A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35455">
    <w:pPr>
      <w:pStyle w:val="10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end"/>
    </w:r>
  </w:p>
  <w:p w14:paraId="3900A9EF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360"/>
  <w:drawingGridHorizontalSpacing w:val="105"/>
  <w:drawingGridVerticalSpacing w:val="12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jN2JlMzQ1MTA5ZGZlOTg4MGI0N2RmZjkzNDgxZDUifQ=="/>
  </w:docVars>
  <w:rsids>
    <w:rsidRoot w:val="00260EAE"/>
    <w:rsid w:val="00011E57"/>
    <w:rsid w:val="00016968"/>
    <w:rsid w:val="00021800"/>
    <w:rsid w:val="0007144C"/>
    <w:rsid w:val="00074BBD"/>
    <w:rsid w:val="00091B8B"/>
    <w:rsid w:val="000B33A8"/>
    <w:rsid w:val="000E6DED"/>
    <w:rsid w:val="001067B4"/>
    <w:rsid w:val="0017597A"/>
    <w:rsid w:val="00190794"/>
    <w:rsid w:val="00193A65"/>
    <w:rsid w:val="001A3C8C"/>
    <w:rsid w:val="001C08FC"/>
    <w:rsid w:val="001E48A0"/>
    <w:rsid w:val="001F71B5"/>
    <w:rsid w:val="0021338F"/>
    <w:rsid w:val="00221865"/>
    <w:rsid w:val="002224D1"/>
    <w:rsid w:val="00232F86"/>
    <w:rsid w:val="002411BF"/>
    <w:rsid w:val="00256EBF"/>
    <w:rsid w:val="00260EAE"/>
    <w:rsid w:val="00274748"/>
    <w:rsid w:val="00292ECA"/>
    <w:rsid w:val="002C3A1A"/>
    <w:rsid w:val="003370C3"/>
    <w:rsid w:val="00352E5D"/>
    <w:rsid w:val="0035764D"/>
    <w:rsid w:val="0036491B"/>
    <w:rsid w:val="00371587"/>
    <w:rsid w:val="003825B4"/>
    <w:rsid w:val="003A75E4"/>
    <w:rsid w:val="003B1061"/>
    <w:rsid w:val="004246DC"/>
    <w:rsid w:val="004322C1"/>
    <w:rsid w:val="0044705D"/>
    <w:rsid w:val="00466952"/>
    <w:rsid w:val="004848A1"/>
    <w:rsid w:val="0049464A"/>
    <w:rsid w:val="004A2AEA"/>
    <w:rsid w:val="004E2457"/>
    <w:rsid w:val="004F357A"/>
    <w:rsid w:val="0050474D"/>
    <w:rsid w:val="00507F6A"/>
    <w:rsid w:val="00531662"/>
    <w:rsid w:val="00590603"/>
    <w:rsid w:val="005A7E28"/>
    <w:rsid w:val="005B4540"/>
    <w:rsid w:val="005F7C66"/>
    <w:rsid w:val="006257B1"/>
    <w:rsid w:val="006A24D4"/>
    <w:rsid w:val="006D4F57"/>
    <w:rsid w:val="0071102B"/>
    <w:rsid w:val="00773B51"/>
    <w:rsid w:val="00783CE7"/>
    <w:rsid w:val="00785EE4"/>
    <w:rsid w:val="00795DDE"/>
    <w:rsid w:val="007969DB"/>
    <w:rsid w:val="007A4375"/>
    <w:rsid w:val="007C4D06"/>
    <w:rsid w:val="007C7068"/>
    <w:rsid w:val="00856764"/>
    <w:rsid w:val="008B1206"/>
    <w:rsid w:val="00915948"/>
    <w:rsid w:val="00992AD5"/>
    <w:rsid w:val="009A03FB"/>
    <w:rsid w:val="009A3472"/>
    <w:rsid w:val="009B12D9"/>
    <w:rsid w:val="009F5AA6"/>
    <w:rsid w:val="00A13A4C"/>
    <w:rsid w:val="00A1434E"/>
    <w:rsid w:val="00A51325"/>
    <w:rsid w:val="00A65917"/>
    <w:rsid w:val="00AA2478"/>
    <w:rsid w:val="00AA5D80"/>
    <w:rsid w:val="00AB7D18"/>
    <w:rsid w:val="00AC220B"/>
    <w:rsid w:val="00AE4694"/>
    <w:rsid w:val="00B26A60"/>
    <w:rsid w:val="00B5349F"/>
    <w:rsid w:val="00B9363C"/>
    <w:rsid w:val="00BB61F0"/>
    <w:rsid w:val="00C038AA"/>
    <w:rsid w:val="00C2183C"/>
    <w:rsid w:val="00C437D1"/>
    <w:rsid w:val="00C757E0"/>
    <w:rsid w:val="00C85E53"/>
    <w:rsid w:val="00CA25EA"/>
    <w:rsid w:val="00CB21A7"/>
    <w:rsid w:val="00D6190F"/>
    <w:rsid w:val="00D76C34"/>
    <w:rsid w:val="00D8037D"/>
    <w:rsid w:val="00D95A40"/>
    <w:rsid w:val="00DA07B4"/>
    <w:rsid w:val="00DA3179"/>
    <w:rsid w:val="00DB4607"/>
    <w:rsid w:val="00E20C6E"/>
    <w:rsid w:val="00E55462"/>
    <w:rsid w:val="00E620D2"/>
    <w:rsid w:val="00E63B9E"/>
    <w:rsid w:val="00E90484"/>
    <w:rsid w:val="00EB4969"/>
    <w:rsid w:val="00EB5584"/>
    <w:rsid w:val="00EF7BA5"/>
    <w:rsid w:val="00F0417B"/>
    <w:rsid w:val="00F679E0"/>
    <w:rsid w:val="00FA35A0"/>
    <w:rsid w:val="01EB70B4"/>
    <w:rsid w:val="023A39F3"/>
    <w:rsid w:val="02E05BCC"/>
    <w:rsid w:val="04486A97"/>
    <w:rsid w:val="07061BEC"/>
    <w:rsid w:val="07710680"/>
    <w:rsid w:val="09CD45A7"/>
    <w:rsid w:val="09E85132"/>
    <w:rsid w:val="0EAD34BA"/>
    <w:rsid w:val="0F6815F8"/>
    <w:rsid w:val="168843E6"/>
    <w:rsid w:val="18482D61"/>
    <w:rsid w:val="19677665"/>
    <w:rsid w:val="209F6050"/>
    <w:rsid w:val="20A03F2A"/>
    <w:rsid w:val="24791949"/>
    <w:rsid w:val="26E400EE"/>
    <w:rsid w:val="28713AAE"/>
    <w:rsid w:val="2F5110B5"/>
    <w:rsid w:val="31753A31"/>
    <w:rsid w:val="31CF00FD"/>
    <w:rsid w:val="33E91103"/>
    <w:rsid w:val="38744AC1"/>
    <w:rsid w:val="45BC2474"/>
    <w:rsid w:val="46A67031"/>
    <w:rsid w:val="55C74159"/>
    <w:rsid w:val="5D503E63"/>
    <w:rsid w:val="61680C02"/>
    <w:rsid w:val="61C3648D"/>
    <w:rsid w:val="65CF42C9"/>
    <w:rsid w:val="703C3C5F"/>
    <w:rsid w:val="71F450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autoRedefine/>
    <w:qFormat/>
    <w:uiPriority w:val="0"/>
  </w:style>
  <w:style w:type="paragraph" w:styleId="5">
    <w:name w:val="Closing"/>
    <w:basedOn w:val="1"/>
    <w:autoRedefine/>
    <w:qFormat/>
    <w:uiPriority w:val="0"/>
    <w:pPr>
      <w:ind w:left="100" w:leftChars="2100"/>
    </w:pPr>
  </w:style>
  <w:style w:type="paragraph" w:styleId="6">
    <w:name w:val="Body Text"/>
    <w:basedOn w:val="1"/>
    <w:autoRedefine/>
    <w:qFormat/>
    <w:uiPriority w:val="0"/>
    <w:pPr>
      <w:spacing w:line="700" w:lineRule="exact"/>
      <w:jc w:val="center"/>
    </w:pPr>
    <w:rPr>
      <w:rFonts w:ascii="华文中宋" w:eastAsia="华文中宋"/>
      <w:sz w:val="44"/>
      <w:szCs w:val="20"/>
    </w:r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Date"/>
    <w:basedOn w:val="1"/>
    <w:next w:val="1"/>
    <w:autoRedefine/>
    <w:qFormat/>
    <w:uiPriority w:val="0"/>
    <w:pPr>
      <w:ind w:left="100" w:leftChars="2500"/>
    </w:pPr>
  </w:style>
  <w:style w:type="paragraph" w:styleId="9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qFormat/>
    <w:uiPriority w:val="0"/>
    <w:pPr>
      <w:spacing w:after="120" w:line="480" w:lineRule="auto"/>
    </w:pPr>
  </w:style>
  <w:style w:type="paragraph" w:styleId="1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 Char Char"/>
    <w:basedOn w:val="16"/>
    <w:link w:val="10"/>
    <w:semiHidden/>
    <w:qFormat/>
    <w:uiPriority w:val="99"/>
    <w:rPr>
      <w:sz w:val="18"/>
      <w:szCs w:val="18"/>
    </w:rPr>
  </w:style>
  <w:style w:type="character" w:customStyle="1" w:styleId="20">
    <w:name w:val=" Char Char1"/>
    <w:basedOn w:val="16"/>
    <w:link w:val="11"/>
    <w:semiHidden/>
    <w:qFormat/>
    <w:uiPriority w:val="99"/>
    <w:rPr>
      <w:sz w:val="18"/>
      <w:szCs w:val="18"/>
    </w:rPr>
  </w:style>
  <w:style w:type="paragraph" w:customStyle="1" w:styleId="2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12</Pages>
  <Words>4747</Words>
  <Characters>5881</Characters>
  <Lines>1</Lines>
  <Paragraphs>1</Paragraphs>
  <TotalTime>9</TotalTime>
  <ScaleCrop>false</ScaleCrop>
  <LinksUpToDate>false</LinksUpToDate>
  <CharactersWithSpaces>5898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2017-02-16T02:13:00Z</dcterms:created>
  <dc:creator>gocom</dc:creator>
  <cp:lastModifiedBy>心动无痕</cp:lastModifiedBy>
  <cp:lastPrinted>2017-02-16T02:14:00Z</cp:lastPrinted>
  <dcterms:modified xsi:type="dcterms:W3CDTF">2026-07-29T01:56:13Z</dcterms:modified>
  <dc:title>凤台县地震局文件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A630428354034CE79B0A0C06F3F5EBBE_13</vt:lpwstr>
  </property>
  <property fmtid="{D5CDD505-2E9C-101B-9397-08002B2CF9AE}" pid="4" name="KSOTemplateDocerSaveRecord">
    <vt:lpwstr>eyJoZGlkIjoiMzE3YjNjOThiNGRiNDY1NjgxMTZkMzJlZjRiYzgzYTgiLCJ1c2VySWQiOiI2MzgxODMzMTIifQ==</vt:lpwstr>
  </property>
</Properties>
</file>