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5D732">
      <w:pPr>
        <w:spacing w:line="1400" w:lineRule="exact"/>
        <w:jc w:val="distribute"/>
        <w:rPr>
          <w:rFonts w:hint="eastAsia" w:eastAsia="方正大标宋简体"/>
          <w:b/>
          <w:color w:val="FF0000"/>
          <w:spacing w:val="-48"/>
          <w:w w:val="40"/>
          <w:sz w:val="120"/>
          <w:szCs w:val="120"/>
        </w:rPr>
      </w:pPr>
    </w:p>
    <w:p w14:paraId="4C1DFEA0">
      <w:pPr>
        <w:spacing w:line="1400" w:lineRule="exact"/>
        <w:jc w:val="distribute"/>
        <w:rPr>
          <w:rFonts w:hint="eastAsia" w:eastAsia="方正大标宋简体"/>
          <w:color w:val="FF0000"/>
          <w:spacing w:val="20"/>
          <w:w w:val="40"/>
          <w:position w:val="-10"/>
          <w:sz w:val="150"/>
          <w:szCs w:val="150"/>
          <w:lang w:eastAsia="zh-CN"/>
        </w:rPr>
      </w:pPr>
      <w:r>
        <w:rPr>
          <w:rFonts w:eastAsia="方正大标宋简体"/>
          <w:color w:val="FF0000"/>
          <w:spacing w:val="-48"/>
          <w:w w:val="40"/>
          <w:position w:val="-10"/>
          <w:sz w:val="150"/>
          <w:szCs w:val="150"/>
        </w:rPr>
        <w:t>凤台县</w:t>
      </w:r>
      <w:r>
        <w:rPr>
          <w:rFonts w:hint="eastAsia" w:eastAsia="方正大标宋简体"/>
          <w:color w:val="FF0000"/>
          <w:spacing w:val="-48"/>
          <w:w w:val="40"/>
          <w:position w:val="-10"/>
          <w:sz w:val="150"/>
          <w:szCs w:val="150"/>
          <w:lang w:eastAsia="zh-CN"/>
        </w:rPr>
        <w:t>地震局文件</w:t>
      </w:r>
    </w:p>
    <w:p w14:paraId="44FB4467">
      <w:pPr>
        <w:jc w:val="distribute"/>
        <w:rPr>
          <w:rFonts w:hint="eastAsia" w:eastAsia="方正大标宋简体"/>
          <w:color w:val="FF0000"/>
          <w:spacing w:val="20"/>
          <w:w w:val="40"/>
          <w:sz w:val="20"/>
          <w:szCs w:val="20"/>
        </w:rPr>
      </w:pPr>
    </w:p>
    <w:p w14:paraId="10FF7B9B">
      <w:pPr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5B5C8FD4">
      <w:pPr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637CA08A">
      <w:pPr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145415</wp:posOffset>
                </wp:positionV>
                <wp:extent cx="5539740" cy="3175"/>
                <wp:effectExtent l="0" t="0" r="0" b="0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39740" cy="3175"/>
                        </a:xfrm>
                        <a:prstGeom prst="straightConnector1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flip:y;margin-left:-1.5pt;margin-top:11.45pt;height:0.25pt;width:436.2pt;z-index:251659264;mso-width-relative:page;mso-height-relative:page;" filled="f" stroked="t" coordsize="21600,21600" o:gfxdata="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P9nqRTZAAAACAEAAA8AAAAAAAAAAQAgAAAAIgAAAGRycy9kb3du&#10;cmV2LnhtbFBLAQIUABQAAAAIAIdO4kBfnQt4/gEAAPEDAAAOAAAAAAAAAAEAIAAAACgBAABkcnMv&#10;ZTJvRG9jLnhtbFBLBQYAAAAABgAGAFkBAACYBQAAAAA=&#10;">
                <v:fill on="f" focussize="0,0"/>
                <v:stroke weight="3pt" color="#FF0000" joinstyle="round"/>
                <v:imagedata o:title=""/>
                <o:lock v:ext="edit" aspectratio="f"/>
              </v:shape>
            </w:pict>
          </mc:Fallback>
        </mc:AlternateContent>
      </w:r>
    </w:p>
    <w:p w14:paraId="4E062FF7">
      <w:pPr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3EDBBB1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2"/>
          <w:sz w:val="44"/>
          <w:szCs w:val="44"/>
          <w:lang w:val="en-US" w:eastAsia="zh-CN" w:bidi="ar-SA"/>
        </w:rPr>
        <w:t>凤台县地震局2024年度行政事业性国有</w:t>
      </w:r>
    </w:p>
    <w:p w14:paraId="43D9C27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0"/>
        <w:jc w:val="center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2"/>
          <w:sz w:val="44"/>
          <w:szCs w:val="44"/>
          <w:lang w:val="en-US" w:eastAsia="zh-CN" w:bidi="ar-SA"/>
        </w:rPr>
        <w:t>资产分析报告</w:t>
      </w:r>
    </w:p>
    <w:p w14:paraId="6EB2D10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54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 w14:paraId="45CBD7C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为适应向全国人大常委会报告国有资产管理情况工作的要求，根据《行政单位国有资产管理暂行办法》（财政部令第35号）、《事业单位国有资产管理暂行办法》（财政部令第36号）和《行政事业单位国有资产报告制度》等有关规定，现对我单位本年度资产总体、配置、使用、处置以及收益情况等分析报告如下：</w:t>
      </w:r>
    </w:p>
    <w:p w14:paraId="58B6FAE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一、单位基本情况</w:t>
      </w:r>
    </w:p>
    <w:p w14:paraId="4FB6EF5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截至2024年12月31日，我单位编制人数6人，较上年度增加0人，年末实有人数4人，较上年度增加0人。</w:t>
      </w:r>
    </w:p>
    <w:p w14:paraId="50D2312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both"/>
        <w:textAlignment w:val="auto"/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二、行政事业单位国有资产基本情况</w:t>
      </w:r>
    </w:p>
    <w:p w14:paraId="2914B7A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（一）资产总体情况</w:t>
      </w:r>
    </w:p>
    <w:p w14:paraId="29B6071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截至2024年12月31日，我单位资产总额（账面净值，下同）28.28万元，较上年增长88.19%。负债总额0.30万元,较上年增长0.00%。净资产27.98万元,较上年增长86.19%。</w:t>
      </w:r>
    </w:p>
    <w:p w14:paraId="395B14B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1.资产分布情况。</w:t>
      </w:r>
    </w:p>
    <w:p w14:paraId="23DFF43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我单位行政单位国有资产28.28万元，占100.00%；事业单位国有资产0.00万元，占0.00%。</w:t>
      </w:r>
    </w:p>
    <w:p w14:paraId="26BAAE9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2.资产构成情况。</w:t>
      </w:r>
    </w:p>
    <w:p w14:paraId="5BDF042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流动资产0.93万元，较上年增长47.77%，占资产总额3.29%；固定资产27.35万元，较上年增长89.96%, 占资产总额96.71%；在建工程0.00万元，较上年增长0.00%，占资产总额0.00%；长期投资0.00万元，占资产总额0.00%；无形资产0.00万元，较上年增长0.00%，占资产总额0.00%；公共基础设施0.00万元，占资产总额0.00%；政府储备物资0.00万元，占资产总额0.00%；文物文化资产0.00万元，占资产总额0.00%；保障性住房0.00万元，占资产总额0.00%；其他资产0.00万元，占资产总额0.00%。</w:t>
      </w:r>
    </w:p>
    <w:p w14:paraId="6AB0FB5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3.固定资产构成情况。</w:t>
      </w:r>
    </w:p>
    <w:p w14:paraId="382E7F8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房屋和构筑物1.42万元，占固定资产的5.18%（其中，房屋1.42万元，占固定资产的5.18%）；设备25.22万元，占92.20%（其中，车辆0.00万元，占0.00%，单价100万（含）以上（不含车辆）设备0.00万元，占0.00%）；文物和陈列品0.00万元，占0.00%；图书和档案0.00万元，占0.00%；家具和用具0.72万元，占2.62%；特种动植物0.00万元，占0.00%。    </w:t>
      </w:r>
    </w:p>
    <w:p w14:paraId="5D844EE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（二）具体管理情况</w:t>
      </w:r>
    </w:p>
    <w:p w14:paraId="3CE8296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1.资产配置情况</w:t>
      </w:r>
    </w:p>
    <w:p w14:paraId="7D77F98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2024年度，我单位配置固定资产18.46万元（账面原值，下同）。从资产类别分析，配置房屋和构筑物0.00万元，占0.00%；配置设备18.46万元，占100.00%；配置文物和陈列品0.00万元，占0.00%；配置图书和档案0.00万元，占0.00%；配置家具和用具0.00万元，占0.00%；配置特种动植物0.00万元，占0.00%。从配置方式分析，建设0.00万元，占0.00%；新购18.46万元，占100.00%；调拨0.00万元，占0.00%；接受捐赠0.00万元，占0.00%；置换0.00万元，占0.00%；其他方式新增0.00万元，占0.00%。</w:t>
      </w:r>
    </w:p>
    <w:p w14:paraId="1FA2D9E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我单位配置无形资产0.00万元。从资产类别分析，配置专利0.00万元，占0.00%；配置非专利技术0.00万元，占0.00%；配置土地使用权0.00万元，占0.00%；配置计算机软件0.00万元，占0.00%。从配置方式分析，建设0.00万元，占0.00%；新购0.00万元，占0.00%；调拨0.00万元，占0.00%；接受捐赠0.00万元，占0.00%；置换0.00万元，占0.00%；其他方式新增0.00万元，占0.00%。</w:t>
      </w:r>
    </w:p>
    <w:p w14:paraId="6C37E18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我单位配置在建工程0.00万元。</w:t>
      </w:r>
    </w:p>
    <w:p w14:paraId="16E0742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2.资产使用情况。</w:t>
      </w:r>
    </w:p>
    <w:p w14:paraId="5172E92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（1）资产自用情况。</w:t>
      </w:r>
    </w:p>
    <w:p w14:paraId="3ABB9F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截至2024年12月31日，我单位自用固定资产47.77万元，占账面固定资产总额的81.16%，其中:在用47.77万元，占账面固定资产总额的81.16%；闲置0.00万元，占账面固定资产总额的0.00%；待处置（待报废、毁损等）0.00万元，占账面固定资产总额的0.00%。自用无形资产0.00万元，占账面无形资产总额的0.00%；其中在用0.00万元，占账面无形资产总额的0.00%；闲置0.00万元，占账面无形资产总额的0.00%；待处置（待报废、毁损等）0.00万元，占账面无形资产总额的0.00%。</w:t>
      </w:r>
    </w:p>
    <w:p w14:paraId="3E5018E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（2）出租出借情况。</w:t>
      </w:r>
    </w:p>
    <w:p w14:paraId="57F2F2B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截至2024年12月31日，我单位出租出借资产11.09万元，占资产总额的18.55%。其中，流动资产0.00万元，占资产总额的0.00%；固定资产11.09万元，占资产总额的18.55%；无形资产0.00万元，占资产总额的0.00%；在建工程0.00万元，占资产总额的0.00%；其他资产0.00万元，占资产总额的0.00%。</w:t>
      </w:r>
    </w:p>
    <w:p w14:paraId="550757E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2024年度新增出租出借资产11.09万元。其中，流动资产0.00万元，占0.00%；固定资产11.09万元，占100.00%；无形资产0.00万元，占0.00%,在建工程0.00万元，占0.00%,其他资产0.00万元，占0.00%。</w:t>
      </w:r>
    </w:p>
    <w:p w14:paraId="5C0F5EF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（3）对外投资情况。</w:t>
      </w:r>
    </w:p>
    <w:p w14:paraId="08CD90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截至2024年12月31日，我单位对外投资总额0.00万元。其中，短期投资0.00万元；长期债券投资0.00万元；长期股权投资0.00万元。</w:t>
      </w:r>
    </w:p>
    <w:p w14:paraId="0999157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2024年度新增对外投资0.00笔，账面原值0.00万元。其中，短期投资0.00笔，账面原值0.00万元；长期债券投资0.00笔，账面原值0.00万元；长期股权投资0.00笔，账面原值0.00万元。</w:t>
      </w:r>
    </w:p>
    <w:p w14:paraId="4422E7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3.资产处置情况</w:t>
      </w:r>
    </w:p>
    <w:p w14:paraId="495916C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2024年度，我单位处置资产1.86万元。从资产类别分析,流动资产0.00万元，占0.00%；固定资产1.86万元，占100.00%；无形资产0.00万元，占0.00%；长期投资0.00万元，占0.00%；在建工程0.00万元，占0.00%；其他资产0.00万元，占0.00%。从处置形式上分析，转让0.00万元，占0.00%；无偿划转0.00万元，占0.00%；对外捐赠0.00万元，占0.00%；置换0.00万元，占0.00%；报废1.86万元，占100.00%；损失核销0.00万元，占0.00%，其他方式0.00万元，占0.00%。</w:t>
      </w:r>
    </w:p>
    <w:p w14:paraId="7DB4D22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4.资产收益情况。</w:t>
      </w:r>
    </w:p>
    <w:p w14:paraId="77D3861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2024年度，我单位出租出借资产收益2.53万元，其中，流动资产收益0.00万元，占0.00%；固定资产收益2.53万元，占100.00%；无形资产收益0.00万元，占0.00%；在建工程收益0.00万元，占0.00%；其他资产收益0.00万元，占0.00%；往期出租出借资产收益0.00万元，占0.00%。对外投资收益0.00万元，其中，短期投资收益0.00万元，占0.00%；长期债券投资收益0.00万元，占0.00%；长期股权投资收益0.00万元，占0.00%。资产处置收益0.01万元，其中：本期处置资产收益0.01万元，占100.00%；往期处置资产收益0.00万元，占0.00%。</w:t>
      </w:r>
    </w:p>
    <w:p w14:paraId="50B4D51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5.资产盘活情况。</w:t>
      </w:r>
    </w:p>
    <w:p w14:paraId="28E2CC6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2024年度，我单位盘活资产0.00万元，收入0.00万元。按盘活方式，内部挖潜0.00万元，占0.00%；共享共用0.00万元，占0.00%；调剂利用（无偿划转）0.00万元，占0.00%；对外出租0.00万元，占0.00%；转让（出售）0.00万元，占0.00%；其他方式0.00万元，占0.00%。按资产分类，固定资产盘活0.00万元，占0.00%，其中房屋0.00万元，占固定资产0.00%，设备0.00万元，占固定资产0.00%；无形资产0.00万元，占0.00%；其他资产0.00万元，占0.00%。</w:t>
      </w:r>
    </w:p>
    <w:p w14:paraId="58DDBE0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（三）重点资产情况。</w:t>
      </w:r>
    </w:p>
    <w:p w14:paraId="620E9CC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1.土地资产情况。</w:t>
      </w:r>
    </w:p>
    <w:p w14:paraId="4E3A742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截至2024年12月31日，我单位土地账面面积0.00平方米，账面原值0.00万元，账面净值0.00万元。从使用状况分析：在用0.00平方米，占比0.00%，出租出借0.00平方米，占比0.00%，闲置0.00平方米，占比0.00%，待处置0.00平方米，占比0.00%。本年度新增0.00平方米，账面原值0.00万元。</w:t>
      </w:r>
    </w:p>
    <w:p w14:paraId="22C1DAA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2.房屋资产情况</w:t>
      </w:r>
    </w:p>
    <w:p w14:paraId="085FF01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截至2024年12月31日，我单位房屋账面面积369.75平方米，账面价值11.09万元，其中办公用房面积0.00平方米，占房屋的0.00%；业务用房面积0.00平方米，占0.00%；其他用房面积369.75平方米，占100.00%。从使用状况分析：在用0.00平方米，占0.00%,出租出借369.75平方米，占100.00%,闲置0.00平方米，占0.00%,待处置0.00平方米，占0.00%。</w:t>
      </w:r>
    </w:p>
    <w:p w14:paraId="7CFDA68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本年度新增账面面积0.00平方米，账面原值0.00万元；本年度处置账面面积0.00平方米，账面原值0.00万元。</w:t>
      </w:r>
    </w:p>
    <w:p w14:paraId="5E7091D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3.车辆资产情况</w:t>
      </w:r>
    </w:p>
    <w:p w14:paraId="535C3EF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截至2024年12月31日，我单位车辆账面数量0辆，账面原值0.00万元，账面净值0.00万元。从使用状况分析：在用0辆，占0.00%，出租出借0辆，占0.00%，闲置0辆，占0.00%，待处置0辆，占0.00%。</w:t>
      </w:r>
    </w:p>
    <w:p w14:paraId="71BB09D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本年度新增车辆0辆，账面原值0.00万元；处置车辆0辆，账面原值0.00万元。</w:t>
      </w:r>
    </w:p>
    <w:p w14:paraId="557157A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4.在建工程情况</w:t>
      </w:r>
    </w:p>
    <w:p w14:paraId="7EBD50A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截至2024年12月31日，我单位账面在建工程0.00万元，其中，在建0.00万元，占0.00%，停建0.00万元，占0.00%；建成未使用0.00万元,占0.00%；已投入使用0.00万元，占0.00%；（未转固年限大于6个月0.00万元，占0.00%）。</w:t>
      </w:r>
    </w:p>
    <w:p w14:paraId="71F569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本年度新增0.00万元，处置0.00万元。</w:t>
      </w:r>
    </w:p>
    <w:p w14:paraId="2C17058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（四）资产绩效情况。</w:t>
      </w:r>
    </w:p>
    <w:p w14:paraId="6FDB280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截至2024年12月31日，我单位固定资产成新率为46.47%；公共基础设施成新率为0.00%；保障性住房成新率为0.00%。</w:t>
      </w:r>
    </w:p>
    <w:p w14:paraId="55C1E58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三、资产管理工作情况</w:t>
      </w:r>
    </w:p>
    <w:p w14:paraId="49B471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  <w:lang w:eastAsia="zh-CN"/>
        </w:rPr>
        <w:t>（一）</w:t>
      </w:r>
      <w:r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</w:rPr>
        <w:t>提高认识,</w:t>
      </w:r>
      <w:r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  <w:lang w:eastAsia="zh-CN"/>
        </w:rPr>
        <w:t>注重业务</w:t>
      </w:r>
      <w:r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</w:rPr>
        <w:t>学习,</w:t>
      </w:r>
      <w:r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  <w:lang w:eastAsia="zh-CN"/>
        </w:rPr>
        <w:t>夯</w:t>
      </w:r>
      <w:r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</w:rPr>
        <w:t>实管理基础</w:t>
      </w:r>
    </w:p>
    <w:p w14:paraId="259340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为加强和规范行政事业单位国有资产管理,提高财政资金使用效益,保证单位国有资产的安全完整,进一步提高资产管理水平,认真学习《行政事业单位国有资产管理办法》等有关文件,明确了工作职责与工作要求,力求做到规范管理、科学统筹,不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  <w:t>断提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高资产使用效率。</w:t>
      </w:r>
    </w:p>
    <w:p w14:paraId="2D50FD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</w:rPr>
        <w:t>二</w:t>
      </w:r>
      <w:r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  <w:lang w:eastAsia="zh-CN"/>
        </w:rPr>
        <w:t>）完善</w:t>
      </w:r>
      <w:r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</w:rPr>
        <w:t>资产管理制度,提</w:t>
      </w:r>
      <w:r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  <w:lang w:eastAsia="zh-CN"/>
        </w:rPr>
        <w:t>高资</w:t>
      </w:r>
      <w:r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</w:rPr>
        <w:t>产管理水平</w:t>
      </w:r>
    </w:p>
    <w:p w14:paraId="0000FE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行政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  <w:t>事业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单位国有资产管理工作需要有相应的配套管理办法来支持实施,构筑完善的制度体系是建立行政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  <w:t>事业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单位国有资产管理长效机制的基础。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  <w:t>我单位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为进一步提高资产管理水平,防止国有资产流失,维护国有资产的安全和完整,在工作中结合本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实际情况,积极探索与之相适应的资产管理配套实施办法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  <w:t>，制定国有资产管理制度，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加大了资产管理力度。</w:t>
      </w:r>
    </w:p>
    <w:p w14:paraId="6D8B32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  <w:lang w:eastAsia="zh-CN"/>
        </w:rPr>
        <w:t>（三）</w:t>
      </w:r>
      <w:r>
        <w:rPr>
          <w:rFonts w:hint="eastAsia" w:ascii="仿宋_GB2312" w:hAnsi="仿宋_GB2312" w:eastAsia="仿宋_GB2312" w:cs="仿宋_GB2312"/>
          <w:b/>
          <w:bCs w:val="0"/>
          <w:i w:val="0"/>
          <w:kern w:val="30"/>
          <w:sz w:val="32"/>
          <w:szCs w:val="32"/>
          <w:u w:val="none"/>
        </w:rPr>
        <w:t>加强日常资产管理,规范管理程序</w:t>
      </w:r>
    </w:p>
    <w:p w14:paraId="576154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在资产的日常管理方面,实施“单位资产动态兼管,资源共享,资产管理与预算管理、资金管理相结合”的管理办去。</w:t>
      </w:r>
    </w:p>
    <w:p w14:paraId="1E9C14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(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  <w:t>一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)新增(购买、接收捐赠)资产及时入账,落实保管制度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责任到人。</w:t>
      </w:r>
    </w:p>
    <w:p w14:paraId="0ED265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(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  <w:t>二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)资产盘亏、报废由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办公室盘点后提出资产盘亏、报废申请报告,并会同财务部门核查落实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  <w:t>，上</w:t>
      </w: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</w:rPr>
        <w:t>报财政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  <w:t>部门审批，严格规范资产处置程序。</w:t>
      </w:r>
    </w:p>
    <w:p w14:paraId="57F3E9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  <w:t>(三)落实检查制度,对各股室资产的调配、使用、保管进行定期和不定期检查,特别是对易携带、易丢失、已损坏资产的检查,做到了账实相符,存放地点清楚，责任人员明确。</w:t>
      </w:r>
    </w:p>
    <w:p w14:paraId="4537B1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kern w:val="30"/>
          <w:sz w:val="32"/>
          <w:szCs w:val="32"/>
          <w:u w:val="none"/>
          <w:lang w:eastAsia="zh-CN"/>
        </w:rPr>
        <w:t>(四)各股室均加强了安全措施,本年度无资产被盗现象,使用管理人员都能做好检查维护工作,确保资产的使用性能。</w:t>
      </w:r>
    </w:p>
    <w:p w14:paraId="74C01B3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四、保障单位履职和促进事业发展情况</w:t>
      </w:r>
    </w:p>
    <w:p w14:paraId="3E3C467F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为认真贯彻落实党中央、国务院关于“过紧日子”的工作要求，有效盘活并高效使用固定资产，提升行政事业单位国有资产管理整体水平，更好地服务与保障单位履职和事业发展，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我单位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多措并举，在狠抓责任管理、基础管理、行为管理、追责管理四个方面下功夫，力促固定资产管理更有成效。</w:t>
      </w:r>
    </w:p>
    <w:p w14:paraId="0B1A007E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压紧压实管理责任，健全管理制度。强化和落实管理职责，加强固定资产顶层设计，明确固定资产监督和管理职责，层层压实、层层落实。建立固定资产管理实施办法，进一步细化要求，针对固定资产验收登记、核算入账、领用移交等重点环节，查漏补缺。完善内部控制制度，强化固定资产配置、使用、处置等环节管控，强化部门的通力协作，形成合力。</w:t>
      </w:r>
    </w:p>
    <w:p w14:paraId="1ABBC64A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 发力加压基础管理，切实摸清家底。单位严格落实政府会计准则制度，按规定设置固定资产账簿，认真核对检查，做好固定资产卡片管理，做到有物必登、登记到人。常态化开展固定资产清查盘点，全面掌握固定资产数量、价值和使用状况。</w:t>
      </w:r>
    </w:p>
    <w:p w14:paraId="38F927FB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 严格规范管理行为，提升管理效能。认真落实“过紧日子”要求，在摸清固定资产存量基础上，根据实际需要提出合理配置需求，并强化审核把关。积极推进固定资产在单位内部调剂共享，提升固定资产使用效益。</w:t>
      </w:r>
    </w:p>
    <w:p w14:paraId="08E33D32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建立完善追责机制，加强监管检查。建立固定资产追责机制，落实损失赔偿责任。对因使用、保管不善造成损失的，划定责任范围。建立固定资产全过程绩效管理体系，实施跟踪问效。加强固定资产监督检查，针对固定资产制度完善情况、基础工作是否扎实等进行检查，对出现问题的，依法追究责任。</w:t>
      </w:r>
    </w:p>
    <w:p w14:paraId="50A4624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五、资产管理工作存在的问题</w:t>
      </w:r>
    </w:p>
    <w:p w14:paraId="288192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多年的努力，我单位在国有资产的管理实践与探索中取得了一些成效，也积累了一些经验，但离真正实现国有资产有效管理的目标和任务还有差距，在实际工作中还有欠缺和不足。</w:t>
      </w:r>
    </w:p>
    <w:p w14:paraId="7D857C7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 xml:space="preserve"> 1.制度不完善：缺乏涵盖资产采购、使用、处置等全流程的详细规范，导致各环节操作无据可依，出现管理漏洞。</w:t>
      </w:r>
    </w:p>
    <w:p w14:paraId="1ACBF78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 xml:space="preserve"> </w:t>
      </w:r>
    </w:p>
    <w:p w14:paraId="2FD458E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2.执行不严格：虽有制度，但在实际工作中未严格落实。</w:t>
      </w:r>
    </w:p>
    <w:p w14:paraId="6A24794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3.资产清查方面:清查不全面,仅对部分主要资产进行清查，忽视了一些低值易耗品、无形资产等，造成账外资产存在。</w:t>
      </w:r>
    </w:p>
    <w:p w14:paraId="099F68D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4.清查周期长：资产清查间隔时间过长，难以及时发现资产的变动情况，影响资产信息的时效性。</w:t>
      </w:r>
    </w:p>
    <w:p w14:paraId="3458A5F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5.专业素质不足：资产管理人员缺乏财务、评估等专业知识，难以对资产进行准确核算和价值评估。</w:t>
      </w:r>
    </w:p>
    <w:p w14:paraId="43A8737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6.责任不明确：资产管理涉及多部门多岗位，但职责划分不清，出现问题时相互推诿。 </w:t>
      </w:r>
    </w:p>
    <w:p w14:paraId="4B05504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3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六、下一步工作思路</w:t>
      </w:r>
    </w:p>
    <w:p w14:paraId="342DBEB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完善制度细则：深入调研国资管理各环节，制定涵盖资产购置、调配、使用、报废全流程的详尽管理制度，明确每一步骤的操作标准、责任主体与监督机制。</w:t>
      </w:r>
    </w:p>
    <w:p w14:paraId="30CC6BE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强化执行监督：设立专门的监督小组，定期对制度执行情况进行检查，将制度执行纳入员工绩效考核，对违规操作严肃问责，确保制度刚性执行。</w:t>
      </w:r>
    </w:p>
    <w:p w14:paraId="2DF9B12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资产清查：全面清查盘点，按季度开展全面资产清查，涵盖固定资产、流动资产、无形资产等，建立清查档案，详细记录资产状况，对清查中发现的账实不符问题及时整改。</w:t>
      </w:r>
    </w:p>
    <w:p w14:paraId="71701A9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专业培训提升：定期组织及参加国资管理相关培训，内容包括资产评估、财务核算、法规政策等，提升职工专业素养。</w:t>
      </w:r>
    </w:p>
    <w:p w14:paraId="3AE59AF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 xml:space="preserve"> 明确职责分工：制定详细的岗位说明书，明确各部门、岗位在国资管理中的职责，建立责任追溯机制，一旦出现管理问题，可精准追溯到具体责任人。</w:t>
      </w:r>
    </w:p>
    <w:p w14:paraId="1A0A0DD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优化资产配置：根据各部门实际需求，合理调配资产，建立资产共享平台，提高资产利用率，减少闲置浪费，对长期闲置资产及时进行处置。</w:t>
      </w:r>
    </w:p>
    <w:p w14:paraId="5FE6B9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</w:t>
      </w:r>
    </w:p>
    <w:p w14:paraId="1723D5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D9588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5430C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contextualSpacing/>
        <w:jc w:val="left"/>
        <w:textAlignment w:val="auto"/>
        <w:rPr>
          <w:rFonts w:hint="eastAsia" w:ascii="仿宋_GB2312" w:hAnsi="仿宋_GB2312" w:eastAsia="仿宋_GB2312" w:cs="仿宋_GB2312"/>
          <w:bCs/>
          <w:kern w:val="30"/>
          <w:sz w:val="32"/>
          <w:szCs w:val="32"/>
        </w:rPr>
      </w:pPr>
    </w:p>
    <w:p w14:paraId="4E58F1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contextualSpacing/>
        <w:jc w:val="left"/>
        <w:textAlignment w:val="auto"/>
        <w:rPr>
          <w:rFonts w:hint="eastAsia" w:ascii="仿宋_GB2312" w:hAnsi="仿宋_GB2312" w:eastAsia="仿宋_GB2312" w:cs="仿宋_GB2312"/>
          <w:bCs/>
          <w:kern w:val="30"/>
          <w:sz w:val="32"/>
          <w:szCs w:val="32"/>
        </w:rPr>
      </w:pPr>
    </w:p>
    <w:p w14:paraId="7EE5F2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contextualSpacing/>
        <w:jc w:val="left"/>
        <w:textAlignment w:val="auto"/>
        <w:rPr>
          <w:rFonts w:hint="eastAsia" w:ascii="仿宋_GB2312" w:hAnsi="仿宋_GB2312" w:eastAsia="仿宋_GB2312" w:cs="仿宋_GB2312"/>
          <w:bCs/>
          <w:kern w:val="30"/>
          <w:sz w:val="32"/>
          <w:szCs w:val="32"/>
        </w:rPr>
      </w:pPr>
    </w:p>
    <w:p w14:paraId="3F26D1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contextualSpacing/>
        <w:jc w:val="left"/>
        <w:textAlignment w:val="auto"/>
        <w:rPr>
          <w:rFonts w:hint="eastAsia" w:ascii="仿宋_GB2312" w:hAnsi="仿宋_GB2312" w:eastAsia="仿宋_GB2312" w:cs="仿宋_GB2312"/>
          <w:bCs/>
          <w:kern w:val="30"/>
          <w:sz w:val="32"/>
          <w:szCs w:val="32"/>
        </w:rPr>
      </w:pPr>
    </w:p>
    <w:p w14:paraId="2A97E819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16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08B3E3B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16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凤台县地震局</w:t>
      </w:r>
    </w:p>
    <w:p w14:paraId="4A745EEF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footerReference r:id="rId3" w:type="default"/>
      <w:footerReference r:id="rId4" w:type="even"/>
      <w:pgSz w:w="12240" w:h="15840"/>
      <w:pgMar w:top="1440" w:right="1701" w:bottom="1440" w:left="1701" w:header="720" w:footer="72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E1923">
    <w:pPr>
      <w:pStyle w:val="10"/>
      <w:framePr w:wrap="around" w:vAnchor="text" w:hAnchor="margin" w:xAlign="center" w:y="1"/>
      <w:rPr>
        <w:rStyle w:val="18"/>
      </w:rPr>
    </w:pPr>
    <w:r>
      <w:fldChar w:fldCharType="begin"/>
    </w:r>
    <w:r>
      <w:rPr>
        <w:rStyle w:val="18"/>
      </w:rPr>
      <w:instrText xml:space="preserve">PAGE  </w:instrText>
    </w:r>
    <w:r>
      <w:fldChar w:fldCharType="separate"/>
    </w:r>
    <w:r>
      <w:rPr>
        <w:rStyle w:val="18"/>
      </w:rPr>
      <w:t>2</w:t>
    </w:r>
    <w:r>
      <w:fldChar w:fldCharType="end"/>
    </w:r>
  </w:p>
  <w:p w14:paraId="668118AE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35455">
    <w:pPr>
      <w:pStyle w:val="10"/>
      <w:framePr w:wrap="around" w:vAnchor="text" w:hAnchor="margin" w:xAlign="center" w:y="1"/>
      <w:rPr>
        <w:rStyle w:val="18"/>
      </w:rPr>
    </w:pPr>
    <w:r>
      <w:fldChar w:fldCharType="begin"/>
    </w:r>
    <w:r>
      <w:rPr>
        <w:rStyle w:val="18"/>
      </w:rPr>
      <w:instrText xml:space="preserve">PAGE  </w:instrText>
    </w:r>
    <w:r>
      <w:fldChar w:fldCharType="end"/>
    </w:r>
  </w:p>
  <w:p w14:paraId="3900A9EF">
    <w:pPr>
      <w:pStyle w:val="1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360"/>
  <w:drawingGridHorizontalSpacing w:val="105"/>
  <w:drawingGridVerticalSpacing w:val="120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jN2JlMzQ1MTA5ZGZlOTg4MGI0N2RmZjkzNDgxZDUifQ=="/>
  </w:docVars>
  <w:rsids>
    <w:rsidRoot w:val="00260EAE"/>
    <w:rsid w:val="00011E57"/>
    <w:rsid w:val="00016968"/>
    <w:rsid w:val="00021800"/>
    <w:rsid w:val="0007144C"/>
    <w:rsid w:val="00074BBD"/>
    <w:rsid w:val="00091B8B"/>
    <w:rsid w:val="000B33A8"/>
    <w:rsid w:val="000E6DED"/>
    <w:rsid w:val="001067B4"/>
    <w:rsid w:val="0017597A"/>
    <w:rsid w:val="00190794"/>
    <w:rsid w:val="00193A65"/>
    <w:rsid w:val="001A3C8C"/>
    <w:rsid w:val="001C08FC"/>
    <w:rsid w:val="001E48A0"/>
    <w:rsid w:val="001F71B5"/>
    <w:rsid w:val="0021338F"/>
    <w:rsid w:val="00221865"/>
    <w:rsid w:val="002224D1"/>
    <w:rsid w:val="00232F86"/>
    <w:rsid w:val="002411BF"/>
    <w:rsid w:val="00256EBF"/>
    <w:rsid w:val="00260EAE"/>
    <w:rsid w:val="00274748"/>
    <w:rsid w:val="00292ECA"/>
    <w:rsid w:val="002C3A1A"/>
    <w:rsid w:val="003370C3"/>
    <w:rsid w:val="00352E5D"/>
    <w:rsid w:val="0035764D"/>
    <w:rsid w:val="0036491B"/>
    <w:rsid w:val="00371587"/>
    <w:rsid w:val="003825B4"/>
    <w:rsid w:val="003A75E4"/>
    <w:rsid w:val="003B1061"/>
    <w:rsid w:val="004246DC"/>
    <w:rsid w:val="004322C1"/>
    <w:rsid w:val="0044705D"/>
    <w:rsid w:val="00466952"/>
    <w:rsid w:val="004848A1"/>
    <w:rsid w:val="0049464A"/>
    <w:rsid w:val="004A2AEA"/>
    <w:rsid w:val="004E2457"/>
    <w:rsid w:val="004F357A"/>
    <w:rsid w:val="0050474D"/>
    <w:rsid w:val="00507F6A"/>
    <w:rsid w:val="00531662"/>
    <w:rsid w:val="00590603"/>
    <w:rsid w:val="005A7E28"/>
    <w:rsid w:val="005B4540"/>
    <w:rsid w:val="005F7C66"/>
    <w:rsid w:val="006257B1"/>
    <w:rsid w:val="006A24D4"/>
    <w:rsid w:val="006D4F57"/>
    <w:rsid w:val="0071102B"/>
    <w:rsid w:val="00773B51"/>
    <w:rsid w:val="00783CE7"/>
    <w:rsid w:val="00785EE4"/>
    <w:rsid w:val="00795DDE"/>
    <w:rsid w:val="007969DB"/>
    <w:rsid w:val="007A4375"/>
    <w:rsid w:val="007C4D06"/>
    <w:rsid w:val="007C7068"/>
    <w:rsid w:val="00856764"/>
    <w:rsid w:val="008B1206"/>
    <w:rsid w:val="00915948"/>
    <w:rsid w:val="00992AD5"/>
    <w:rsid w:val="009A03FB"/>
    <w:rsid w:val="009A3472"/>
    <w:rsid w:val="009B12D9"/>
    <w:rsid w:val="009F5AA6"/>
    <w:rsid w:val="00A13A4C"/>
    <w:rsid w:val="00A1434E"/>
    <w:rsid w:val="00A51325"/>
    <w:rsid w:val="00A65917"/>
    <w:rsid w:val="00AA2478"/>
    <w:rsid w:val="00AA5D80"/>
    <w:rsid w:val="00AB7D18"/>
    <w:rsid w:val="00AC220B"/>
    <w:rsid w:val="00AE4694"/>
    <w:rsid w:val="00B26A60"/>
    <w:rsid w:val="00B5349F"/>
    <w:rsid w:val="00B9363C"/>
    <w:rsid w:val="00BB61F0"/>
    <w:rsid w:val="00C038AA"/>
    <w:rsid w:val="00C2183C"/>
    <w:rsid w:val="00C437D1"/>
    <w:rsid w:val="00C757E0"/>
    <w:rsid w:val="00C85E53"/>
    <w:rsid w:val="00CA25EA"/>
    <w:rsid w:val="00CB21A7"/>
    <w:rsid w:val="00D6190F"/>
    <w:rsid w:val="00D76C34"/>
    <w:rsid w:val="00D8037D"/>
    <w:rsid w:val="00D95A40"/>
    <w:rsid w:val="00DA07B4"/>
    <w:rsid w:val="00DA3179"/>
    <w:rsid w:val="00DB4607"/>
    <w:rsid w:val="00E20C6E"/>
    <w:rsid w:val="00E55462"/>
    <w:rsid w:val="00E620D2"/>
    <w:rsid w:val="00E63B9E"/>
    <w:rsid w:val="00E90484"/>
    <w:rsid w:val="00EB4969"/>
    <w:rsid w:val="00EB5584"/>
    <w:rsid w:val="00EF7BA5"/>
    <w:rsid w:val="00F0417B"/>
    <w:rsid w:val="00F679E0"/>
    <w:rsid w:val="00FA35A0"/>
    <w:rsid w:val="023A39F3"/>
    <w:rsid w:val="02E05BCC"/>
    <w:rsid w:val="04486A97"/>
    <w:rsid w:val="07061BEC"/>
    <w:rsid w:val="07710680"/>
    <w:rsid w:val="09CD45A7"/>
    <w:rsid w:val="09E85132"/>
    <w:rsid w:val="0EAD34BA"/>
    <w:rsid w:val="0F6815F8"/>
    <w:rsid w:val="168843E6"/>
    <w:rsid w:val="18482D61"/>
    <w:rsid w:val="209F6050"/>
    <w:rsid w:val="20A03F2A"/>
    <w:rsid w:val="24791949"/>
    <w:rsid w:val="26E400EE"/>
    <w:rsid w:val="28713AAE"/>
    <w:rsid w:val="2F5110B5"/>
    <w:rsid w:val="31753A31"/>
    <w:rsid w:val="31CF00FD"/>
    <w:rsid w:val="33E91103"/>
    <w:rsid w:val="38744AC1"/>
    <w:rsid w:val="45BC2474"/>
    <w:rsid w:val="46A67031"/>
    <w:rsid w:val="55C74159"/>
    <w:rsid w:val="5D503E63"/>
    <w:rsid w:val="61680C02"/>
    <w:rsid w:val="61C3648D"/>
    <w:rsid w:val="65CF42C9"/>
    <w:rsid w:val="703C3C5F"/>
    <w:rsid w:val="71F45005"/>
    <w:rsid w:val="7E6345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nhideWhenUsed="0" w:uiPriority="0" w:semiHidden="0" w:name="Closing"/>
    <w:lsdException w:uiPriority="99" w:name="Signature"/>
    <w:lsdException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6">
    <w:name w:val="Default Paragraph Font"/>
    <w:unhideWhenUsed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autoRedefine/>
    <w:qFormat/>
    <w:uiPriority w:val="0"/>
  </w:style>
  <w:style w:type="paragraph" w:styleId="5">
    <w:name w:val="Closing"/>
    <w:basedOn w:val="1"/>
    <w:autoRedefine/>
    <w:qFormat/>
    <w:uiPriority w:val="0"/>
    <w:pPr>
      <w:ind w:left="100" w:leftChars="2100"/>
    </w:pPr>
  </w:style>
  <w:style w:type="paragraph" w:styleId="6">
    <w:name w:val="Body Text"/>
    <w:basedOn w:val="1"/>
    <w:autoRedefine/>
    <w:qFormat/>
    <w:uiPriority w:val="0"/>
    <w:pPr>
      <w:spacing w:line="700" w:lineRule="exact"/>
      <w:jc w:val="center"/>
    </w:pPr>
    <w:rPr>
      <w:rFonts w:ascii="华文中宋" w:eastAsia="华文中宋"/>
      <w:sz w:val="44"/>
      <w:szCs w:val="20"/>
    </w:r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8">
    <w:name w:val="Date"/>
    <w:basedOn w:val="1"/>
    <w:next w:val="1"/>
    <w:autoRedefine/>
    <w:qFormat/>
    <w:uiPriority w:val="0"/>
    <w:pPr>
      <w:ind w:left="100" w:leftChars="2500"/>
    </w:pPr>
  </w:style>
  <w:style w:type="paragraph" w:styleId="9">
    <w:name w:val="Body Text Indent 2"/>
    <w:basedOn w:val="1"/>
    <w:autoRedefine/>
    <w:qFormat/>
    <w:uiPriority w:val="0"/>
    <w:pPr>
      <w:spacing w:after="120" w:line="480" w:lineRule="auto"/>
      <w:ind w:left="420" w:leftChars="200"/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2"/>
    <w:basedOn w:val="1"/>
    <w:qFormat/>
    <w:uiPriority w:val="0"/>
    <w:pPr>
      <w:spacing w:after="120" w:line="480" w:lineRule="auto"/>
    </w:p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 Char Char"/>
    <w:basedOn w:val="16"/>
    <w:link w:val="10"/>
    <w:semiHidden/>
    <w:qFormat/>
    <w:uiPriority w:val="99"/>
    <w:rPr>
      <w:sz w:val="18"/>
      <w:szCs w:val="18"/>
    </w:rPr>
  </w:style>
  <w:style w:type="character" w:customStyle="1" w:styleId="20">
    <w:name w:val=" Char Char1"/>
    <w:basedOn w:val="16"/>
    <w:link w:val="11"/>
    <w:semiHidden/>
    <w:qFormat/>
    <w:uiPriority w:val="99"/>
    <w:rPr>
      <w:sz w:val="18"/>
      <w:szCs w:val="18"/>
    </w:rPr>
  </w:style>
  <w:style w:type="paragraph" w:customStyle="1" w:styleId="2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12</Pages>
  <Words>4755</Words>
  <Characters>5886</Characters>
  <Lines>1</Lines>
  <Paragraphs>1</Paragraphs>
  <TotalTime>5</TotalTime>
  <ScaleCrop>false</ScaleCrop>
  <LinksUpToDate>false</LinksUpToDate>
  <CharactersWithSpaces>5903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2017-02-16T02:13:00Z</dcterms:created>
  <dc:creator>gocom</dc:creator>
  <cp:lastModifiedBy>心动无痕</cp:lastModifiedBy>
  <cp:lastPrinted>2017-02-16T02:14:00Z</cp:lastPrinted>
  <dcterms:modified xsi:type="dcterms:W3CDTF">2026-07-29T02:04:31Z</dcterms:modified>
  <dc:title>凤台县地震局文件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E1A3DF714DEC40B89D3293852CDBEDDE_13</vt:lpwstr>
  </property>
  <property fmtid="{D5CDD505-2E9C-101B-9397-08002B2CF9AE}" pid="4" name="KSOTemplateDocerSaveRecord">
    <vt:lpwstr>eyJoZGlkIjoiMzE3YjNjOThiNGRiNDY1NjgxMTZkMzJlZjRiYzgzYTgiLCJ1c2VySWQiOiI2MzgxODMzMTIifQ==</vt:lpwstr>
  </property>
</Properties>
</file>