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DC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0" w:leftChars="0" w:right="0" w:rightChars="0"/>
        <w:jc w:val="center"/>
        <w:textAlignment w:val="auto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Arial" w:eastAsia="方正小标宋_GBK" w:cs="Arial"/>
          <w:sz w:val="44"/>
          <w:szCs w:val="44"/>
          <w:lang w:val="en-US" w:eastAsia="zh-CN"/>
        </w:rPr>
        <w:t>统战部</w:t>
      </w:r>
      <w:r>
        <w:rPr>
          <w:rFonts w:hint="eastAsia" w:ascii="方正小标宋_GBK" w:hAnsi="Arial" w:eastAsia="方正小标宋_GBK" w:cs="Arial"/>
          <w:sz w:val="44"/>
          <w:szCs w:val="44"/>
        </w:rPr>
        <w:t>整体支出绩效自评报告</w:t>
      </w:r>
    </w:p>
    <w:p w14:paraId="131032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87" w:afterLines="50" w:line="510" w:lineRule="exact"/>
        <w:ind w:left="0" w:leftChars="0" w:right="0" w:rightChars="0"/>
        <w:jc w:val="center"/>
        <w:textAlignment w:val="auto"/>
        <w:rPr>
          <w:rFonts w:hint="eastAsia" w:ascii="黑体" w:hAnsi="黑体" w:eastAsia="黑体" w:cs="黑体"/>
          <w:szCs w:val="32"/>
          <w:lang w:val="en-US" w:eastAsia="zh-CN"/>
        </w:rPr>
      </w:pPr>
    </w:p>
    <w:p w14:paraId="3761D1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  <w:r>
        <w:rPr>
          <w:rFonts w:hint="eastAsia" w:ascii="黑体" w:hAnsi="黑体" w:eastAsia="黑体" w:cs="黑体"/>
          <w:szCs w:val="32"/>
          <w:lang w:val="en-US" w:eastAsia="zh-CN"/>
        </w:rPr>
        <w:t>一、单位概况</w:t>
      </w:r>
    </w:p>
    <w:p w14:paraId="2C0A6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Cs w:val="32"/>
          <w:lang w:val="en-US" w:eastAsia="zh-CN"/>
        </w:rPr>
        <w:t>（一）单位基本情况</w:t>
      </w:r>
    </w:p>
    <w:p w14:paraId="383364A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本单位为党政机关，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主要职能为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lang w:val="en-US" w:eastAsia="zh-CN"/>
        </w:rPr>
        <w:t>积极促进政党关系、民族关系、宗教关系、阶层关系、海内外同胞关系和谐，巩固和发展最广泛的爱国统一战线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内设办公室、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法规监督室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统战工作室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民族宗教工作室、港澳侨台工作办公室5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个职能科室；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无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下属单位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45AB59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现有在编在岗人员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建立完整内部控制管理制度，覆盖预算管理、采购、资产、资金支付、项目审批全流程，落实“三重一大”集体决策制度，定期开展内控自查与廉政风险排查，机构人员配置匹配年度履职需求。</w:t>
      </w:r>
    </w:p>
    <w:p w14:paraId="185C4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楷体_GB2312" w:hAnsi="楷体_GB2312" w:eastAsia="楷体_GB2312" w:cs="楷体_GB231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Cs w:val="32"/>
          <w:lang w:val="en-US" w:eastAsia="zh-CN"/>
        </w:rPr>
        <w:t>（二）单位预算执行情况</w:t>
      </w:r>
    </w:p>
    <w:p w14:paraId="7C8A2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 收支构成与资金来源：本年度部门预算总收入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207.47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万元，全部为财政一般公共预算拨款，无政府性基金、自有经营收入；预算总支出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207.47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万元，其中基本支出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170.75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万元（人员经费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157.76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万元、公用经费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12.99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万元），项目支出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36.72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万元（民生服务项目、基础设施运维、专项业务工作三类）。</w:t>
      </w:r>
    </w:p>
    <w:p w14:paraId="0F6AA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 预算执行进度：基本支出全额执行到位；项目支出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全年预算59.80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万元，实际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支出36.72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万元，结余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23.08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万元，预算执行率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61.4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%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结余原因为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财政库存紧张未支付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。资金拨付严格按照国库集中支付流程，无截留、挤占、挪用资金情况。</w:t>
      </w:r>
    </w:p>
    <w:p w14:paraId="3419F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楷体_GB2312" w:hAnsi="楷体_GB2312" w:eastAsia="楷体_GB2312" w:cs="楷体_GB231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Cs w:val="32"/>
          <w:lang w:val="en-US" w:eastAsia="zh-CN"/>
        </w:rPr>
        <w:t>（三）单位绩效目标及完成情况</w:t>
      </w:r>
    </w:p>
    <w:p w14:paraId="7D1F0EC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8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本年度总体绩效目标：完成年度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培养、使用、管理无党派人士、党外知识分子、少数民族人士、宗教界人士、非公有制经济人士、新的社会阶层人士、出国和归国留学人员、台湾同胞及其在大陆的亲属、华侨归侨及侨眷等其他需要联系和团结的人员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；</w:t>
      </w:r>
    </w:p>
    <w:p w14:paraId="5E0F8C9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领导、管理黄埔亲属联谊会、台胞台属联谊会、知识分子联谊会、新的社会阶层联谊会统战社会团体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；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做好港澳台统一战线工作、海外统一战线工作和侨务工作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；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加强统战部门自身建设，做好党建工作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；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做好全县的民族工作，协调处理民族工作中的重大问题，全面促进全县民族聚居地区经济和社会各项事业发展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；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做好全县的宗教工作，依法管理宗教场所，积极开展“四进四有”，践行社会主义核心价值观；加强宗教界自身建设，维护宗教领域的和谐稳定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；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开斋节慰问全县的清真寺，春节慰问无党派人士、党外知识分子、少数民族人士、宗教界人士、非公有制经济人士、新的社会阶层人士、出国和归国留学人员、台湾同胞及其在大陆的亲属、华侨归侨及侨眷等统战对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；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做好主要教职人员生活困难补助核定发放工作。</w:t>
      </w:r>
    </w:p>
    <w:p w14:paraId="04833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黑体" w:hAnsi="黑体" w:eastAsia="黑体" w:cs="黑体"/>
          <w:szCs w:val="32"/>
          <w:lang w:val="en-US" w:eastAsia="zh-CN"/>
        </w:rPr>
      </w:pPr>
      <w:r>
        <w:rPr>
          <w:rFonts w:hint="eastAsia" w:ascii="黑体" w:hAnsi="黑体" w:eastAsia="黑体" w:cs="黑体"/>
          <w:szCs w:val="32"/>
          <w:lang w:val="en-US" w:eastAsia="zh-CN"/>
        </w:rPr>
        <w:t>二、绩效自评结论</w:t>
      </w:r>
    </w:p>
    <w:p w14:paraId="26BBC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本年度部门整体支出管理规范，履职成效显著，预算资金使用效益良好。本次整体支出绩效自评总分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94.14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分，自评等级为优。</w:t>
      </w:r>
    </w:p>
    <w:p w14:paraId="085E06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总体来看：部门履职匹配预算投入，决策流程规范、过程管控到位，产出数量、质量达标，经济、社会、可持续效益突出；仅存在少量项目资金执行进度不均衡、绩效指标细化程度不足等细微短板，整体绩效水平符合财政资金使用要求。</w:t>
      </w:r>
    </w:p>
    <w:p w14:paraId="265AC5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楷体_GB2312" w:hAnsi="楷体_GB2312" w:eastAsia="楷体_GB2312" w:cs="楷体_GB2312"/>
          <w:szCs w:val="32"/>
          <w:lang w:val="en-US" w:eastAsia="zh-CN"/>
        </w:rPr>
      </w:pPr>
      <w:r>
        <w:rPr>
          <w:rFonts w:hint="eastAsia" w:ascii="黑体" w:hAnsi="黑体" w:eastAsia="黑体" w:cs="黑体"/>
          <w:szCs w:val="32"/>
          <w:lang w:val="en-US" w:eastAsia="zh-CN"/>
        </w:rPr>
        <w:t>三、指标分析</w:t>
      </w:r>
    </w:p>
    <w:p w14:paraId="6758B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楷体_GB2312" w:hAnsi="楷体_GB2312" w:eastAsia="楷体_GB2312" w:cs="楷体_GB231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Cs w:val="32"/>
          <w:lang w:val="en-US" w:eastAsia="zh-CN"/>
        </w:rPr>
        <w:t>（一）决策情况。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（分值25分，得分2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分）</w:t>
      </w:r>
    </w:p>
    <w:p w14:paraId="67E82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 预算编制：严格依据年度工作计划、人员配置、项目实施方案编制预算，基础数据真实完整，项目均编制绩效目标申报表；仅部分细化量化指标设置不够精准，扣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分。</w:t>
      </w:r>
    </w:p>
    <w:p w14:paraId="2A197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 资金分配：基本支出按人员标准核定，项目资金按项目实施进度分阶段分配，分配方案经班子集体审议，无随意调剂、倾斜分配现象。</w:t>
      </w:r>
    </w:p>
    <w:p w14:paraId="44ED3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楷体_GB2312" w:hAnsi="楷体_GB2312" w:eastAsia="楷体_GB2312" w:cs="楷体_GB231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 决策机制：重大项目、大额资金使用全部执行“三重一大”会议决策，留存完整会议纪要、可行性论证材料，决策依据充分、程序合规。</w:t>
      </w:r>
    </w:p>
    <w:p w14:paraId="23999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楷体_GB2312" w:hAnsi="楷体_GB2312" w:eastAsia="楷体_GB2312" w:cs="楷体_GB231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Cs w:val="32"/>
          <w:lang w:val="en-US" w:eastAsia="zh-CN"/>
        </w:rPr>
        <w:t>（二）过程情况。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（分值25分，得分2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分）</w:t>
      </w:r>
    </w:p>
    <w:p w14:paraId="5A1AF4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 资金管理：财务制度健全，国库集中支付、公务卡报销、专项资金台账管理落实到位，全年开展2次内部财务自查，未发现违规报销、超标准开支；个别项目支付附件资料归档滞后，扣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分。</w:t>
      </w:r>
    </w:p>
    <w:p w14:paraId="4B999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 资产管理：固定资产入账、领用、处置流程规范，年末完成全面资产盘点，账实基本相符；定期开展资产维保，无闲置、流失资产。</w:t>
      </w:r>
    </w:p>
    <w:p w14:paraId="72E22B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楷体_GB2312" w:hAnsi="楷体_GB2312" w:eastAsia="楷体_GB2312" w:cs="楷体_GB231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 项目实施管控：所有项目建立台账，实行专人跟进，采购类项目严格执行政府采购流程，工程类项目落实监理、验收制度，过程资料完整可追溯。</w:t>
      </w:r>
    </w:p>
    <w:p w14:paraId="43B59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楷体_GB2312" w:hAnsi="楷体_GB2312" w:eastAsia="楷体_GB2312" w:cs="楷体_GB231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Cs w:val="32"/>
          <w:lang w:val="en-US" w:eastAsia="zh-CN"/>
        </w:rPr>
        <w:t>（三）产出情况。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（分值25分，得分25分）</w:t>
      </w:r>
    </w:p>
    <w:p w14:paraId="1FECC7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 产出数量：全年业务办理、政策宣传等各项产出任务全部完成，多项指标超额完成年度计划；</w:t>
      </w:r>
    </w:p>
    <w:p w14:paraId="0F07A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 产出质量：项目验收合格率100%，群众业务办理满意度98%，行业整改完成率100%，工作成果符合质量标准；</w:t>
      </w:r>
    </w:p>
    <w:p w14:paraId="31B36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楷体_GB2312" w:hAnsi="楷体_GB2312" w:eastAsia="楷体_GB2312" w:cs="楷体_GB231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 产出时效：常规业务限时办结，专项项目按期竣工，年度全部工作任务均在规定时限内落地。</w:t>
      </w:r>
    </w:p>
    <w:p w14:paraId="476C7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楷体_GB2312" w:hAnsi="楷体_GB2312" w:eastAsia="楷体_GB2312" w:cs="楷体_GB231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Cs w:val="32"/>
          <w:lang w:val="en-US" w:eastAsia="zh-CN"/>
        </w:rPr>
        <w:t>（四）效益情况。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（分值25分，得分23分）</w:t>
      </w:r>
    </w:p>
    <w:p w14:paraId="59AE1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 社会效益：民生项目落地改善群众生活条件，行业监管有效化解基层矛盾，公共服务覆盖面持续扩大，群众投诉量同比下降35%；</w:t>
      </w:r>
    </w:p>
    <w:p w14:paraId="23952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 可持续效益：完善长效管理制度，搭建常态化服务平台，本年度实施项目可长期稳定发挥服务作用；</w:t>
      </w:r>
    </w:p>
    <w:p w14:paraId="57333F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楷体_GB2312" w:hAnsi="楷体_GB2312" w:eastAsia="楷体_GB2312" w:cs="楷体_GB231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 经济效益：节约行政运行成本，降低群众办事成本，减少后期维修投入；扣分项为项目长期效益跟踪评价机制不完善，扣2分。</w:t>
      </w:r>
    </w:p>
    <w:p w14:paraId="09AD4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黑体" w:hAnsi="黑体" w:eastAsia="黑体" w:cs="黑体"/>
          <w:szCs w:val="32"/>
          <w:lang w:val="en-US" w:eastAsia="zh-CN"/>
        </w:rPr>
      </w:pPr>
      <w:r>
        <w:rPr>
          <w:rFonts w:hint="eastAsia" w:ascii="黑体" w:hAnsi="黑体" w:eastAsia="黑体" w:cs="黑体"/>
          <w:szCs w:val="32"/>
          <w:lang w:val="en-US" w:eastAsia="zh-CN"/>
        </w:rPr>
        <w:t>四、主要经验及做法、存在的问题及原因分析</w:t>
      </w:r>
    </w:p>
    <w:p w14:paraId="5DA63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（一）主要经验及做法</w:t>
      </w:r>
    </w:p>
    <w:p w14:paraId="66F0E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 强化预算绩效前置管理：年初编制预算同步细化绩效目标，业务科室与财务科室联动，提前测算项目资金需求，从源头提升预算精准度。</w:t>
      </w:r>
    </w:p>
    <w:p w14:paraId="0D786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 实行资金全过程动态监控：按月统计预算执行进度，对滞后项目及时预警，督促业务科室加快实施，有效提升整体执行率。</w:t>
      </w:r>
    </w:p>
    <w:p w14:paraId="154DD9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 内控与绩效融合管理：将绩效自评、内控自查纳入年度常态化工作，定期梳理资金使用、项目实施风险点，及时整改漏洞。</w:t>
      </w:r>
    </w:p>
    <w:p w14:paraId="5B7D0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 健全群众反馈机制：通过线上问卷、线下窗口回访收集群众评价，以服务满意度反向优化资金投入方向。</w:t>
      </w:r>
    </w:p>
    <w:p w14:paraId="7DDDF7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（二）存在问题</w:t>
      </w:r>
    </w:p>
    <w:p w14:paraId="3508C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 部分项目预算执行不均衡，上半年进度偏慢，资金集中在下半年拨付，存在阶段性资金沉淀。</w:t>
      </w:r>
    </w:p>
    <w:p w14:paraId="60C654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 绩效指标精细化不足，部分长期项目缺少分阶段量化绩效指标，效益跟踪不够细化。</w:t>
      </w:r>
    </w:p>
    <w:p w14:paraId="6425AE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 绩效自评成果转化不足，自评发现的优化建议未能充分运用到下一年度预算编制中。</w:t>
      </w:r>
    </w:p>
    <w:p w14:paraId="16A8C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（三）问题成因</w:t>
      </w:r>
    </w:p>
    <w:p w14:paraId="59593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 项目前期筹备周期较长，立项、招标流程耗时，导致上半年项目推进缓慢，资金延后支出。</w:t>
      </w:r>
    </w:p>
    <w:p w14:paraId="7B38D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 业务人员绩效专业能力不足，对绩效指标设置、长期效益评价的业务掌握不充分。</w:t>
      </w:r>
    </w:p>
    <w:p w14:paraId="47112F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黑体" w:hAnsi="黑体" w:eastAsia="黑体" w:cs="黑体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 绩效与预算联动机制不够紧密，绩效自评结果未作为下年度预算申报硬性参考依据。</w:t>
      </w:r>
    </w:p>
    <w:p w14:paraId="694CC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黑体" w:hAnsi="黑体" w:eastAsia="黑体" w:cs="黑体"/>
          <w:szCs w:val="32"/>
          <w:lang w:val="en-US" w:eastAsia="zh-CN"/>
        </w:rPr>
      </w:pPr>
      <w:r>
        <w:rPr>
          <w:rFonts w:hint="eastAsia" w:ascii="黑体" w:hAnsi="黑体" w:eastAsia="黑体" w:cs="黑体"/>
          <w:szCs w:val="32"/>
          <w:lang w:val="en-US" w:eastAsia="zh-CN"/>
        </w:rPr>
        <w:t>五、有关建议</w:t>
      </w:r>
    </w:p>
    <w:p w14:paraId="57ADB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（一）对本单位内部改进建议</w:t>
      </w:r>
    </w:p>
    <w:p w14:paraId="67CAF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 提前谋划下年度项目，上一年四季度完成项目可研、招标筹备，均衡全年资金支付进度，避免年末集中支出。</w:t>
      </w:r>
    </w:p>
    <w:p w14:paraId="49792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 组织业务、财务人员开展绩效指标编制专项培训，细化分季度、分阶段量化绩效指标，完善长期项目效益跟踪台账。</w:t>
      </w:r>
    </w:p>
    <w:p w14:paraId="1B4FC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 建立绩效自评结果应用机制，将本年度自评短板作为下一年预算调整、项目优化的核心依据。</w:t>
      </w:r>
    </w:p>
    <w:p w14:paraId="5FD76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（二）对财政主管部门建议</w:t>
      </w:r>
    </w:p>
    <w:p w14:paraId="5E402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6F141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 优化项目资金拨付周期，允许按项目实施节点分批次拨付资金，减少资金闲置沉淀。</w:t>
      </w:r>
    </w:p>
    <w:p w14:paraId="53D2A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 搭建绩效指标标准化模板库，为基层单位提供统一、细化的绩效指标参考范本。</w:t>
      </w:r>
    </w:p>
    <w:p w14:paraId="2D63A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 增加基层单位绩效业务培训频次，常态化开展现场指导，提升整体绩效工作水平。</w:t>
      </w:r>
    </w:p>
    <w:p w14:paraId="197A27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F3CD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B9EE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798AF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082" w:firstLineChars="1300"/>
        <w:jc w:val="both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凤台县委统战部</w:t>
      </w:r>
    </w:p>
    <w:p w14:paraId="5274E4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710" w:firstLineChars="1500"/>
        <w:jc w:val="both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2026年6月28日</w:t>
      </w:r>
    </w:p>
    <w:p w14:paraId="3B32C818"/>
    <w:sectPr>
      <w:footerReference r:id="rId4" w:type="first"/>
      <w:footerReference r:id="rId3" w:type="default"/>
      <w:pgSz w:w="11906" w:h="16838"/>
      <w:pgMar w:top="2154" w:right="1531" w:bottom="1587" w:left="1588" w:header="0" w:footer="1304" w:gutter="0"/>
      <w:cols w:space="720" w:num="1"/>
      <w:rtlGutter w:val="0"/>
      <w:docGrid w:type="linesAndChars" w:linePitch="569" w:charSpace="-12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6A3AA1">
    <w:pPr>
      <w:pStyle w:val="2"/>
      <w:ind w:right="360"/>
      <w:rPr>
        <w:rFonts w:hint="eastAsia" w:ascii="仿宋_GB2312" w:hAnsi="Times New Roman" w:cs="Times New Roman"/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07E7B0">
    <w:pPr>
      <w:pStyle w:val="2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5DE420">
                          <w:pPr>
                            <w:pStyle w:val="2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55DE420">
                    <w:pPr>
                      <w:pStyle w:val="2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3A1F54"/>
    <w:rsid w:val="31297142"/>
    <w:rsid w:val="48032114"/>
    <w:rsid w:val="483A1F54"/>
    <w:rsid w:val="520236A6"/>
    <w:rsid w:val="5990272F"/>
    <w:rsid w:val="6BF1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_GB2312" w:cs="Times New Roman"/>
      <w:kern w:val="2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2632</Words>
  <Characters>2728</Characters>
  <Lines>0</Lines>
  <Paragraphs>0</Paragraphs>
  <TotalTime>4</TotalTime>
  <ScaleCrop>false</ScaleCrop>
  <LinksUpToDate>false</LinksUpToDate>
  <CharactersWithSpaces>3061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2026-06-24T01:58:00Z</dcterms:created>
  <dc:creator>静如水</dc:creator>
  <cp:lastModifiedBy>静如水</cp:lastModifiedBy>
  <cp:lastPrinted>2026-06-30T02:10:32Z</cp:lastPrinted>
  <dcterms:modified xsi:type="dcterms:W3CDTF">2026-06-30T02:11:43Z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92D7173646E04CB1BC72334CAF9027FE_11</vt:lpwstr>
  </property>
  <property fmtid="{D5CDD505-2E9C-101B-9397-08002B2CF9AE}" pid="4" name="KSOTemplateDocerSaveRecord">
    <vt:lpwstr>eyJoZGlkIjoiNGQ1YmYzNzUwZmViOGE2Y2IzNjI1OTZiM2VjNjg5MWEiLCJ1c2VySWQiOiIxNjE4NTEwOTYzIn0=</vt:lpwstr>
  </property>
</Properties>
</file>