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10AE1">
      <w:pPr>
        <w:pStyle w:val="8"/>
        <w:widowControl/>
        <w:autoSpaceDN w:val="0"/>
        <w:spacing w:line="540" w:lineRule="exact"/>
        <w:jc w:val="center"/>
        <w:rPr>
          <w:rFonts w:hint="eastAsia" w:ascii="宋体" w:hAnsi="宋体" w:eastAsia="宋体" w:cs="宋体"/>
          <w:b/>
          <w:bCs/>
          <w:color w:val="000000"/>
          <w:sz w:val="44"/>
          <w:szCs w:val="44"/>
          <w:lang w:val="en-US" w:eastAsia="zh-CN"/>
        </w:rPr>
      </w:pPr>
      <w:r>
        <w:rPr>
          <w:rFonts w:hint="eastAsia" w:ascii="宋体" w:hAnsi="宋体" w:cs="宋体"/>
          <w:b/>
          <w:bCs/>
          <w:color w:val="000000"/>
          <w:sz w:val="44"/>
          <w:szCs w:val="44"/>
          <w:lang w:val="en-US" w:eastAsia="zh-CN"/>
        </w:rPr>
        <w:t>凤台县科协</w:t>
      </w:r>
      <w:r>
        <w:rPr>
          <w:rFonts w:hint="eastAsia" w:ascii="宋体" w:hAnsi="宋体" w:eastAsia="宋体" w:cs="宋体"/>
          <w:b/>
          <w:bCs/>
          <w:color w:val="000000"/>
          <w:sz w:val="44"/>
          <w:szCs w:val="44"/>
          <w:lang w:val="en-US" w:eastAsia="zh-CN"/>
        </w:rPr>
        <w:t>202</w:t>
      </w:r>
      <w:r>
        <w:rPr>
          <w:rFonts w:hint="eastAsia" w:ascii="宋体" w:hAnsi="宋体" w:cs="宋体"/>
          <w:b/>
          <w:bCs/>
          <w:color w:val="000000"/>
          <w:sz w:val="44"/>
          <w:szCs w:val="44"/>
          <w:lang w:val="en-US" w:eastAsia="zh-CN"/>
        </w:rPr>
        <w:t>5</w:t>
      </w:r>
      <w:r>
        <w:rPr>
          <w:rFonts w:hint="eastAsia" w:ascii="宋体" w:hAnsi="宋体" w:eastAsia="宋体" w:cs="宋体"/>
          <w:b/>
          <w:bCs/>
          <w:color w:val="000000"/>
          <w:sz w:val="44"/>
          <w:szCs w:val="44"/>
          <w:lang w:val="en-US" w:eastAsia="zh-CN"/>
        </w:rPr>
        <w:t>年度“</w:t>
      </w:r>
      <w:r>
        <w:rPr>
          <w:rFonts w:hint="eastAsia" w:ascii="宋体" w:hAnsi="宋体" w:cs="宋体"/>
          <w:b/>
          <w:bCs/>
          <w:color w:val="000000"/>
          <w:sz w:val="44"/>
          <w:szCs w:val="44"/>
          <w:lang w:val="en-US" w:eastAsia="zh-CN"/>
        </w:rPr>
        <w:t>科普活动、党建和人才</w:t>
      </w:r>
      <w:r>
        <w:rPr>
          <w:rFonts w:hint="eastAsia" w:ascii="宋体" w:hAnsi="宋体" w:eastAsia="宋体" w:cs="宋体"/>
          <w:b/>
          <w:bCs/>
          <w:color w:val="000000"/>
          <w:sz w:val="44"/>
          <w:szCs w:val="44"/>
          <w:lang w:val="en-US" w:eastAsia="zh-CN"/>
        </w:rPr>
        <w:t>”</w:t>
      </w:r>
      <w:r>
        <w:rPr>
          <w:rFonts w:hint="eastAsia" w:ascii="宋体" w:hAnsi="宋体" w:cs="宋体"/>
          <w:b/>
          <w:bCs/>
          <w:color w:val="000000"/>
          <w:sz w:val="44"/>
          <w:szCs w:val="44"/>
          <w:lang w:val="en-US" w:eastAsia="zh-CN"/>
        </w:rPr>
        <w:t>项目</w:t>
      </w:r>
      <w:r>
        <w:rPr>
          <w:rFonts w:hint="eastAsia" w:ascii="宋体" w:hAnsi="宋体" w:eastAsia="宋体" w:cs="宋体"/>
          <w:b/>
          <w:bCs/>
          <w:color w:val="000000"/>
          <w:sz w:val="44"/>
          <w:szCs w:val="44"/>
          <w:lang w:val="en-US" w:eastAsia="zh-CN"/>
        </w:rPr>
        <w:t>绩效评价报告</w:t>
      </w:r>
    </w:p>
    <w:p w14:paraId="16D4E099">
      <w:pPr>
        <w:jc w:val="center"/>
        <w:rPr>
          <w:rFonts w:ascii="仿宋_GB2312"/>
          <w:szCs w:val="30"/>
        </w:rPr>
      </w:pPr>
    </w:p>
    <w:p w14:paraId="031FDA10">
      <w:pPr>
        <w:spacing w:line="600" w:lineRule="exact"/>
        <w:ind w:firstLine="640" w:firstLineChars="200"/>
        <w:rPr>
          <w:rFonts w:ascii="黑体" w:hAnsi="黑体" w:eastAsia="黑体"/>
          <w:sz w:val="32"/>
          <w:szCs w:val="32"/>
        </w:rPr>
      </w:pPr>
      <w:r>
        <w:rPr>
          <w:rFonts w:hint="eastAsia" w:ascii="黑体" w:hAnsi="黑体" w:eastAsia="黑体"/>
          <w:sz w:val="32"/>
          <w:szCs w:val="32"/>
        </w:rPr>
        <w:t>一、基本情况</w:t>
      </w:r>
    </w:p>
    <w:p w14:paraId="0F9201AC">
      <w:pPr>
        <w:spacing w:line="600" w:lineRule="exact"/>
        <w:ind w:firstLine="600" w:firstLineChars="200"/>
        <w:outlineLvl w:val="0"/>
        <w:rPr>
          <w:rFonts w:hint="eastAsia" w:ascii="仿宋_GB2312" w:hAnsi="宋体" w:eastAsia="仿宋_GB2312" w:cs="仿宋_GB2312"/>
          <w:b/>
          <w:bCs/>
          <w:i w:val="0"/>
          <w:iCs w:val="0"/>
          <w:caps w:val="0"/>
          <w:color w:val="333333"/>
          <w:spacing w:val="0"/>
          <w:sz w:val="32"/>
          <w:szCs w:val="32"/>
          <w:shd w:val="clear" w:color="auto" w:fill="FFFFFF"/>
        </w:rPr>
      </w:pPr>
      <w:r>
        <w:rPr>
          <w:rFonts w:hint="eastAsia" w:ascii="仿宋_GB2312"/>
        </w:rPr>
        <w:t>（一）</w:t>
      </w:r>
      <w:r>
        <w:rPr>
          <w:rFonts w:ascii="仿宋_GB2312" w:hAnsi="宋体" w:eastAsia="仿宋_GB2312" w:cs="仿宋_GB2312"/>
          <w:b/>
          <w:bCs/>
          <w:i w:val="0"/>
          <w:iCs w:val="0"/>
          <w:caps w:val="0"/>
          <w:color w:val="333333"/>
          <w:spacing w:val="0"/>
          <w:sz w:val="32"/>
          <w:szCs w:val="32"/>
          <w:shd w:val="clear" w:color="auto" w:fill="FFFFFF"/>
        </w:rPr>
        <w:t>“</w:t>
      </w:r>
      <w:r>
        <w:rPr>
          <w:rFonts w:hint="eastAsia" w:ascii="仿宋_GB2312" w:hAnsi="宋体" w:eastAsia="仿宋_GB2312" w:cs="仿宋_GB2312"/>
          <w:b/>
          <w:bCs/>
          <w:i w:val="0"/>
          <w:iCs w:val="0"/>
          <w:caps w:val="0"/>
          <w:color w:val="333333"/>
          <w:spacing w:val="0"/>
          <w:sz w:val="32"/>
          <w:szCs w:val="32"/>
          <w:shd w:val="clear" w:color="auto" w:fill="FFFFFF"/>
          <w:lang w:val="en-US" w:eastAsia="zh-CN"/>
        </w:rPr>
        <w:t>科普活动、党建和人才</w:t>
      </w:r>
      <w:r>
        <w:rPr>
          <w:rFonts w:hint="eastAsia" w:ascii="仿宋_GB2312" w:hAnsi="宋体" w:eastAsia="仿宋_GB2312" w:cs="仿宋_GB2312"/>
          <w:b/>
          <w:bCs/>
          <w:i w:val="0"/>
          <w:iCs w:val="0"/>
          <w:caps w:val="0"/>
          <w:color w:val="333333"/>
          <w:spacing w:val="0"/>
          <w:sz w:val="32"/>
          <w:szCs w:val="32"/>
          <w:shd w:val="clear" w:color="auto" w:fill="FFFFFF"/>
        </w:rPr>
        <w:t>”项目。</w:t>
      </w:r>
    </w:p>
    <w:p w14:paraId="3BC106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585"/>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auto"/>
          <w:spacing w:val="0"/>
          <w:sz w:val="32"/>
          <w:szCs w:val="32"/>
          <w:shd w:val="clear" w:color="auto" w:fill="FFFFFF"/>
          <w:lang w:eastAsia="zh-CN"/>
        </w:rPr>
        <w:t>项目概述及内容：</w:t>
      </w:r>
      <w:r>
        <w:rPr>
          <w:rFonts w:hint="eastAsia" w:ascii="仿宋_GB2312" w:hAnsi="仿宋_GB2312" w:eastAsia="仿宋_GB2312" w:cs="仿宋_GB2312"/>
          <w:b w:val="0"/>
          <w:bCs w:val="0"/>
          <w:i w:val="0"/>
          <w:iCs w:val="0"/>
          <w:caps w:val="0"/>
          <w:color w:val="auto"/>
          <w:spacing w:val="0"/>
          <w:sz w:val="32"/>
          <w:szCs w:val="32"/>
          <w:shd w:val="clear" w:color="auto" w:fill="FFFFFF"/>
          <w:lang w:val="en-US" w:eastAsia="zh-CN"/>
        </w:rPr>
        <w:t>开展学术交流，活跃学术思想，促进学科发展。弘扬科学精神，普及科学知识，传播科学思想和科学方法。推广先进技术，开展青少年科学技术教育活动，提高全县人民科学文化素质。反映科技工作者的意见和要求，维护科技工作者的合法权益。协助政府有关部门开展科技工作者的继续教育和科技培训工作，编辑印发科普资料。表彰奖励优秀科技工作者，举荐人才。开展科学论证、咨询服务，提出政策建议，促进科学技术成果的转化，接受委托承担项目评估、成果鉴定等任务。继续推进《全民科学素质行动计划纲要》，组织安排“科技三下乡”，“全国科技工作者日”、“科技活动周”、“全国科普日”等重点的全县科普宣传活动。建立和完善基层科协组织。抓好“科普惠农兴村计划”项目的申报实施监督管理工作。做好科普志愿者队伍推广和建设工作；承担县委、县政府及上级科协交办的其他事项。</w:t>
      </w:r>
    </w:p>
    <w:p w14:paraId="0B153E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585"/>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立项依据：《科普法》、《全民科学素质行动计划纲要》。有关规定。</w:t>
      </w:r>
    </w:p>
    <w:p w14:paraId="02685E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right="0" w:firstLine="640" w:firstLineChars="200"/>
        <w:jc w:val="both"/>
        <w:textAlignment w:val="auto"/>
        <w:rPr>
          <w:rFonts w:hint="eastAsia" w:ascii="仿宋_GB2312" w:hAnsi="仿宋_GB2312" w:cs="仿宋_GB2312"/>
          <w:b w:val="0"/>
          <w:bCs w:val="0"/>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实施主体：</w:t>
      </w:r>
      <w:r>
        <w:rPr>
          <w:rFonts w:hint="eastAsia" w:ascii="仿宋_GB2312" w:hAnsi="仿宋_GB2312" w:cs="仿宋_GB2312"/>
          <w:b w:val="0"/>
          <w:bCs w:val="0"/>
          <w:i w:val="0"/>
          <w:iCs w:val="0"/>
          <w:caps w:val="0"/>
          <w:color w:val="auto"/>
          <w:spacing w:val="0"/>
          <w:kern w:val="0"/>
          <w:sz w:val="32"/>
          <w:szCs w:val="32"/>
          <w:shd w:val="clear" w:color="auto" w:fill="FFFFFF"/>
          <w:lang w:val="en-US" w:eastAsia="zh-CN" w:bidi="ar"/>
        </w:rPr>
        <w:t>凤台县科学技术协会</w:t>
      </w:r>
    </w:p>
    <w:p w14:paraId="77D36E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right="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起止时间。202</w:t>
      </w:r>
      <w:r>
        <w:rPr>
          <w:rFonts w:hint="eastAsia" w:ascii="仿宋_GB2312" w:hAnsi="仿宋_GB2312" w:cs="仿宋_GB2312"/>
          <w:b w:val="0"/>
          <w:bCs w:val="0"/>
          <w:i w:val="0"/>
          <w:iCs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年1月至202</w:t>
      </w:r>
      <w:r>
        <w:rPr>
          <w:rFonts w:hint="eastAsia" w:ascii="仿宋_GB2312" w:hAnsi="仿宋_GB2312" w:cs="仿宋_GB2312"/>
          <w:b w:val="0"/>
          <w:bCs w:val="0"/>
          <w:i w:val="0"/>
          <w:iCs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年12月。</w:t>
      </w:r>
    </w:p>
    <w:p w14:paraId="055854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60" w:lineRule="auto"/>
        <w:ind w:left="0" w:right="0" w:firstLine="64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年度预算安排。一般公共预算安排45万元。</w:t>
      </w:r>
    </w:p>
    <w:p w14:paraId="060D297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sz w:val="32"/>
          <w:szCs w:val="32"/>
          <w:lang w:eastAsia="zh-CN"/>
        </w:rPr>
      </w:pPr>
      <w:r>
        <w:rPr>
          <w:rFonts w:hint="eastAsia" w:ascii="仿宋_GB2312"/>
          <w:sz w:val="32"/>
          <w:szCs w:val="32"/>
        </w:rPr>
        <w:t>项目绩效目标</w:t>
      </w:r>
      <w:r>
        <w:rPr>
          <w:rFonts w:hint="eastAsia" w:ascii="仿宋_GB2312"/>
          <w:sz w:val="32"/>
          <w:szCs w:val="32"/>
          <w:lang w:eastAsia="zh-CN"/>
        </w:rPr>
        <w:t>：根据</w:t>
      </w:r>
      <w:r>
        <w:rPr>
          <w:rFonts w:hint="eastAsia" w:ascii="仿宋_GB2312"/>
          <w:sz w:val="32"/>
          <w:szCs w:val="32"/>
          <w:lang w:val="en-US" w:eastAsia="zh-CN"/>
        </w:rPr>
        <w:t>《科普法》、《全民科学素质行动计划纲要》</w:t>
      </w:r>
      <w:r>
        <w:rPr>
          <w:rFonts w:hint="eastAsia" w:ascii="仿宋_GB2312"/>
          <w:sz w:val="32"/>
          <w:szCs w:val="32"/>
          <w:lang w:eastAsia="zh-CN"/>
        </w:rPr>
        <w:t>等法律、法规、规章的规定，组织安排“科技三下乡”，“全国科技工作者日”、“科技活动周”、“全国科普日”等重点的全县科普宣传活动；做好人才相关工作；开展科普宣传，科普示范和实用技术培训；继续推进《全民科学素质行动计划纲要》，提升全民科学素质。</w:t>
      </w:r>
    </w:p>
    <w:p w14:paraId="481739ED">
      <w:pPr>
        <w:spacing w:line="600" w:lineRule="exact"/>
        <w:ind w:firstLine="600" w:firstLineChars="200"/>
        <w:rPr>
          <w:rFonts w:ascii="黑体" w:hAnsi="黑体" w:eastAsia="黑体"/>
        </w:rPr>
      </w:pPr>
      <w:r>
        <w:rPr>
          <w:rFonts w:hint="eastAsia" w:ascii="黑体" w:hAnsi="黑体" w:eastAsia="黑体"/>
        </w:rPr>
        <w:t>二、绩效评价工作开展情况</w:t>
      </w:r>
    </w:p>
    <w:p w14:paraId="133C27A4">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（一）绩效评价目的、对象和范围。</w:t>
      </w:r>
    </w:p>
    <w:p w14:paraId="461ABDFE">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加强预算绩效管理，强化支出责任，建立科学、合理的财政支出绩效评价管理体系，提高财政资金使用效益。范围为财政预算单位。</w:t>
      </w:r>
    </w:p>
    <w:p w14:paraId="6B599667">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（二）绩效评价原则、评价指标体系（附表说明）、评价方法、评价标准等。</w:t>
      </w:r>
    </w:p>
    <w:p w14:paraId="061869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auto"/>
          <w:spacing w:val="0"/>
          <w:sz w:val="32"/>
          <w:szCs w:val="32"/>
          <w:shd w:val="clear" w:color="auto" w:fill="FFFFFF"/>
          <w:lang w:eastAsia="zh-CN"/>
        </w:rPr>
        <w:t>绩效评价原则：</w:t>
      </w:r>
      <w:r>
        <w:rPr>
          <w:rFonts w:hint="eastAsia" w:ascii="仿宋_GB2312" w:hAnsi="仿宋_GB2312" w:eastAsia="仿宋_GB2312" w:cs="仿宋_GB2312"/>
          <w:i w:val="0"/>
          <w:iCs w:val="0"/>
          <w:caps w:val="0"/>
          <w:color w:val="auto"/>
          <w:spacing w:val="0"/>
          <w:sz w:val="32"/>
          <w:szCs w:val="32"/>
          <w:shd w:val="clear" w:color="auto" w:fill="FFFFFF"/>
        </w:rPr>
        <w:t>科学公正。绩效评价应当运用科学合理的方法，按照规范的程序，对项目绩效进行客观、公正的反映。 统筹兼顾。单位自评应由项目单位自主实施，即“谁支出、谁自评”。部门评价和财政评价应在单位自评的基础上开展，必要时可委托第三方机构实施。激励约束。绩效评价结果应与预算安排、政策调整、改进管理实质性挂钩，体现奖优罚劣和激励相容导向，有效要安排、低效要压减、无效要问责。公开透明。绩效评价结果应依法依规公开，并自觉接受社会监督。  </w:t>
      </w:r>
    </w:p>
    <w:p w14:paraId="55C021F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绩效评价标准：绩效评价标准通常包括:计划标准，计划标准是指以预先制定的目标、计划、预算、定额等数据作为评价的标准。行业标准，行业标准是指参照国家公布的行业指标数据制定的</w:t>
      </w:r>
      <w:r>
        <w:rPr>
          <w:rFonts w:hint="eastAsia" w:ascii="仿宋_GB2312" w:hAnsi="仿宋_GB2312" w:cs="仿宋_GB2312"/>
          <w:sz w:val="32"/>
          <w:szCs w:val="32"/>
          <w:lang w:eastAsia="zh-CN"/>
        </w:rPr>
        <w:t>评估</w:t>
      </w:r>
      <w:r>
        <w:rPr>
          <w:rFonts w:hint="eastAsia" w:ascii="仿宋_GB2312" w:hAnsi="仿宋_GB2312" w:eastAsia="仿宋_GB2312" w:cs="仿宋_GB2312"/>
          <w:sz w:val="32"/>
          <w:szCs w:val="32"/>
          <w:lang w:eastAsia="zh-CN"/>
        </w:rPr>
        <w:t>标准。历史标准，历史标准是指参照同类指标的历史数据制定的评价标准。</w:t>
      </w:r>
    </w:p>
    <w:p w14:paraId="52074CE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绩效评价方法：绩效评价方法主要采用成本效益分析法、比较法、因素分析法、最低成本法、公众评判法等。</w:t>
      </w:r>
    </w:p>
    <w:p w14:paraId="6DB0072F">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（三）绩效评价工作过程。</w:t>
      </w:r>
    </w:p>
    <w:p w14:paraId="692D794D">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一是准备创段，成立项目评价领导小组，制定工作计划。二是评价工作执行阶段，</w:t>
      </w:r>
      <w:r>
        <w:rPr>
          <w:rFonts w:hint="eastAsia" w:ascii="仿宋_GB2312" w:hAnsi="仿宋_GB2312" w:eastAsia="仿宋_GB2312" w:cs="仿宋_GB2312"/>
          <w:sz w:val="32"/>
          <w:szCs w:val="32"/>
          <w:lang w:val="en-US" w:eastAsia="zh-CN"/>
        </w:rPr>
        <w:t xml:space="preserve"> 按照评价方案收集相关数据，开展问卷调查和调研，开展资金使用情况调查。三是评价报告撰写，根据前期调研，查看资料撰写评价报告。</w:t>
      </w:r>
    </w:p>
    <w:p w14:paraId="7E67F418">
      <w:pPr>
        <w:spacing w:line="600" w:lineRule="exact"/>
        <w:ind w:firstLine="600" w:firstLineChars="200"/>
        <w:rPr>
          <w:rFonts w:hint="eastAsia" w:ascii="黑体" w:hAnsi="黑体" w:eastAsia="黑体"/>
        </w:rPr>
      </w:pPr>
    </w:p>
    <w:p w14:paraId="0776FC41">
      <w:pPr>
        <w:spacing w:line="600" w:lineRule="exact"/>
        <w:ind w:firstLine="600" w:firstLineChars="200"/>
        <w:rPr>
          <w:rFonts w:hint="eastAsia" w:ascii="黑体" w:hAnsi="黑体" w:eastAsia="黑体"/>
        </w:rPr>
      </w:pPr>
    </w:p>
    <w:p w14:paraId="309B3B4F">
      <w:pPr>
        <w:spacing w:line="600" w:lineRule="exact"/>
        <w:ind w:firstLine="600" w:firstLineChars="200"/>
        <w:rPr>
          <w:rFonts w:hint="eastAsia" w:ascii="黑体" w:hAnsi="黑体" w:eastAsia="黑体"/>
        </w:rPr>
      </w:pPr>
    </w:p>
    <w:p w14:paraId="5111055E">
      <w:pPr>
        <w:spacing w:line="600" w:lineRule="exact"/>
        <w:ind w:firstLine="600" w:firstLineChars="200"/>
        <w:rPr>
          <w:rFonts w:hint="eastAsia" w:ascii="黑体" w:hAnsi="黑体" w:eastAsia="黑体"/>
        </w:rPr>
      </w:pPr>
    </w:p>
    <w:p w14:paraId="00BD302C">
      <w:pPr>
        <w:spacing w:line="600" w:lineRule="exact"/>
        <w:rPr>
          <w:rFonts w:hint="eastAsia" w:ascii="黑体" w:hAnsi="黑体" w:eastAsia="黑体"/>
        </w:rPr>
      </w:pPr>
    </w:p>
    <w:p w14:paraId="7786A51A">
      <w:pPr>
        <w:spacing w:line="600" w:lineRule="exact"/>
        <w:ind w:firstLine="600" w:firstLineChars="200"/>
        <w:rPr>
          <w:rFonts w:hint="eastAsia" w:ascii="黑体" w:hAnsi="黑体" w:eastAsia="黑体"/>
        </w:rPr>
        <w:sectPr>
          <w:pgSz w:w="11906" w:h="16838"/>
          <w:pgMar w:top="1928" w:right="1531" w:bottom="1701" w:left="1531" w:header="737" w:footer="851" w:gutter="0"/>
          <w:cols w:space="720" w:num="1"/>
          <w:docGrid w:type="lines" w:linePitch="408" w:charSpace="0"/>
        </w:sectPr>
      </w:pPr>
    </w:p>
    <w:p w14:paraId="618DA7CF">
      <w:pPr>
        <w:spacing w:line="600" w:lineRule="exact"/>
        <w:ind w:firstLine="600" w:firstLineChars="200"/>
        <w:rPr>
          <w:rFonts w:hint="eastAsia" w:ascii="黑体" w:hAnsi="黑体" w:eastAsia="黑体" w:cs="Times New Roman"/>
        </w:rPr>
      </w:pPr>
      <w:r>
        <w:rPr>
          <w:rFonts w:hint="eastAsia" w:ascii="黑体" w:hAnsi="黑体" w:eastAsia="黑体" w:cs="Times New Roman"/>
        </w:rPr>
        <w:t>三、综合评价情况及评价结论</w:t>
      </w:r>
    </w:p>
    <w:tbl>
      <w:tblPr>
        <w:tblW w:w="147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64"/>
        <w:gridCol w:w="787"/>
        <w:gridCol w:w="1176"/>
        <w:gridCol w:w="1583"/>
        <w:gridCol w:w="1210"/>
        <w:gridCol w:w="1157"/>
        <w:gridCol w:w="1074"/>
        <w:gridCol w:w="1416"/>
        <w:gridCol w:w="767"/>
        <w:gridCol w:w="1065"/>
        <w:gridCol w:w="3816"/>
      </w:tblGrid>
      <w:tr w14:paraId="0569E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14720" w:type="dxa"/>
            <w:gridSpan w:val="11"/>
            <w:tcBorders>
              <w:top w:val="nil"/>
              <w:left w:val="nil"/>
              <w:bottom w:val="nil"/>
              <w:right w:val="nil"/>
            </w:tcBorders>
            <w:shd w:val="clear"/>
            <w:vAlign w:val="center"/>
          </w:tcPr>
          <w:p w14:paraId="02BBE81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bdr w:val="none" w:color="auto" w:sz="0" w:space="0"/>
                <w:lang w:val="en-US" w:eastAsia="zh-CN" w:bidi="ar"/>
              </w:rPr>
              <w:t xml:space="preserve">       项目支出绩效自评表 </w:t>
            </w:r>
          </w:p>
        </w:tc>
      </w:tr>
      <w:tr w14:paraId="2A88A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4720" w:type="dxa"/>
            <w:gridSpan w:val="11"/>
            <w:tcBorders>
              <w:top w:val="nil"/>
              <w:left w:val="nil"/>
              <w:bottom w:val="nil"/>
              <w:right w:val="nil"/>
            </w:tcBorders>
            <w:shd w:val="clear"/>
            <w:vAlign w:val="center"/>
          </w:tcPr>
          <w:p w14:paraId="1F98D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（2025年度）</w:t>
            </w:r>
          </w:p>
        </w:tc>
      </w:tr>
      <w:tr w14:paraId="06AB8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0" w:type="dxa"/>
            <w:tcBorders>
              <w:top w:val="nil"/>
              <w:left w:val="nil"/>
              <w:bottom w:val="single" w:color="000000" w:sz="4" w:space="0"/>
              <w:right w:val="nil"/>
            </w:tcBorders>
            <w:shd w:val="clear"/>
            <w:vAlign w:val="center"/>
          </w:tcPr>
          <w:p w14:paraId="0087656E">
            <w:pPr>
              <w:rPr>
                <w:rFonts w:hint="eastAsia" w:ascii="宋体" w:hAnsi="宋体" w:eastAsia="宋体" w:cs="宋体"/>
                <w:i w:val="0"/>
                <w:iCs w:val="0"/>
                <w:color w:val="000000"/>
                <w:sz w:val="22"/>
                <w:szCs w:val="22"/>
                <w:u w:val="none"/>
              </w:rPr>
            </w:pPr>
          </w:p>
        </w:tc>
        <w:tc>
          <w:tcPr>
            <w:tcW w:w="1140" w:type="dxa"/>
            <w:tcBorders>
              <w:top w:val="nil"/>
              <w:left w:val="nil"/>
              <w:bottom w:val="single" w:color="000000" w:sz="4" w:space="0"/>
              <w:right w:val="nil"/>
            </w:tcBorders>
            <w:shd w:val="clear"/>
            <w:vAlign w:val="center"/>
          </w:tcPr>
          <w:p w14:paraId="3FA21B48">
            <w:pPr>
              <w:rPr>
                <w:rFonts w:hint="eastAsia" w:ascii="宋体" w:hAnsi="宋体" w:eastAsia="宋体" w:cs="宋体"/>
                <w:i w:val="0"/>
                <w:iCs w:val="0"/>
                <w:color w:val="000000"/>
                <w:sz w:val="22"/>
                <w:szCs w:val="22"/>
                <w:u w:val="none"/>
              </w:rPr>
            </w:pPr>
          </w:p>
        </w:tc>
        <w:tc>
          <w:tcPr>
            <w:tcW w:w="1110" w:type="dxa"/>
            <w:tcBorders>
              <w:top w:val="nil"/>
              <w:left w:val="nil"/>
              <w:bottom w:val="single" w:color="000000" w:sz="4" w:space="0"/>
              <w:right w:val="nil"/>
            </w:tcBorders>
            <w:shd w:val="clear"/>
            <w:vAlign w:val="center"/>
          </w:tcPr>
          <w:p w14:paraId="2F5ABD9A">
            <w:pPr>
              <w:rPr>
                <w:rFonts w:hint="eastAsia" w:ascii="宋体" w:hAnsi="宋体" w:eastAsia="宋体" w:cs="宋体"/>
                <w:i w:val="0"/>
                <w:iCs w:val="0"/>
                <w:color w:val="000000"/>
                <w:sz w:val="22"/>
                <w:szCs w:val="22"/>
                <w:u w:val="none"/>
              </w:rPr>
            </w:pPr>
          </w:p>
        </w:tc>
        <w:tc>
          <w:tcPr>
            <w:tcW w:w="1840" w:type="dxa"/>
            <w:tcBorders>
              <w:top w:val="nil"/>
              <w:left w:val="nil"/>
              <w:bottom w:val="single" w:color="000000" w:sz="4" w:space="0"/>
              <w:right w:val="nil"/>
            </w:tcBorders>
            <w:shd w:val="clear"/>
            <w:vAlign w:val="center"/>
          </w:tcPr>
          <w:p w14:paraId="4E858B7F">
            <w:pPr>
              <w:rPr>
                <w:rFonts w:hint="eastAsia" w:ascii="宋体" w:hAnsi="宋体" w:eastAsia="宋体" w:cs="宋体"/>
                <w:i w:val="0"/>
                <w:iCs w:val="0"/>
                <w:color w:val="000000"/>
                <w:sz w:val="22"/>
                <w:szCs w:val="22"/>
                <w:u w:val="none"/>
              </w:rPr>
            </w:pPr>
          </w:p>
        </w:tc>
        <w:tc>
          <w:tcPr>
            <w:tcW w:w="1650" w:type="dxa"/>
            <w:tcBorders>
              <w:top w:val="nil"/>
              <w:left w:val="nil"/>
              <w:bottom w:val="single" w:color="000000" w:sz="4" w:space="0"/>
              <w:right w:val="nil"/>
            </w:tcBorders>
            <w:shd w:val="clear"/>
            <w:vAlign w:val="center"/>
          </w:tcPr>
          <w:p w14:paraId="6D1F3E5E">
            <w:pPr>
              <w:rPr>
                <w:rFonts w:hint="eastAsia" w:ascii="宋体" w:hAnsi="宋体" w:eastAsia="宋体" w:cs="宋体"/>
                <w:i w:val="0"/>
                <w:iCs w:val="0"/>
                <w:color w:val="000000"/>
                <w:sz w:val="22"/>
                <w:szCs w:val="22"/>
                <w:u w:val="none"/>
              </w:rPr>
            </w:pPr>
          </w:p>
        </w:tc>
        <w:tc>
          <w:tcPr>
            <w:tcW w:w="1330" w:type="dxa"/>
            <w:tcBorders>
              <w:top w:val="nil"/>
              <w:left w:val="nil"/>
              <w:bottom w:val="single" w:color="000000" w:sz="4" w:space="0"/>
              <w:right w:val="nil"/>
            </w:tcBorders>
            <w:shd w:val="clear"/>
            <w:vAlign w:val="center"/>
          </w:tcPr>
          <w:p w14:paraId="72993C00">
            <w:pPr>
              <w:rPr>
                <w:rFonts w:hint="eastAsia" w:ascii="宋体" w:hAnsi="宋体" w:eastAsia="宋体" w:cs="宋体"/>
                <w:i w:val="0"/>
                <w:iCs w:val="0"/>
                <w:color w:val="000000"/>
                <w:sz w:val="22"/>
                <w:szCs w:val="22"/>
                <w:u w:val="none"/>
              </w:rPr>
            </w:pPr>
          </w:p>
        </w:tc>
        <w:tc>
          <w:tcPr>
            <w:tcW w:w="1330" w:type="dxa"/>
            <w:tcBorders>
              <w:top w:val="nil"/>
              <w:left w:val="nil"/>
              <w:bottom w:val="single" w:color="000000" w:sz="4" w:space="0"/>
              <w:right w:val="nil"/>
            </w:tcBorders>
            <w:shd w:val="clear"/>
            <w:vAlign w:val="center"/>
          </w:tcPr>
          <w:p w14:paraId="1EC84C99">
            <w:pPr>
              <w:rPr>
                <w:rFonts w:hint="eastAsia" w:ascii="宋体" w:hAnsi="宋体" w:eastAsia="宋体" w:cs="宋体"/>
                <w:i w:val="0"/>
                <w:iCs w:val="0"/>
                <w:color w:val="000000"/>
                <w:sz w:val="22"/>
                <w:szCs w:val="22"/>
                <w:u w:val="none"/>
              </w:rPr>
            </w:pPr>
          </w:p>
        </w:tc>
        <w:tc>
          <w:tcPr>
            <w:tcW w:w="1330" w:type="dxa"/>
            <w:tcBorders>
              <w:top w:val="nil"/>
              <w:left w:val="nil"/>
              <w:bottom w:val="single" w:color="000000" w:sz="4" w:space="0"/>
              <w:right w:val="nil"/>
            </w:tcBorders>
            <w:shd w:val="clear"/>
            <w:vAlign w:val="center"/>
          </w:tcPr>
          <w:p w14:paraId="3B1FE0B1">
            <w:pPr>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nil"/>
            </w:tcBorders>
            <w:shd w:val="clear"/>
            <w:vAlign w:val="center"/>
          </w:tcPr>
          <w:p w14:paraId="120F483A">
            <w:pPr>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nil"/>
            </w:tcBorders>
            <w:shd w:val="clear"/>
            <w:vAlign w:val="center"/>
          </w:tcPr>
          <w:p w14:paraId="4039DF9D">
            <w:pPr>
              <w:rPr>
                <w:rFonts w:hint="eastAsia" w:ascii="宋体" w:hAnsi="宋体" w:eastAsia="宋体" w:cs="宋体"/>
                <w:i w:val="0"/>
                <w:iCs w:val="0"/>
                <w:color w:val="000000"/>
                <w:sz w:val="22"/>
                <w:szCs w:val="22"/>
                <w:u w:val="none"/>
              </w:rPr>
            </w:pPr>
          </w:p>
        </w:tc>
        <w:tc>
          <w:tcPr>
            <w:tcW w:w="2100" w:type="dxa"/>
            <w:tcBorders>
              <w:top w:val="nil"/>
              <w:left w:val="nil"/>
              <w:bottom w:val="single" w:color="000000" w:sz="4" w:space="0"/>
              <w:right w:val="nil"/>
            </w:tcBorders>
            <w:shd w:val="clear"/>
            <w:vAlign w:val="center"/>
          </w:tcPr>
          <w:p w14:paraId="1F7CE60A">
            <w:pPr>
              <w:rPr>
                <w:rFonts w:hint="eastAsia" w:ascii="宋体" w:hAnsi="宋体" w:eastAsia="宋体" w:cs="宋体"/>
                <w:i w:val="0"/>
                <w:iCs w:val="0"/>
                <w:color w:val="000000"/>
                <w:sz w:val="22"/>
                <w:szCs w:val="22"/>
                <w:u w:val="none"/>
              </w:rPr>
            </w:pPr>
          </w:p>
        </w:tc>
      </w:tr>
      <w:tr w14:paraId="3E73D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noWrap/>
            <w:vAlign w:val="center"/>
          </w:tcPr>
          <w:p w14:paraId="7A400F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项目名称</w:t>
            </w:r>
          </w:p>
        </w:tc>
        <w:tc>
          <w:tcPr>
            <w:tcW w:w="0" w:type="auto"/>
            <w:gridSpan w:val="8"/>
            <w:tcBorders>
              <w:top w:val="single" w:color="000000" w:sz="4" w:space="0"/>
              <w:left w:val="single" w:color="000000" w:sz="4" w:space="0"/>
              <w:bottom w:val="single" w:color="000000" w:sz="4" w:space="0"/>
              <w:right w:val="single" w:color="000000" w:sz="4" w:space="0"/>
            </w:tcBorders>
            <w:shd w:val="clear"/>
            <w:noWrap/>
            <w:vAlign w:val="center"/>
          </w:tcPr>
          <w:p w14:paraId="1A07A7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科普活动、党建和人才项目</w:t>
            </w:r>
          </w:p>
        </w:tc>
      </w:tr>
      <w:tr w14:paraId="5EA02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noWrap/>
            <w:vAlign w:val="center"/>
          </w:tcPr>
          <w:p w14:paraId="3873D6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noWrap/>
            <w:vAlign w:val="center"/>
          </w:tcPr>
          <w:p w14:paraId="265224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040-凤台县科学技术协会</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1FA8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实施单位</w:t>
            </w:r>
          </w:p>
        </w:tc>
        <w:tc>
          <w:tcPr>
            <w:tcW w:w="0" w:type="auto"/>
            <w:gridSpan w:val="3"/>
            <w:tcBorders>
              <w:top w:val="single" w:color="000000" w:sz="4" w:space="0"/>
              <w:left w:val="single" w:color="000000" w:sz="4" w:space="0"/>
              <w:bottom w:val="single" w:color="000000" w:sz="4" w:space="0"/>
              <w:right w:val="single" w:color="000000" w:sz="4" w:space="0"/>
            </w:tcBorders>
            <w:shd w:val="clear"/>
            <w:noWrap/>
            <w:vAlign w:val="center"/>
          </w:tcPr>
          <w:p w14:paraId="53F4C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040001-凤台县科学技术协会</w:t>
            </w:r>
          </w:p>
        </w:tc>
      </w:tr>
      <w:tr w14:paraId="2E6B8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noWrap/>
            <w:vAlign w:val="center"/>
          </w:tcPr>
          <w:p w14:paraId="357CB7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项目期限</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7D156550">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18F742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其中：建设期限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146AF9">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784D6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运营期限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81C353">
            <w:pPr>
              <w:jc w:val="center"/>
              <w:rPr>
                <w:rFonts w:hint="eastAsia" w:ascii="宋体" w:hAnsi="宋体" w:eastAsia="宋体" w:cs="宋体"/>
                <w:i w:val="0"/>
                <w:iCs w:val="0"/>
                <w:color w:val="000000"/>
                <w:sz w:val="24"/>
                <w:szCs w:val="24"/>
                <w:u w:val="none"/>
              </w:rPr>
            </w:pPr>
          </w:p>
        </w:tc>
      </w:tr>
      <w:tr w14:paraId="5E76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noWrap/>
            <w:vAlign w:val="center"/>
          </w:tcPr>
          <w:p w14:paraId="4E144B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资金投向领域</w:t>
            </w:r>
          </w:p>
        </w:tc>
        <w:tc>
          <w:tcPr>
            <w:tcW w:w="0" w:type="auto"/>
            <w:gridSpan w:val="8"/>
            <w:tcBorders>
              <w:top w:val="single" w:color="000000" w:sz="4" w:space="0"/>
              <w:left w:val="single" w:color="000000" w:sz="4" w:space="0"/>
              <w:bottom w:val="single" w:color="000000" w:sz="4" w:space="0"/>
              <w:right w:val="single" w:color="000000" w:sz="4" w:space="0"/>
            </w:tcBorders>
            <w:shd w:val="clear"/>
            <w:noWrap/>
            <w:vAlign w:val="center"/>
          </w:tcPr>
          <w:p w14:paraId="31E2C28C">
            <w:pPr>
              <w:jc w:val="center"/>
              <w:rPr>
                <w:rFonts w:hint="eastAsia" w:ascii="宋体" w:hAnsi="宋体" w:eastAsia="宋体" w:cs="宋体"/>
                <w:i w:val="0"/>
                <w:iCs w:val="0"/>
                <w:color w:val="000000"/>
                <w:sz w:val="24"/>
                <w:szCs w:val="24"/>
                <w:u w:val="none"/>
              </w:rPr>
            </w:pPr>
          </w:p>
        </w:tc>
      </w:tr>
      <w:tr w14:paraId="26501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980" w:type="dxa"/>
            <w:gridSpan w:val="3"/>
            <w:vMerge w:val="restart"/>
            <w:tcBorders>
              <w:top w:val="single" w:color="000000" w:sz="4" w:space="0"/>
              <w:left w:val="single" w:color="000000" w:sz="4" w:space="0"/>
              <w:bottom w:val="nil"/>
              <w:right w:val="single" w:color="000000" w:sz="4" w:space="0"/>
            </w:tcBorders>
            <w:shd w:val="clear"/>
            <w:vAlign w:val="center"/>
          </w:tcPr>
          <w:p w14:paraId="7FEE93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项目资金                    （万元）</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1E117787">
            <w:pPr>
              <w:jc w:val="center"/>
              <w:rPr>
                <w:rFonts w:hint="eastAsia" w:ascii="宋体" w:hAnsi="宋体" w:eastAsia="宋体" w:cs="宋体"/>
                <w:i w:val="0"/>
                <w:iCs w:val="0"/>
                <w:color w:val="000000"/>
                <w:sz w:val="24"/>
                <w:szCs w:val="24"/>
                <w:u w:val="none"/>
              </w:rPr>
            </w:pP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3DE497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年初预算数</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035D7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全年预算数</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113DD5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全年执行数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04F1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分值 </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080A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DF56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得分</w:t>
            </w:r>
          </w:p>
        </w:tc>
      </w:tr>
      <w:tr w14:paraId="509B1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980" w:type="dxa"/>
            <w:gridSpan w:val="3"/>
            <w:vMerge w:val="continue"/>
            <w:tcBorders>
              <w:top w:val="single" w:color="000000" w:sz="4" w:space="0"/>
              <w:left w:val="single" w:color="000000" w:sz="4" w:space="0"/>
              <w:bottom w:val="nil"/>
              <w:right w:val="single" w:color="000000" w:sz="4" w:space="0"/>
            </w:tcBorders>
            <w:shd w:val="clear"/>
            <w:vAlign w:val="center"/>
          </w:tcPr>
          <w:p w14:paraId="17A78D8C">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7D104A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年度资金总额：</w:t>
            </w:r>
          </w:p>
        </w:tc>
        <w:tc>
          <w:tcPr>
            <w:tcW w:w="0" w:type="auto"/>
            <w:tcBorders>
              <w:top w:val="single" w:color="000000" w:sz="4" w:space="0"/>
              <w:left w:val="single" w:color="000000" w:sz="4" w:space="0"/>
              <w:bottom w:val="nil"/>
              <w:right w:val="single" w:color="000000" w:sz="4" w:space="0"/>
            </w:tcBorders>
            <w:shd w:val="clear"/>
            <w:noWrap/>
            <w:vAlign w:val="center"/>
          </w:tcPr>
          <w:p w14:paraId="3D37AE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45.00</w:t>
            </w:r>
          </w:p>
        </w:tc>
        <w:tc>
          <w:tcPr>
            <w:tcW w:w="0" w:type="auto"/>
            <w:tcBorders>
              <w:top w:val="single" w:color="000000" w:sz="4" w:space="0"/>
              <w:left w:val="single" w:color="000000" w:sz="4" w:space="0"/>
              <w:bottom w:val="nil"/>
              <w:right w:val="single" w:color="000000" w:sz="4" w:space="0"/>
            </w:tcBorders>
            <w:shd w:val="clear"/>
            <w:noWrap/>
            <w:vAlign w:val="center"/>
          </w:tcPr>
          <w:p w14:paraId="49AA2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9.79</w:t>
            </w:r>
          </w:p>
        </w:tc>
        <w:tc>
          <w:tcPr>
            <w:tcW w:w="0" w:type="auto"/>
            <w:tcBorders>
              <w:top w:val="single" w:color="000000" w:sz="4" w:space="0"/>
              <w:left w:val="single" w:color="000000" w:sz="4" w:space="0"/>
              <w:bottom w:val="nil"/>
              <w:right w:val="single" w:color="000000" w:sz="4" w:space="0"/>
            </w:tcBorders>
            <w:shd w:val="clear"/>
            <w:noWrap/>
            <w:vAlign w:val="center"/>
          </w:tcPr>
          <w:p w14:paraId="1294B8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1614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2646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100.00%</w:t>
            </w:r>
          </w:p>
        </w:tc>
        <w:tc>
          <w:tcPr>
            <w:tcW w:w="2100" w:type="dxa"/>
            <w:tcBorders>
              <w:top w:val="single" w:color="000000" w:sz="4" w:space="0"/>
              <w:left w:val="single" w:color="000000" w:sz="4" w:space="0"/>
              <w:bottom w:val="single" w:color="000000" w:sz="4" w:space="0"/>
              <w:right w:val="single" w:color="000000" w:sz="4" w:space="0"/>
            </w:tcBorders>
            <w:shd w:val="clear"/>
            <w:vAlign w:val="center"/>
          </w:tcPr>
          <w:p w14:paraId="3F7DEF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10.00</w:t>
            </w:r>
          </w:p>
        </w:tc>
      </w:tr>
      <w:tr w14:paraId="0874A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980" w:type="dxa"/>
            <w:gridSpan w:val="3"/>
            <w:vMerge w:val="continue"/>
            <w:tcBorders>
              <w:top w:val="single" w:color="000000" w:sz="4" w:space="0"/>
              <w:left w:val="single" w:color="000000" w:sz="4" w:space="0"/>
              <w:bottom w:val="nil"/>
              <w:right w:val="single" w:color="000000" w:sz="4" w:space="0"/>
            </w:tcBorders>
            <w:shd w:val="clear"/>
            <w:vAlign w:val="center"/>
          </w:tcPr>
          <w:p w14:paraId="1E68296E">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52D47B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其中：本年财政拨款</w:t>
            </w:r>
          </w:p>
        </w:tc>
        <w:tc>
          <w:tcPr>
            <w:tcW w:w="0" w:type="auto"/>
            <w:tcBorders>
              <w:top w:val="single" w:color="000000" w:sz="4" w:space="0"/>
              <w:left w:val="single" w:color="000000" w:sz="4" w:space="0"/>
              <w:bottom w:val="nil"/>
              <w:right w:val="single" w:color="000000" w:sz="4" w:space="0"/>
            </w:tcBorders>
            <w:shd w:val="clear"/>
            <w:noWrap/>
            <w:vAlign w:val="center"/>
          </w:tcPr>
          <w:p w14:paraId="02C02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45.00</w:t>
            </w:r>
          </w:p>
        </w:tc>
        <w:tc>
          <w:tcPr>
            <w:tcW w:w="0" w:type="auto"/>
            <w:tcBorders>
              <w:top w:val="single" w:color="000000" w:sz="4" w:space="0"/>
              <w:left w:val="single" w:color="000000" w:sz="4" w:space="0"/>
              <w:bottom w:val="nil"/>
              <w:right w:val="single" w:color="000000" w:sz="4" w:space="0"/>
            </w:tcBorders>
            <w:shd w:val="clear"/>
            <w:noWrap/>
            <w:vAlign w:val="center"/>
          </w:tcPr>
          <w:p w14:paraId="6235BF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9.79</w:t>
            </w:r>
          </w:p>
        </w:tc>
        <w:tc>
          <w:tcPr>
            <w:tcW w:w="0" w:type="auto"/>
            <w:tcBorders>
              <w:top w:val="single" w:color="000000" w:sz="4" w:space="0"/>
              <w:left w:val="single" w:color="000000" w:sz="4" w:space="0"/>
              <w:bottom w:val="nil"/>
              <w:right w:val="single" w:color="000000" w:sz="4" w:space="0"/>
            </w:tcBorders>
            <w:shd w:val="clear"/>
            <w:noWrap/>
            <w:vAlign w:val="center"/>
          </w:tcPr>
          <w:p w14:paraId="6D8241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9.79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23B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5FD49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F10ACD">
            <w:pPr>
              <w:jc w:val="center"/>
              <w:rPr>
                <w:rFonts w:hint="eastAsia" w:ascii="宋体" w:hAnsi="宋体" w:eastAsia="宋体" w:cs="宋体"/>
                <w:i w:val="0"/>
                <w:iCs w:val="0"/>
                <w:color w:val="000000"/>
                <w:sz w:val="24"/>
                <w:szCs w:val="24"/>
                <w:u w:val="none"/>
              </w:rPr>
            </w:pPr>
          </w:p>
        </w:tc>
      </w:tr>
      <w:tr w14:paraId="41BAB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980" w:type="dxa"/>
            <w:gridSpan w:val="3"/>
            <w:vMerge w:val="continue"/>
            <w:tcBorders>
              <w:top w:val="single" w:color="000000" w:sz="4" w:space="0"/>
              <w:left w:val="single" w:color="000000" w:sz="4" w:space="0"/>
              <w:bottom w:val="nil"/>
              <w:right w:val="single" w:color="000000" w:sz="4" w:space="0"/>
            </w:tcBorders>
            <w:shd w:val="clear"/>
            <w:vAlign w:val="center"/>
          </w:tcPr>
          <w:p w14:paraId="518EB4E8">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7AE267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专项债券资金</w:t>
            </w:r>
          </w:p>
        </w:tc>
        <w:tc>
          <w:tcPr>
            <w:tcW w:w="0" w:type="auto"/>
            <w:tcBorders>
              <w:top w:val="single" w:color="000000" w:sz="4" w:space="0"/>
              <w:left w:val="single" w:color="000000" w:sz="4" w:space="0"/>
              <w:bottom w:val="nil"/>
              <w:right w:val="single" w:color="000000" w:sz="4" w:space="0"/>
            </w:tcBorders>
            <w:shd w:val="clear"/>
            <w:noWrap/>
            <w:vAlign w:val="center"/>
          </w:tcPr>
          <w:p w14:paraId="2739C2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0" w:type="auto"/>
            <w:tcBorders>
              <w:top w:val="single" w:color="000000" w:sz="4" w:space="0"/>
              <w:left w:val="single" w:color="000000" w:sz="4" w:space="0"/>
              <w:bottom w:val="nil"/>
              <w:right w:val="single" w:color="000000" w:sz="4" w:space="0"/>
            </w:tcBorders>
            <w:shd w:val="clear"/>
            <w:noWrap/>
            <w:vAlign w:val="center"/>
          </w:tcPr>
          <w:p w14:paraId="7C4ED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0" w:type="auto"/>
            <w:tcBorders>
              <w:top w:val="single" w:color="000000" w:sz="4" w:space="0"/>
              <w:left w:val="single" w:color="000000" w:sz="4" w:space="0"/>
              <w:bottom w:val="nil"/>
              <w:right w:val="single" w:color="000000" w:sz="4" w:space="0"/>
            </w:tcBorders>
            <w:shd w:val="clear"/>
            <w:noWrap/>
            <w:vAlign w:val="center"/>
          </w:tcPr>
          <w:p w14:paraId="4F9B34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58B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C9B7B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AC4207">
            <w:pPr>
              <w:jc w:val="center"/>
              <w:rPr>
                <w:rFonts w:hint="eastAsia" w:ascii="宋体" w:hAnsi="宋体" w:eastAsia="宋体" w:cs="宋体"/>
                <w:i w:val="0"/>
                <w:iCs w:val="0"/>
                <w:color w:val="000000"/>
                <w:sz w:val="24"/>
                <w:szCs w:val="24"/>
                <w:u w:val="none"/>
              </w:rPr>
            </w:pPr>
          </w:p>
        </w:tc>
      </w:tr>
      <w:tr w14:paraId="65243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980" w:type="dxa"/>
            <w:gridSpan w:val="3"/>
            <w:vMerge w:val="continue"/>
            <w:tcBorders>
              <w:top w:val="single" w:color="000000" w:sz="4" w:space="0"/>
              <w:left w:val="single" w:color="000000" w:sz="4" w:space="0"/>
              <w:bottom w:val="nil"/>
              <w:right w:val="single" w:color="000000" w:sz="4" w:space="0"/>
            </w:tcBorders>
            <w:shd w:val="clear"/>
            <w:vAlign w:val="center"/>
          </w:tcPr>
          <w:p w14:paraId="56E429CA">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0EB0E9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上年结转资金</w:t>
            </w:r>
          </w:p>
        </w:tc>
        <w:tc>
          <w:tcPr>
            <w:tcW w:w="0" w:type="auto"/>
            <w:tcBorders>
              <w:top w:val="single" w:color="000000" w:sz="4" w:space="0"/>
              <w:left w:val="single" w:color="000000" w:sz="4" w:space="0"/>
              <w:bottom w:val="nil"/>
              <w:right w:val="single" w:color="000000" w:sz="4" w:space="0"/>
            </w:tcBorders>
            <w:shd w:val="clear"/>
            <w:noWrap/>
            <w:vAlign w:val="center"/>
          </w:tcPr>
          <w:p w14:paraId="1B2168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0" w:type="auto"/>
            <w:tcBorders>
              <w:top w:val="single" w:color="000000" w:sz="4" w:space="0"/>
              <w:left w:val="single" w:color="000000" w:sz="4" w:space="0"/>
              <w:bottom w:val="nil"/>
              <w:right w:val="single" w:color="000000" w:sz="4" w:space="0"/>
            </w:tcBorders>
            <w:shd w:val="clear"/>
            <w:noWrap/>
            <w:vAlign w:val="center"/>
          </w:tcPr>
          <w:p w14:paraId="0CFBD4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0" w:type="auto"/>
            <w:tcBorders>
              <w:top w:val="single" w:color="000000" w:sz="4" w:space="0"/>
              <w:left w:val="single" w:color="000000" w:sz="4" w:space="0"/>
              <w:bottom w:val="nil"/>
              <w:right w:val="single" w:color="000000" w:sz="4" w:space="0"/>
            </w:tcBorders>
            <w:shd w:val="clear"/>
            <w:noWrap/>
            <w:vAlign w:val="center"/>
          </w:tcPr>
          <w:p w14:paraId="34EC3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5CD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80BFF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5D5113">
            <w:pPr>
              <w:jc w:val="center"/>
              <w:rPr>
                <w:rFonts w:hint="eastAsia" w:ascii="宋体" w:hAnsi="宋体" w:eastAsia="宋体" w:cs="宋体"/>
                <w:i w:val="0"/>
                <w:iCs w:val="0"/>
                <w:color w:val="000000"/>
                <w:sz w:val="24"/>
                <w:szCs w:val="24"/>
                <w:u w:val="none"/>
              </w:rPr>
            </w:pPr>
          </w:p>
        </w:tc>
      </w:tr>
      <w:tr w14:paraId="35C23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2980" w:type="dxa"/>
            <w:gridSpan w:val="3"/>
            <w:vMerge w:val="continue"/>
            <w:tcBorders>
              <w:top w:val="single" w:color="000000" w:sz="4" w:space="0"/>
              <w:left w:val="single" w:color="000000" w:sz="4" w:space="0"/>
              <w:bottom w:val="nil"/>
              <w:right w:val="single" w:color="000000" w:sz="4" w:space="0"/>
            </w:tcBorders>
            <w:shd w:val="clear"/>
            <w:vAlign w:val="center"/>
          </w:tcPr>
          <w:p w14:paraId="31F7D054">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nil"/>
              <w:right w:val="single" w:color="000000" w:sz="4" w:space="0"/>
            </w:tcBorders>
            <w:shd w:val="clear"/>
            <w:noWrap/>
            <w:vAlign w:val="center"/>
          </w:tcPr>
          <w:p w14:paraId="0EC467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          其他资金</w:t>
            </w:r>
          </w:p>
        </w:tc>
        <w:tc>
          <w:tcPr>
            <w:tcW w:w="0" w:type="auto"/>
            <w:tcBorders>
              <w:top w:val="single" w:color="000000" w:sz="4" w:space="0"/>
              <w:left w:val="single" w:color="000000" w:sz="4" w:space="0"/>
              <w:bottom w:val="nil"/>
              <w:right w:val="single" w:color="000000" w:sz="4" w:space="0"/>
            </w:tcBorders>
            <w:shd w:val="clear"/>
            <w:noWrap/>
            <w:vAlign w:val="center"/>
          </w:tcPr>
          <w:p w14:paraId="5A7B7C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0" w:type="auto"/>
            <w:tcBorders>
              <w:top w:val="single" w:color="000000" w:sz="4" w:space="0"/>
              <w:left w:val="single" w:color="000000" w:sz="4" w:space="0"/>
              <w:bottom w:val="nil"/>
              <w:right w:val="single" w:color="000000" w:sz="4" w:space="0"/>
            </w:tcBorders>
            <w:shd w:val="clear"/>
            <w:noWrap/>
            <w:vAlign w:val="center"/>
          </w:tcPr>
          <w:p w14:paraId="15A850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0" w:type="auto"/>
            <w:tcBorders>
              <w:top w:val="single" w:color="000000" w:sz="4" w:space="0"/>
              <w:left w:val="single" w:color="000000" w:sz="4" w:space="0"/>
              <w:bottom w:val="nil"/>
              <w:right w:val="single" w:color="000000" w:sz="4" w:space="0"/>
            </w:tcBorders>
            <w:shd w:val="clear"/>
            <w:noWrap/>
            <w:vAlign w:val="center"/>
          </w:tcPr>
          <w:p w14:paraId="0346C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EFE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1B617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6E3814">
            <w:pPr>
              <w:jc w:val="center"/>
              <w:rPr>
                <w:rFonts w:hint="eastAsia" w:ascii="宋体" w:hAnsi="宋体" w:eastAsia="宋体" w:cs="宋体"/>
                <w:i w:val="0"/>
                <w:iCs w:val="0"/>
                <w:color w:val="000000"/>
                <w:sz w:val="24"/>
                <w:szCs w:val="24"/>
                <w:u w:val="none"/>
              </w:rPr>
            </w:pPr>
          </w:p>
        </w:tc>
      </w:tr>
      <w:tr w14:paraId="68BD5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5F0C7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年度总体目标</w:t>
            </w:r>
          </w:p>
        </w:tc>
        <w:tc>
          <w:tcPr>
            <w:tcW w:w="8400" w:type="dxa"/>
            <w:gridSpan w:val="6"/>
            <w:tcBorders>
              <w:top w:val="single" w:color="000000" w:sz="4" w:space="0"/>
              <w:left w:val="single" w:color="000000" w:sz="4" w:space="0"/>
              <w:bottom w:val="single" w:color="000000" w:sz="4" w:space="0"/>
              <w:right w:val="single" w:color="000000" w:sz="4" w:space="0"/>
            </w:tcBorders>
            <w:shd w:val="clear"/>
            <w:vAlign w:val="center"/>
          </w:tcPr>
          <w:p w14:paraId="1140E6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预期目标</w:t>
            </w:r>
          </w:p>
        </w:tc>
        <w:tc>
          <w:tcPr>
            <w:tcW w:w="0" w:type="auto"/>
            <w:gridSpan w:val="4"/>
            <w:tcBorders>
              <w:top w:val="single" w:color="000000" w:sz="4" w:space="0"/>
              <w:left w:val="single" w:color="000000" w:sz="4" w:space="0"/>
              <w:bottom w:val="single" w:color="000000" w:sz="4" w:space="0"/>
              <w:right w:val="single" w:color="000000" w:sz="4" w:space="0"/>
            </w:tcBorders>
            <w:shd w:val="clear"/>
            <w:noWrap/>
            <w:vAlign w:val="center"/>
          </w:tcPr>
          <w:p w14:paraId="02B1E8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实际完成情况</w:t>
            </w:r>
          </w:p>
        </w:tc>
      </w:tr>
      <w:tr w14:paraId="1D93D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26F359E4">
            <w:pPr>
              <w:jc w:val="center"/>
              <w:rPr>
                <w:rFonts w:hint="eastAsia" w:ascii="宋体" w:hAnsi="宋体" w:eastAsia="宋体" w:cs="宋体"/>
                <w:i w:val="0"/>
                <w:iCs w:val="0"/>
                <w:color w:val="000000"/>
                <w:sz w:val="24"/>
                <w:szCs w:val="24"/>
                <w:u w:val="none"/>
              </w:rPr>
            </w:pPr>
          </w:p>
        </w:tc>
        <w:tc>
          <w:tcPr>
            <w:tcW w:w="8400" w:type="dxa"/>
            <w:gridSpan w:val="6"/>
            <w:tcBorders>
              <w:top w:val="single" w:color="000000" w:sz="4" w:space="0"/>
              <w:left w:val="single" w:color="000000" w:sz="4" w:space="0"/>
              <w:bottom w:val="single" w:color="000000" w:sz="4" w:space="0"/>
              <w:right w:val="single" w:color="000000" w:sz="4" w:space="0"/>
            </w:tcBorders>
            <w:shd w:val="clear"/>
            <w:vAlign w:val="center"/>
          </w:tcPr>
          <w:p w14:paraId="1FA9A4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组织安排“科技三下乡”，“全国科技工作者日”、“科技活动周”、“全国科普日”等重点的全县科普宣传活动。做好人才相关工作；开展科普宣传，科普示范和实用技术培训，继续推进《全民科学素质行动计划纲要》，提升全民科学素质。</w:t>
            </w:r>
          </w:p>
        </w:tc>
        <w:tc>
          <w:tcPr>
            <w:tcW w:w="5590" w:type="dxa"/>
            <w:gridSpan w:val="4"/>
            <w:tcBorders>
              <w:top w:val="single" w:color="000000" w:sz="4" w:space="0"/>
              <w:left w:val="single" w:color="000000" w:sz="4" w:space="0"/>
              <w:bottom w:val="single" w:color="000000" w:sz="4" w:space="0"/>
              <w:right w:val="single" w:color="000000" w:sz="4" w:space="0"/>
            </w:tcBorders>
            <w:shd w:val="clear"/>
            <w:vAlign w:val="center"/>
          </w:tcPr>
          <w:p w14:paraId="3D84A9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认真组织安排“科技三下乡”，“全国科技工作者日”、“科技活动周”、“全国科普日”等重点的全县科普宣传活动。做好人才相关工作；开展科普宣传，科普示范和实用技术培训，继续推进《全民科学素质行动计划纲要》，提升全民科学素质。</w:t>
            </w:r>
          </w:p>
        </w:tc>
      </w:tr>
      <w:tr w14:paraId="4AD9E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49B467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绩效指标</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E28E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6A3D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二级指标</w:t>
            </w:r>
          </w:p>
        </w:tc>
        <w:tc>
          <w:tcPr>
            <w:tcW w:w="0" w:type="auto"/>
            <w:gridSpan w:val="3"/>
            <w:tcBorders>
              <w:top w:val="single" w:color="000000" w:sz="4" w:space="0"/>
              <w:left w:val="single" w:color="000000" w:sz="4" w:space="0"/>
              <w:bottom w:val="single" w:color="000000" w:sz="4" w:space="0"/>
              <w:right w:val="single" w:color="000000" w:sz="4" w:space="0"/>
            </w:tcBorders>
            <w:shd w:val="clear"/>
            <w:noWrap/>
            <w:vAlign w:val="center"/>
          </w:tcPr>
          <w:p w14:paraId="07EE20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三级指标</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7DFEAC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9D56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实际完成值</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965A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分值</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9A5C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得分</w:t>
            </w:r>
          </w:p>
        </w:tc>
        <w:tc>
          <w:tcPr>
            <w:tcW w:w="2100" w:type="dxa"/>
            <w:tcBorders>
              <w:top w:val="single" w:color="000000" w:sz="4" w:space="0"/>
              <w:left w:val="single" w:color="000000" w:sz="4" w:space="0"/>
              <w:bottom w:val="single" w:color="000000" w:sz="4" w:space="0"/>
              <w:right w:val="single" w:color="000000" w:sz="4" w:space="0"/>
            </w:tcBorders>
            <w:shd w:val="clear"/>
            <w:vAlign w:val="center"/>
          </w:tcPr>
          <w:p w14:paraId="269E5C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偏差原因分析及改进措施</w:t>
            </w:r>
          </w:p>
        </w:tc>
      </w:tr>
      <w:tr w14:paraId="79100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40B66639">
            <w:pPr>
              <w:jc w:val="center"/>
              <w:rPr>
                <w:rFonts w:hint="eastAsia" w:ascii="宋体" w:hAnsi="宋体" w:eastAsia="宋体" w:cs="宋体"/>
                <w:i w:val="0"/>
                <w:iCs w:val="0"/>
                <w:color w:val="000000"/>
                <w:sz w:val="24"/>
                <w:szCs w:val="24"/>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21F8A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产出指标(50分)</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36B01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数量指标</w:t>
            </w:r>
          </w:p>
        </w:tc>
        <w:tc>
          <w:tcPr>
            <w:tcW w:w="4820" w:type="dxa"/>
            <w:gridSpan w:val="3"/>
            <w:tcBorders>
              <w:top w:val="single" w:color="000000" w:sz="4" w:space="0"/>
              <w:left w:val="single" w:color="000000" w:sz="4" w:space="0"/>
              <w:bottom w:val="single" w:color="000000" w:sz="4" w:space="0"/>
              <w:right w:val="single" w:color="000000" w:sz="4" w:space="0"/>
            </w:tcBorders>
            <w:shd w:val="clear"/>
            <w:vAlign w:val="center"/>
          </w:tcPr>
          <w:p w14:paraId="5D309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开展各种科普活动</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070574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≥10次</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42AD00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ABDFE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3E4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BADB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超额</w:t>
            </w:r>
          </w:p>
        </w:tc>
      </w:tr>
      <w:tr w14:paraId="5A92D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11323AD4">
            <w:pPr>
              <w:jc w:val="center"/>
              <w:rPr>
                <w:rFonts w:hint="eastAsia" w:ascii="宋体" w:hAnsi="宋体" w:eastAsia="宋体" w:cs="宋体"/>
                <w:i w:val="0"/>
                <w:iCs w:val="0"/>
                <w:color w:val="000000"/>
                <w:sz w:val="24"/>
                <w:szCs w:val="24"/>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45AFCF">
            <w:pPr>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D204B6">
            <w:pPr>
              <w:jc w:val="center"/>
              <w:rPr>
                <w:rFonts w:hint="eastAsia" w:ascii="宋体" w:hAnsi="宋体" w:eastAsia="宋体" w:cs="宋体"/>
                <w:i w:val="0"/>
                <w:iCs w:val="0"/>
                <w:color w:val="000000"/>
                <w:sz w:val="24"/>
                <w:szCs w:val="24"/>
                <w:u w:val="none"/>
              </w:rPr>
            </w:pPr>
          </w:p>
        </w:tc>
        <w:tc>
          <w:tcPr>
            <w:tcW w:w="4820" w:type="dxa"/>
            <w:gridSpan w:val="3"/>
            <w:tcBorders>
              <w:top w:val="single" w:color="000000" w:sz="4" w:space="0"/>
              <w:left w:val="single" w:color="000000" w:sz="4" w:space="0"/>
              <w:bottom w:val="single" w:color="000000" w:sz="4" w:space="0"/>
              <w:right w:val="single" w:color="000000" w:sz="4" w:space="0"/>
            </w:tcBorders>
            <w:shd w:val="clear"/>
            <w:vAlign w:val="center"/>
          </w:tcPr>
          <w:p w14:paraId="76F267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科普志愿服务活动蓬勃发展</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6630F1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≥10次</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4EF4A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C3F7A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732C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058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超额</w:t>
            </w:r>
          </w:p>
        </w:tc>
      </w:tr>
      <w:tr w14:paraId="096BC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72540337">
            <w:pPr>
              <w:jc w:val="center"/>
              <w:rPr>
                <w:rFonts w:hint="eastAsia" w:ascii="宋体" w:hAnsi="宋体" w:eastAsia="宋体" w:cs="宋体"/>
                <w:i w:val="0"/>
                <w:iCs w:val="0"/>
                <w:color w:val="000000"/>
                <w:sz w:val="24"/>
                <w:szCs w:val="24"/>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C980C3">
            <w:pPr>
              <w:jc w:val="center"/>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CD9433">
            <w:pPr>
              <w:jc w:val="center"/>
              <w:rPr>
                <w:rFonts w:hint="eastAsia" w:ascii="宋体" w:hAnsi="宋体" w:eastAsia="宋体" w:cs="宋体"/>
                <w:i w:val="0"/>
                <w:iCs w:val="0"/>
                <w:color w:val="000000"/>
                <w:sz w:val="24"/>
                <w:szCs w:val="24"/>
                <w:u w:val="none"/>
              </w:rPr>
            </w:pPr>
          </w:p>
        </w:tc>
        <w:tc>
          <w:tcPr>
            <w:tcW w:w="4820" w:type="dxa"/>
            <w:gridSpan w:val="3"/>
            <w:tcBorders>
              <w:top w:val="single" w:color="000000" w:sz="4" w:space="0"/>
              <w:left w:val="single" w:color="000000" w:sz="4" w:space="0"/>
              <w:bottom w:val="single" w:color="000000" w:sz="4" w:space="0"/>
              <w:right w:val="single" w:color="000000" w:sz="4" w:space="0"/>
            </w:tcBorders>
            <w:shd w:val="clear"/>
            <w:vAlign w:val="center"/>
          </w:tcPr>
          <w:p w14:paraId="3295C6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科普大篷车展教活动</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18AC71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≥15次</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28E8B0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FB2D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67CA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5B63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超额</w:t>
            </w:r>
          </w:p>
        </w:tc>
      </w:tr>
      <w:tr w14:paraId="25B50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35EE4193">
            <w:pPr>
              <w:jc w:val="center"/>
              <w:rPr>
                <w:rFonts w:hint="eastAsia" w:ascii="宋体" w:hAnsi="宋体" w:eastAsia="宋体" w:cs="宋体"/>
                <w:i w:val="0"/>
                <w:iCs w:val="0"/>
                <w:color w:val="000000"/>
                <w:sz w:val="24"/>
                <w:szCs w:val="24"/>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187BB7">
            <w:pPr>
              <w:jc w:val="cente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nil"/>
              <w:right w:val="single" w:color="000000" w:sz="4" w:space="0"/>
            </w:tcBorders>
            <w:shd w:val="clear"/>
            <w:vAlign w:val="center"/>
          </w:tcPr>
          <w:p w14:paraId="569F02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质量指标</w:t>
            </w:r>
          </w:p>
        </w:tc>
        <w:tc>
          <w:tcPr>
            <w:tcW w:w="4820" w:type="dxa"/>
            <w:gridSpan w:val="3"/>
            <w:tcBorders>
              <w:top w:val="single" w:color="000000" w:sz="4" w:space="0"/>
              <w:left w:val="single" w:color="000000" w:sz="4" w:space="0"/>
              <w:bottom w:val="single" w:color="000000" w:sz="4" w:space="0"/>
              <w:right w:val="single" w:color="000000" w:sz="4" w:space="0"/>
            </w:tcBorders>
            <w:shd w:val="clear"/>
            <w:vAlign w:val="center"/>
          </w:tcPr>
          <w:p w14:paraId="3311F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各项工作认真开展完成</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0E7B53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≥95%</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31294B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548C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0EED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1D4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持平</w:t>
            </w:r>
          </w:p>
        </w:tc>
      </w:tr>
      <w:tr w14:paraId="34EFD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23C31B8F">
            <w:pPr>
              <w:jc w:val="center"/>
              <w:rPr>
                <w:rFonts w:hint="eastAsia" w:ascii="宋体" w:hAnsi="宋体" w:eastAsia="宋体" w:cs="宋体"/>
                <w:i w:val="0"/>
                <w:iCs w:val="0"/>
                <w:color w:val="000000"/>
                <w:sz w:val="24"/>
                <w:szCs w:val="24"/>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E836B8">
            <w:pPr>
              <w:jc w:val="cente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nil"/>
              <w:right w:val="single" w:color="000000" w:sz="4" w:space="0"/>
            </w:tcBorders>
            <w:shd w:val="clear"/>
            <w:vAlign w:val="center"/>
          </w:tcPr>
          <w:p w14:paraId="24E246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时效指标</w:t>
            </w:r>
          </w:p>
        </w:tc>
        <w:tc>
          <w:tcPr>
            <w:tcW w:w="4820" w:type="dxa"/>
            <w:gridSpan w:val="3"/>
            <w:tcBorders>
              <w:top w:val="single" w:color="000000" w:sz="4" w:space="0"/>
              <w:left w:val="single" w:color="000000" w:sz="4" w:space="0"/>
              <w:bottom w:val="single" w:color="000000" w:sz="4" w:space="0"/>
              <w:right w:val="single" w:color="000000" w:sz="4" w:space="0"/>
            </w:tcBorders>
            <w:shd w:val="clear"/>
            <w:vAlign w:val="center"/>
          </w:tcPr>
          <w:p w14:paraId="00ACA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时效指标</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12D26F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＝4季度</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021BC8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3AB7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EDDD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F3FE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持平</w:t>
            </w:r>
          </w:p>
        </w:tc>
      </w:tr>
      <w:tr w14:paraId="2EBB4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4A398B6F">
            <w:pPr>
              <w:jc w:val="center"/>
              <w:rPr>
                <w:rFonts w:hint="eastAsia" w:ascii="宋体" w:hAnsi="宋体" w:eastAsia="宋体" w:cs="宋体"/>
                <w:i w:val="0"/>
                <w:iCs w:val="0"/>
                <w:color w:val="000000"/>
                <w:sz w:val="24"/>
                <w:szCs w:val="24"/>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350947">
            <w:pPr>
              <w:jc w:val="cente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nil"/>
              <w:right w:val="single" w:color="000000" w:sz="4" w:space="0"/>
            </w:tcBorders>
            <w:shd w:val="clear"/>
            <w:vAlign w:val="center"/>
          </w:tcPr>
          <w:p w14:paraId="6BDBF8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成本指标</w:t>
            </w:r>
          </w:p>
        </w:tc>
        <w:tc>
          <w:tcPr>
            <w:tcW w:w="4820" w:type="dxa"/>
            <w:gridSpan w:val="3"/>
            <w:tcBorders>
              <w:top w:val="single" w:color="000000" w:sz="4" w:space="0"/>
              <w:left w:val="single" w:color="000000" w:sz="4" w:space="0"/>
              <w:bottom w:val="single" w:color="000000" w:sz="4" w:space="0"/>
              <w:right w:val="single" w:color="000000" w:sz="4" w:space="0"/>
            </w:tcBorders>
            <w:shd w:val="clear"/>
            <w:vAlign w:val="center"/>
          </w:tcPr>
          <w:p w14:paraId="7FE2D8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科普活动经费当年成本</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58EF8D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＝45万元</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06A0B6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9.79</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6A4A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1BCD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6E89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财政经费紧张，严格控制项目支出</w:t>
            </w:r>
          </w:p>
        </w:tc>
      </w:tr>
      <w:tr w14:paraId="591CA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1AA81BB6">
            <w:pPr>
              <w:jc w:val="center"/>
              <w:rPr>
                <w:rFonts w:hint="eastAsia" w:ascii="宋体" w:hAnsi="宋体" w:eastAsia="宋体" w:cs="宋体"/>
                <w:i w:val="0"/>
                <w:iCs w:val="0"/>
                <w:color w:val="000000"/>
                <w:sz w:val="24"/>
                <w:szCs w:val="24"/>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E20B5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效益指标(30分)</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7E6834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经济效益</w:t>
            </w:r>
          </w:p>
        </w:tc>
        <w:tc>
          <w:tcPr>
            <w:tcW w:w="4820" w:type="dxa"/>
            <w:gridSpan w:val="3"/>
            <w:tcBorders>
              <w:top w:val="single" w:color="000000" w:sz="4" w:space="0"/>
              <w:left w:val="single" w:color="000000" w:sz="4" w:space="0"/>
              <w:bottom w:val="single" w:color="000000" w:sz="4" w:space="0"/>
              <w:right w:val="single" w:color="000000" w:sz="4" w:space="0"/>
            </w:tcBorders>
            <w:shd w:val="clear"/>
            <w:vAlign w:val="center"/>
          </w:tcPr>
          <w:p w14:paraId="477B8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提升农民、居民创业就业能力，相关企业、协会利用科学技术减耗增收，提升市场竞争力</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21BD6E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0C8306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D2200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12C1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AEA0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超额</w:t>
            </w:r>
          </w:p>
        </w:tc>
      </w:tr>
      <w:tr w14:paraId="558AC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2CAE105A">
            <w:pPr>
              <w:jc w:val="center"/>
              <w:rPr>
                <w:rFonts w:hint="eastAsia" w:ascii="宋体" w:hAnsi="宋体" w:eastAsia="宋体" w:cs="宋体"/>
                <w:i w:val="0"/>
                <w:iCs w:val="0"/>
                <w:color w:val="000000"/>
                <w:sz w:val="24"/>
                <w:szCs w:val="24"/>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028E92">
            <w:pPr>
              <w:jc w:val="cente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nil"/>
              <w:right w:val="single" w:color="000000" w:sz="4" w:space="0"/>
            </w:tcBorders>
            <w:shd w:val="clear"/>
            <w:vAlign w:val="center"/>
          </w:tcPr>
          <w:p w14:paraId="7D9025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社会效益</w:t>
            </w:r>
          </w:p>
        </w:tc>
        <w:tc>
          <w:tcPr>
            <w:tcW w:w="4820" w:type="dxa"/>
            <w:gridSpan w:val="3"/>
            <w:tcBorders>
              <w:top w:val="single" w:color="000000" w:sz="4" w:space="0"/>
              <w:left w:val="single" w:color="000000" w:sz="4" w:space="0"/>
              <w:bottom w:val="single" w:color="000000" w:sz="4" w:space="0"/>
              <w:right w:val="single" w:color="000000" w:sz="4" w:space="0"/>
            </w:tcBorders>
            <w:shd w:val="clear"/>
            <w:vAlign w:val="center"/>
          </w:tcPr>
          <w:p w14:paraId="3C5029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五大人群的科学素养进一步提升，推动科技创新驱动发展战略，为建设美好凤台努力。</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644A4D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47151D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0377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1C54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3302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超额</w:t>
            </w:r>
          </w:p>
        </w:tc>
      </w:tr>
      <w:tr w14:paraId="663E6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59CC848F">
            <w:pPr>
              <w:jc w:val="center"/>
              <w:rPr>
                <w:rFonts w:hint="eastAsia" w:ascii="宋体" w:hAnsi="宋体" w:eastAsia="宋体" w:cs="宋体"/>
                <w:i w:val="0"/>
                <w:iCs w:val="0"/>
                <w:color w:val="000000"/>
                <w:sz w:val="24"/>
                <w:szCs w:val="24"/>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AEA270">
            <w:pPr>
              <w:jc w:val="cente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nil"/>
              <w:right w:val="single" w:color="000000" w:sz="4" w:space="0"/>
            </w:tcBorders>
            <w:shd w:val="clear"/>
            <w:vAlign w:val="center"/>
          </w:tcPr>
          <w:p w14:paraId="33557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生态效益</w:t>
            </w:r>
          </w:p>
        </w:tc>
        <w:tc>
          <w:tcPr>
            <w:tcW w:w="4820" w:type="dxa"/>
            <w:gridSpan w:val="3"/>
            <w:tcBorders>
              <w:top w:val="single" w:color="000000" w:sz="4" w:space="0"/>
              <w:left w:val="single" w:color="000000" w:sz="4" w:space="0"/>
              <w:bottom w:val="single" w:color="000000" w:sz="4" w:space="0"/>
              <w:right w:val="single" w:color="000000" w:sz="4" w:space="0"/>
            </w:tcBorders>
            <w:shd w:val="clear"/>
            <w:vAlign w:val="center"/>
          </w:tcPr>
          <w:p w14:paraId="7A84AC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居民养成低碳生活、节能减排的科学生活方式，工农业注重环保绿色生产，生态种养。</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4FE0B1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3AFF5B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F26BD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C86A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1877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超额</w:t>
            </w:r>
          </w:p>
        </w:tc>
      </w:tr>
      <w:tr w14:paraId="26EEF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219AAE3A">
            <w:pPr>
              <w:jc w:val="center"/>
              <w:rPr>
                <w:rFonts w:hint="eastAsia" w:ascii="宋体" w:hAnsi="宋体" w:eastAsia="宋体" w:cs="宋体"/>
                <w:i w:val="0"/>
                <w:iCs w:val="0"/>
                <w:color w:val="000000"/>
                <w:sz w:val="24"/>
                <w:szCs w:val="24"/>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82100C">
            <w:pPr>
              <w:jc w:val="cente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nil"/>
              <w:right w:val="single" w:color="000000" w:sz="4" w:space="0"/>
            </w:tcBorders>
            <w:shd w:val="clear"/>
            <w:vAlign w:val="center"/>
          </w:tcPr>
          <w:p w14:paraId="08D59C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可持续影响</w:t>
            </w:r>
          </w:p>
        </w:tc>
        <w:tc>
          <w:tcPr>
            <w:tcW w:w="4820" w:type="dxa"/>
            <w:gridSpan w:val="3"/>
            <w:tcBorders>
              <w:top w:val="single" w:color="000000" w:sz="4" w:space="0"/>
              <w:left w:val="single" w:color="000000" w:sz="4" w:space="0"/>
              <w:bottom w:val="single" w:color="000000" w:sz="4" w:space="0"/>
              <w:right w:val="single" w:color="000000" w:sz="4" w:space="0"/>
            </w:tcBorders>
            <w:shd w:val="clear"/>
            <w:vAlign w:val="center"/>
          </w:tcPr>
          <w:p w14:paraId="201E9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科普宣传，不断提升居民科学素质</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14ADA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512A9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2151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1F3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2AF0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超额</w:t>
            </w:r>
          </w:p>
        </w:tc>
      </w:tr>
      <w:tr w14:paraId="37AEA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14:paraId="5C07ED65">
            <w:pPr>
              <w:jc w:val="center"/>
              <w:rPr>
                <w:rFonts w:hint="eastAsia" w:ascii="宋体" w:hAnsi="宋体" w:eastAsia="宋体" w:cs="宋体"/>
                <w:i w:val="0"/>
                <w:iCs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EEB4E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满意度指标(10分)</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14:paraId="0509F4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服务对象满意度</w:t>
            </w:r>
          </w:p>
        </w:tc>
        <w:tc>
          <w:tcPr>
            <w:tcW w:w="4820" w:type="dxa"/>
            <w:gridSpan w:val="3"/>
            <w:tcBorders>
              <w:top w:val="single" w:color="000000" w:sz="4" w:space="0"/>
              <w:left w:val="single" w:color="000000" w:sz="4" w:space="0"/>
              <w:bottom w:val="single" w:color="000000" w:sz="4" w:space="0"/>
              <w:right w:val="single" w:color="000000" w:sz="4" w:space="0"/>
            </w:tcBorders>
            <w:shd w:val="clear"/>
            <w:vAlign w:val="center"/>
          </w:tcPr>
          <w:p w14:paraId="752E1C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群众满意度</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5DB74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w:t>
            </w:r>
          </w:p>
        </w:tc>
        <w:tc>
          <w:tcPr>
            <w:tcW w:w="1330" w:type="dxa"/>
            <w:tcBorders>
              <w:top w:val="single" w:color="000000" w:sz="4" w:space="0"/>
              <w:left w:val="single" w:color="000000" w:sz="4" w:space="0"/>
              <w:bottom w:val="single" w:color="000000" w:sz="4" w:space="0"/>
              <w:right w:val="single" w:color="000000" w:sz="4" w:space="0"/>
            </w:tcBorders>
            <w:shd w:val="clear"/>
            <w:vAlign w:val="center"/>
          </w:tcPr>
          <w:p w14:paraId="3A3AEB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2DD64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351A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74DD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超额</w:t>
            </w:r>
          </w:p>
        </w:tc>
      </w:tr>
      <w:tr w14:paraId="2971B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gridSpan w:val="7"/>
            <w:tcBorders>
              <w:top w:val="single" w:color="000000" w:sz="4" w:space="0"/>
              <w:left w:val="single" w:color="000000" w:sz="4" w:space="0"/>
              <w:bottom w:val="single" w:color="000000" w:sz="4" w:space="0"/>
              <w:right w:val="single" w:color="000000" w:sz="4" w:space="0"/>
            </w:tcBorders>
            <w:shd w:val="clear"/>
            <w:noWrap/>
            <w:vAlign w:val="center"/>
          </w:tcPr>
          <w:p w14:paraId="74B3D07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BE3D18">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48E65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F04A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94.00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B4A942">
            <w:pPr>
              <w:jc w:val="center"/>
              <w:rPr>
                <w:rFonts w:hint="eastAsia" w:ascii="宋体" w:hAnsi="宋体" w:eastAsia="宋体" w:cs="宋体"/>
                <w:i w:val="0"/>
                <w:iCs w:val="0"/>
                <w:color w:val="000000"/>
                <w:sz w:val="24"/>
                <w:szCs w:val="24"/>
                <w:u w:val="none"/>
              </w:rPr>
            </w:pPr>
          </w:p>
        </w:tc>
      </w:tr>
    </w:tbl>
    <w:p w14:paraId="11325B53">
      <w:pPr>
        <w:spacing w:line="600" w:lineRule="exact"/>
        <w:ind w:firstLine="600" w:firstLineChars="200"/>
        <w:rPr>
          <w:rFonts w:hint="eastAsia" w:ascii="黑体" w:hAnsi="黑体" w:eastAsia="黑体"/>
        </w:rPr>
        <w:sectPr>
          <w:pgSz w:w="16838" w:h="11906" w:orient="landscape"/>
          <w:pgMar w:top="1531" w:right="1928" w:bottom="1531" w:left="1701" w:header="737" w:footer="851" w:gutter="0"/>
          <w:cols w:space="720" w:num="1"/>
          <w:docGrid w:type="lines" w:linePitch="408" w:charSpace="0"/>
        </w:sectPr>
      </w:pPr>
    </w:p>
    <w:p w14:paraId="5285E12F">
      <w:pPr>
        <w:spacing w:line="600" w:lineRule="exact"/>
        <w:ind w:firstLine="600" w:firstLineChars="200"/>
        <w:rPr>
          <w:rFonts w:ascii="黑体" w:hAnsi="黑体" w:eastAsia="黑体" w:cs="Times New Roman"/>
        </w:rPr>
      </w:pPr>
      <w:r>
        <w:rPr>
          <w:rFonts w:hint="eastAsia" w:ascii="黑体" w:hAnsi="黑体" w:eastAsia="黑体" w:cs="Times New Roman"/>
        </w:rPr>
        <w:t>四、绩效评价指标分析</w:t>
      </w:r>
    </w:p>
    <w:p w14:paraId="3E56F3B9">
      <w:pPr>
        <w:spacing w:line="600" w:lineRule="exact"/>
        <w:ind w:firstLine="640" w:firstLineChars="200"/>
        <w:outlineLvl w:val="0"/>
        <w:rPr>
          <w:rFonts w:hint="eastAsia" w:ascii="仿宋_GB2312" w:hAnsi="Times New Roman" w:cs="Times New Roman"/>
          <w:sz w:val="32"/>
          <w:szCs w:val="32"/>
        </w:rPr>
      </w:pPr>
      <w:r>
        <w:rPr>
          <w:rFonts w:hint="eastAsia" w:ascii="仿宋_GB2312" w:hAnsi="Times New Roman" w:cs="Times New Roman"/>
          <w:sz w:val="32"/>
          <w:szCs w:val="32"/>
        </w:rPr>
        <w:t>（一）项目决策情况。</w:t>
      </w:r>
    </w:p>
    <w:p w14:paraId="04E146AF">
      <w:pPr>
        <w:spacing w:line="600" w:lineRule="exact"/>
        <w:ind w:firstLine="640" w:firstLineChars="200"/>
        <w:outlineLvl w:val="0"/>
        <w:rPr>
          <w:rFonts w:hint="eastAsia" w:ascii="仿宋_GB2312" w:hAnsi="仿宋_GB2312" w:eastAsia="仿宋_GB2312" w:cs="仿宋_GB2312"/>
          <w:sz w:val="32"/>
          <w:szCs w:val="32"/>
          <w:lang w:val="en-US" w:eastAsia="zh-CN"/>
        </w:rPr>
      </w:pPr>
      <w:r>
        <w:rPr>
          <w:rFonts w:hint="eastAsia" w:ascii="仿宋_GB2312" w:hAnsi="仿宋_GB2312" w:cs="仿宋_GB2312"/>
          <w:i w:val="0"/>
          <w:iCs w:val="0"/>
          <w:caps w:val="0"/>
          <w:color w:val="333333"/>
          <w:spacing w:val="0"/>
          <w:sz w:val="32"/>
          <w:szCs w:val="32"/>
          <w:shd w:val="clear" w:color="auto" w:fill="FFFFFF"/>
          <w:lang w:eastAsia="zh-CN"/>
        </w:rPr>
        <w:t>县科协</w:t>
      </w:r>
      <w:r>
        <w:rPr>
          <w:rFonts w:hint="eastAsia" w:ascii="仿宋_GB2312" w:hAnsi="仿宋_GB2312" w:eastAsia="仿宋_GB2312" w:cs="仿宋_GB2312"/>
          <w:i w:val="0"/>
          <w:iCs w:val="0"/>
          <w:caps w:val="0"/>
          <w:color w:val="333333"/>
          <w:spacing w:val="0"/>
          <w:sz w:val="32"/>
          <w:szCs w:val="32"/>
          <w:shd w:val="clear" w:color="auto" w:fill="FFFFFF"/>
          <w:lang w:eastAsia="zh-CN"/>
        </w:rPr>
        <w:t>项目决策在</w:t>
      </w:r>
      <w:r>
        <w:rPr>
          <w:rFonts w:hint="eastAsia" w:ascii="仿宋_GB2312" w:hAnsi="仿宋_GB2312" w:eastAsia="仿宋_GB2312" w:cs="仿宋_GB2312"/>
          <w:i w:val="0"/>
          <w:iCs w:val="0"/>
          <w:caps w:val="0"/>
          <w:color w:val="333333"/>
          <w:spacing w:val="0"/>
          <w:sz w:val="32"/>
          <w:szCs w:val="32"/>
          <w:shd w:val="clear" w:color="auto" w:fill="FFFFFF"/>
        </w:rPr>
        <w:t>科学的理论和方法指导下</w:t>
      </w:r>
      <w:r>
        <w:rPr>
          <w:rFonts w:hint="eastAsia" w:ascii="仿宋_GB2312" w:hAnsi="仿宋_GB2312" w:eastAsia="仿宋_GB2312" w:cs="仿宋_GB2312"/>
          <w:i w:val="0"/>
          <w:iCs w:val="0"/>
          <w:caps w:val="0"/>
          <w:color w:val="333333"/>
          <w:spacing w:val="0"/>
          <w:sz w:val="32"/>
          <w:szCs w:val="32"/>
          <w:shd w:val="clear" w:color="auto" w:fill="FFFFFF"/>
          <w:lang w:eastAsia="zh-CN"/>
        </w:rPr>
        <w:t>，</w:t>
      </w:r>
      <w:r>
        <w:rPr>
          <w:rFonts w:hint="eastAsia" w:ascii="仿宋_GB2312" w:hAnsi="仿宋_GB2312" w:eastAsia="仿宋_GB2312" w:cs="仿宋_GB2312"/>
          <w:i w:val="0"/>
          <w:iCs w:val="0"/>
          <w:caps w:val="0"/>
          <w:color w:val="333333"/>
          <w:spacing w:val="0"/>
          <w:sz w:val="32"/>
          <w:szCs w:val="32"/>
          <w:shd w:val="clear" w:color="auto" w:fill="FFFFFF"/>
        </w:rPr>
        <w:t>进行细致深入调查和论证，作出科学决策</w:t>
      </w:r>
      <w:r>
        <w:rPr>
          <w:rFonts w:hint="eastAsia" w:ascii="仿宋_GB2312" w:hAnsi="仿宋_GB2312" w:eastAsia="仿宋_GB2312" w:cs="仿宋_GB2312"/>
          <w:i w:val="0"/>
          <w:iCs w:val="0"/>
          <w:caps w:val="0"/>
          <w:color w:val="333333"/>
          <w:spacing w:val="0"/>
          <w:sz w:val="32"/>
          <w:szCs w:val="32"/>
          <w:shd w:val="clear" w:color="auto" w:fill="FFFFFF"/>
          <w:lang w:eastAsia="zh-CN"/>
        </w:rPr>
        <w:t>。</w:t>
      </w:r>
    </w:p>
    <w:p w14:paraId="048C9280">
      <w:pPr>
        <w:spacing w:line="600" w:lineRule="exact"/>
        <w:ind w:firstLine="640" w:firstLineChars="200"/>
        <w:outlineLvl w:val="0"/>
        <w:rPr>
          <w:rFonts w:hint="eastAsia" w:ascii="仿宋_GB2312" w:hAnsi="Times New Roman" w:cs="Times New Roman"/>
          <w:sz w:val="32"/>
          <w:szCs w:val="32"/>
        </w:rPr>
      </w:pPr>
      <w:r>
        <w:rPr>
          <w:rFonts w:hint="eastAsia" w:ascii="仿宋_GB2312" w:hAnsi="Times New Roman" w:cs="Times New Roman"/>
          <w:sz w:val="32"/>
          <w:szCs w:val="32"/>
        </w:rPr>
        <w:t>（二）项目过程情况。</w:t>
      </w:r>
    </w:p>
    <w:p w14:paraId="7C076FCE">
      <w:pPr>
        <w:spacing w:line="600" w:lineRule="exact"/>
        <w:ind w:firstLine="640" w:firstLineChars="200"/>
        <w:outlineLvl w:val="0"/>
        <w:rPr>
          <w:rFonts w:hint="eastAsia" w:ascii="仿宋_GB2312" w:hAnsi="Times New Roman" w:eastAsia="仿宋_GB2312" w:cs="Times New Roman"/>
          <w:sz w:val="32"/>
          <w:szCs w:val="32"/>
          <w:lang w:eastAsia="zh-CN"/>
        </w:rPr>
      </w:pPr>
      <w:r>
        <w:rPr>
          <w:rFonts w:hint="eastAsia" w:ascii="仿宋_GB2312" w:hAnsi="Times New Roman" w:cs="Times New Roman"/>
          <w:sz w:val="32"/>
          <w:szCs w:val="32"/>
          <w:lang w:eastAsia="zh-CN"/>
        </w:rPr>
        <w:t>项目从年初开始，全年开展开展各项科普活动；进行科普志愿者队伍建设；开展科普大篷车展教活动；完成县委县政府安排的工作、为民办实事等。年未全面完成年初制定目标任务。</w:t>
      </w:r>
    </w:p>
    <w:p w14:paraId="54590B8B">
      <w:pPr>
        <w:spacing w:line="600" w:lineRule="exact"/>
        <w:ind w:firstLine="640" w:firstLineChars="200"/>
        <w:outlineLvl w:val="0"/>
        <w:rPr>
          <w:rFonts w:hint="eastAsia" w:ascii="仿宋_GB2312" w:hAnsi="Times New Roman" w:cs="Times New Roman"/>
          <w:sz w:val="32"/>
          <w:szCs w:val="32"/>
        </w:rPr>
      </w:pPr>
      <w:r>
        <w:rPr>
          <w:rFonts w:hint="eastAsia" w:ascii="仿宋_GB2312" w:hAnsi="Times New Roman" w:cs="Times New Roman"/>
          <w:sz w:val="32"/>
          <w:szCs w:val="32"/>
        </w:rPr>
        <w:t>（三）项目产出情况。</w:t>
      </w:r>
    </w:p>
    <w:p w14:paraId="05182D40">
      <w:pPr>
        <w:spacing w:line="600" w:lineRule="exact"/>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kern w:val="0"/>
          <w:sz w:val="32"/>
          <w:szCs w:val="32"/>
          <w:u w:val="none"/>
          <w:lang w:val="en-US" w:eastAsia="zh-CN" w:bidi="ar"/>
        </w:rPr>
        <w:t>开展各项科普活动；进行科普志愿者队伍建设；开展科普大篷车展教活动；完成县委县政府安排的工作、为民办实事等</w:t>
      </w:r>
      <w:r>
        <w:rPr>
          <w:rFonts w:hint="eastAsia" w:ascii="仿宋_GB2312" w:hAnsi="仿宋_GB2312" w:cs="仿宋_GB2312"/>
          <w:i w:val="0"/>
          <w:iCs w:val="0"/>
          <w:color w:val="000000"/>
          <w:kern w:val="0"/>
          <w:sz w:val="32"/>
          <w:szCs w:val="32"/>
          <w:u w:val="none"/>
          <w:lang w:val="en-US" w:eastAsia="zh-CN" w:bidi="ar"/>
        </w:rPr>
        <w:t>，提高全民科学素质</w:t>
      </w:r>
      <w:r>
        <w:rPr>
          <w:rFonts w:hint="eastAsia" w:ascii="仿宋_GB2312" w:hAnsi="仿宋_GB2312" w:eastAsia="仿宋_GB2312" w:cs="仿宋_GB2312"/>
          <w:i w:val="0"/>
          <w:iCs w:val="0"/>
          <w:color w:val="000000"/>
          <w:kern w:val="0"/>
          <w:sz w:val="32"/>
          <w:szCs w:val="32"/>
          <w:u w:val="none"/>
          <w:lang w:val="en-US" w:eastAsia="zh-CN" w:bidi="ar"/>
        </w:rPr>
        <w:t>。</w:t>
      </w:r>
    </w:p>
    <w:p w14:paraId="4ABBB586">
      <w:pPr>
        <w:spacing w:line="600" w:lineRule="exact"/>
        <w:ind w:firstLine="640" w:firstLineChars="200"/>
        <w:outlineLvl w:val="0"/>
        <w:rPr>
          <w:rFonts w:hint="eastAsia" w:ascii="仿宋_GB2312" w:hAnsi="Times New Roman" w:cs="Times New Roman"/>
          <w:sz w:val="32"/>
          <w:szCs w:val="32"/>
        </w:rPr>
      </w:pPr>
      <w:r>
        <w:rPr>
          <w:rFonts w:hint="eastAsia" w:ascii="仿宋_GB2312" w:hAnsi="Times New Roman" w:cs="Times New Roman"/>
          <w:sz w:val="32"/>
          <w:szCs w:val="32"/>
        </w:rPr>
        <w:t>（四）项目效益情况。</w:t>
      </w:r>
    </w:p>
    <w:p w14:paraId="3F4ACC5C">
      <w:pPr>
        <w:spacing w:line="600" w:lineRule="exact"/>
        <w:ind w:firstLine="640" w:firstLineChars="200"/>
        <w:outlineLvl w:val="0"/>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sz w:val="32"/>
          <w:szCs w:val="32"/>
          <w:lang w:eastAsia="zh-CN"/>
        </w:rPr>
        <w:t>通过项目开展，</w:t>
      </w:r>
      <w:r>
        <w:rPr>
          <w:rFonts w:hint="eastAsia" w:ascii="仿宋_GB2312" w:hAnsi="仿宋_GB2312" w:cs="仿宋_GB2312"/>
          <w:i w:val="0"/>
          <w:iCs w:val="0"/>
          <w:color w:val="000000"/>
          <w:kern w:val="0"/>
          <w:sz w:val="32"/>
          <w:szCs w:val="32"/>
          <w:u w:val="none"/>
          <w:lang w:val="en-US" w:eastAsia="zh-CN" w:bidi="ar"/>
        </w:rPr>
        <w:t>提高全民科学素质</w:t>
      </w:r>
      <w:r>
        <w:rPr>
          <w:rFonts w:hint="eastAsia" w:ascii="仿宋_GB2312" w:hAnsi="仿宋_GB2312" w:eastAsia="仿宋_GB2312" w:cs="仿宋_GB2312"/>
          <w:i w:val="0"/>
          <w:iCs w:val="0"/>
          <w:color w:val="000000"/>
          <w:kern w:val="0"/>
          <w:sz w:val="32"/>
          <w:szCs w:val="32"/>
          <w:u w:val="none"/>
          <w:lang w:val="en-US" w:eastAsia="zh-CN" w:bidi="ar"/>
        </w:rPr>
        <w:t>。</w:t>
      </w:r>
    </w:p>
    <w:p w14:paraId="7474AB5C">
      <w:pPr>
        <w:spacing w:line="600" w:lineRule="exact"/>
        <w:ind w:firstLine="600" w:firstLineChars="200"/>
        <w:outlineLvl w:val="0"/>
        <w:rPr>
          <w:rFonts w:hint="eastAsia" w:ascii="黑体" w:hAnsi="黑体" w:eastAsia="黑体" w:cs="Times New Roman"/>
        </w:rPr>
      </w:pPr>
      <w:r>
        <w:rPr>
          <w:rFonts w:hint="eastAsia" w:ascii="黑体" w:hAnsi="黑体" w:eastAsia="黑体" w:cs="Times New Roman"/>
        </w:rPr>
        <w:t>五、主要经验及做法、存在的问题及原因分析</w:t>
      </w:r>
    </w:p>
    <w:p w14:paraId="779C61F3">
      <w:pPr>
        <w:spacing w:line="600" w:lineRule="exact"/>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存在问题：</w:t>
      </w:r>
      <w:r>
        <w:rPr>
          <w:rFonts w:hint="eastAsia" w:ascii="仿宋_GB2312" w:hAnsi="仿宋_GB2312" w:cs="仿宋_GB2312"/>
          <w:sz w:val="32"/>
          <w:szCs w:val="32"/>
          <w:lang w:eastAsia="zh-CN"/>
        </w:rPr>
        <w:t>第一，</w:t>
      </w:r>
      <w:r>
        <w:rPr>
          <w:rFonts w:hint="eastAsia" w:ascii="仿宋_GB2312" w:hAnsi="仿宋_GB2312" w:eastAsia="仿宋_GB2312" w:cs="仿宋_GB2312"/>
          <w:sz w:val="32"/>
          <w:szCs w:val="32"/>
        </w:rPr>
        <w:t>绩效评价在目标设定上过于简单，对于绩效考核来讲，目标就是方向，如果在绩效考核目标设定上出现问题、或者是设计不合理势必要影响到绩效考核的全局。第二，绩效评价在指标设定上存在偏离的现象。绩效考核的指标设定要从单位实际出发，按照科学、合理、公正的标准进行设定方案。在当前绩效考核指标设定上，德能勤绩这种传统的固化思维模式依旧存在，不能紧紧围绕工作重点、偏离实际的现象依旧凸显。</w:t>
      </w:r>
      <w:r>
        <w:rPr>
          <w:rFonts w:hint="eastAsia" w:ascii="仿宋_GB2312" w:hAnsi="仿宋_GB2312" w:cs="仿宋_GB2312"/>
          <w:sz w:val="32"/>
          <w:szCs w:val="32"/>
          <w:lang w:eastAsia="zh-CN"/>
        </w:rPr>
        <w:t>第三，对项目支出绩效评价的内容上还有待于进一步完善。缺乏科学、完善的项目支出绩效评价会为机关、事业单位的绩效评价工作带来很大的弊端。</w:t>
      </w:r>
    </w:p>
    <w:p w14:paraId="7317109A">
      <w:pPr>
        <w:spacing w:line="600" w:lineRule="exact"/>
        <w:ind w:firstLine="600" w:firstLineChars="200"/>
        <w:rPr>
          <w:rFonts w:hint="eastAsia" w:ascii="黑体" w:hAnsi="黑体" w:eastAsia="黑体" w:cs="Times New Roman"/>
        </w:rPr>
      </w:pPr>
      <w:r>
        <w:rPr>
          <w:rFonts w:hint="eastAsia" w:ascii="黑体" w:hAnsi="黑体" w:eastAsia="黑体" w:cs="Times New Roman"/>
        </w:rPr>
        <w:t>六、有关建议</w:t>
      </w:r>
    </w:p>
    <w:p w14:paraId="6BE4B962">
      <w:pPr>
        <w:spacing w:line="60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绩效评价中首先要确定科学完善的评价原则。评价原则是公正、规范、合理进行绩效评价的准则，是整个绩效评价顺利进行的有效保证。在绩效评价过程中一定要树立科学完善的考核原则，本着公平公正的态度，真正实现绩效评价在推动激发人力资源潜力中的作用。确定科学完善的绩效评价原则，要制定明确的标准、选择合理的方法，尽最大限</w:t>
      </w:r>
      <w:r>
        <w:rPr>
          <w:rFonts w:hint="eastAsia" w:ascii="仿宋_GB2312" w:hAnsi="仿宋_GB2312" w:cs="仿宋_GB2312"/>
          <w:sz w:val="32"/>
          <w:szCs w:val="32"/>
          <w:lang w:eastAsia="zh-CN"/>
        </w:rPr>
        <w:t>度地</w:t>
      </w:r>
      <w:r>
        <w:rPr>
          <w:rFonts w:hint="eastAsia" w:ascii="仿宋_GB2312" w:hAnsi="仿宋_GB2312" w:eastAsia="仿宋_GB2312" w:cs="仿宋_GB2312"/>
          <w:sz w:val="32"/>
          <w:szCs w:val="32"/>
        </w:rPr>
        <w:t>让绩效评价结果与被考核人员在薪金、待遇、晋升、职业发展等方面实现高度匹配。</w:t>
      </w:r>
    </w:p>
    <w:p w14:paraId="1D533091">
      <w:pPr>
        <w:spacing w:line="600" w:lineRule="exact"/>
        <w:ind w:left="0" w:leftChars="0" w:firstLine="640" w:firstLineChars="200"/>
        <w:rPr>
          <w:rFonts w:hint="eastAsia" w:ascii="仿宋_GB2312" w:hAnsi="仿宋_GB2312" w:cs="仿宋_GB2312"/>
          <w:sz w:val="32"/>
          <w:szCs w:val="32"/>
          <w:lang w:eastAsia="zh-CN"/>
        </w:rPr>
      </w:pPr>
      <w:r>
        <w:rPr>
          <w:rFonts w:hint="eastAsia" w:ascii="仿宋_GB2312" w:hAnsi="仿宋_GB2312" w:cs="仿宋_GB2312"/>
          <w:sz w:val="32"/>
          <w:szCs w:val="32"/>
          <w:lang w:eastAsia="zh-CN"/>
        </w:rPr>
        <w:t>第二，绩效评价方法上要注意适当性、可操作性。当绩效评价的原则和体系建立之后，接下来的环节就是采用评价方法进行操作。在评价方法上不要盲目照搬照抄国外所谓的最先进的绩效评价方法，要从本单位特点和实际出发来确定究竟是采用什么样的绩效评价方法。</w:t>
      </w:r>
    </w:p>
    <w:p w14:paraId="3B5502FE">
      <w:pPr>
        <w:spacing w:line="600" w:lineRule="exact"/>
        <w:ind w:left="0" w:leftChars="0" w:firstLine="640" w:firstLineChars="200"/>
        <w:rPr>
          <w:rFonts w:hint="eastAsia" w:ascii="黑体" w:hAnsi="黑体" w:eastAsia="黑体" w:cs="Times New Roman"/>
        </w:rPr>
      </w:pPr>
      <w:r>
        <w:rPr>
          <w:rFonts w:hint="eastAsia" w:ascii="仿宋_GB2312" w:hAnsi="仿宋_GB2312" w:cs="仿宋_GB2312"/>
          <w:sz w:val="32"/>
          <w:szCs w:val="32"/>
          <w:lang w:eastAsia="zh-CN"/>
        </w:rPr>
        <w:t>第三，要加强对绩效评价实施主体的培训，最大限度减少人为因素，保证评价的公正性。绩效评价的过程是否公正、评价结果是否公平，都与绩效评价实施主体的素质有着必然的联系;要想保证评价的有效性、实现评价有效执行，关键在于提高绩效评价实施主体的素质。要采取切实措施，加大对绩效评价主体的培训力度，端正其思想，坚定其原则、硬化其素质。通过采取培训的方式有效减少主观人为因素、提高掌握绩效评价的实效性，避免一些失误现象。</w:t>
      </w:r>
    </w:p>
    <w:p w14:paraId="2AAC3288">
      <w:pPr>
        <w:spacing w:line="600" w:lineRule="exact"/>
        <w:ind w:firstLine="600" w:firstLineChars="200"/>
        <w:rPr>
          <w:rFonts w:hint="eastAsia" w:ascii="黑体" w:hAnsi="黑体" w:eastAsia="黑体" w:cs="Times New Roman"/>
        </w:rPr>
      </w:pPr>
      <w:r>
        <w:rPr>
          <w:rFonts w:hint="eastAsia" w:ascii="黑体" w:hAnsi="黑体" w:eastAsia="黑体" w:cs="Times New Roman"/>
        </w:rPr>
        <w:t>七、其他需要说明的问题</w:t>
      </w:r>
    </w:p>
    <w:p w14:paraId="0CEBA854">
      <w:pPr>
        <w:spacing w:line="600" w:lineRule="exact"/>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无</w:t>
      </w:r>
    </w:p>
    <w:p w14:paraId="568AC072">
      <w:pPr>
        <w:spacing w:line="600" w:lineRule="exact"/>
        <w:ind w:firstLine="640" w:firstLineChars="200"/>
        <w:rPr>
          <w:rFonts w:hint="eastAsia" w:ascii="仿宋_GB2312" w:hAnsi="仿宋_GB2312" w:eastAsia="仿宋_GB2312" w:cs="仿宋_GB2312"/>
          <w:b w:val="0"/>
          <w:bCs w:val="0"/>
          <w:sz w:val="32"/>
          <w:szCs w:val="32"/>
          <w:lang w:eastAsia="zh-CN"/>
        </w:rPr>
      </w:pPr>
    </w:p>
    <w:p w14:paraId="71EDE32E">
      <w:pPr>
        <w:spacing w:line="600" w:lineRule="exact"/>
        <w:ind w:firstLine="640" w:firstLineChars="200"/>
        <w:rPr>
          <w:rFonts w:hint="eastAsia" w:ascii="仿宋_GB2312" w:hAnsi="仿宋_GB2312" w:eastAsia="仿宋_GB2312" w:cs="仿宋_GB2312"/>
          <w:b w:val="0"/>
          <w:bCs w:val="0"/>
          <w:sz w:val="32"/>
          <w:szCs w:val="32"/>
          <w:lang w:eastAsia="zh-CN"/>
        </w:rPr>
      </w:pPr>
    </w:p>
    <w:p w14:paraId="0706552D">
      <w:pPr>
        <w:spacing w:line="600" w:lineRule="exact"/>
        <w:ind w:firstLine="640" w:firstLineChars="200"/>
        <w:rPr>
          <w:rFonts w:hint="eastAsia" w:ascii="仿宋_GB2312" w:hAnsi="仿宋_GB2312" w:eastAsia="仿宋_GB2312" w:cs="仿宋_GB2312"/>
          <w:b w:val="0"/>
          <w:bCs w:val="0"/>
          <w:sz w:val="32"/>
          <w:szCs w:val="32"/>
          <w:lang w:eastAsia="zh-CN"/>
        </w:rPr>
      </w:pPr>
    </w:p>
    <w:p w14:paraId="54E4B23D">
      <w:pPr>
        <w:spacing w:line="600" w:lineRule="exact"/>
        <w:ind w:firstLine="640" w:firstLineChars="200"/>
        <w:rPr>
          <w:rFonts w:hint="eastAsia" w:ascii="仿宋_GB2312" w:hAnsi="仿宋_GB2312" w:eastAsia="仿宋_GB2312" w:cs="仿宋_GB2312"/>
          <w:b w:val="0"/>
          <w:bCs w:val="0"/>
          <w:sz w:val="32"/>
          <w:szCs w:val="32"/>
          <w:lang w:eastAsia="zh-CN"/>
        </w:rPr>
      </w:pPr>
    </w:p>
    <w:p w14:paraId="0FDB378C">
      <w:pPr>
        <w:spacing w:line="600" w:lineRule="exact"/>
        <w:ind w:firstLine="640" w:firstLineChars="200"/>
        <w:rPr>
          <w:rFonts w:hint="eastAsia" w:ascii="仿宋_GB2312" w:hAnsi="仿宋_GB2312" w:eastAsia="仿宋_GB2312" w:cs="仿宋_GB2312"/>
          <w:b w:val="0"/>
          <w:bCs w:val="0"/>
          <w:sz w:val="32"/>
          <w:szCs w:val="32"/>
          <w:lang w:eastAsia="zh-CN"/>
        </w:rPr>
      </w:pPr>
    </w:p>
    <w:p w14:paraId="5109A082">
      <w:pPr>
        <w:spacing w:line="600" w:lineRule="exact"/>
        <w:jc w:val="right"/>
        <w:rPr>
          <w:rFonts w:hint="eastAsia" w:ascii="仿宋_GB2312" w:hAnsi="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凤台县科学技术协会</w:t>
      </w:r>
    </w:p>
    <w:p w14:paraId="0A0531D2">
      <w:pPr>
        <w:spacing w:line="600" w:lineRule="exact"/>
        <w:jc w:val="right"/>
        <w:rPr>
          <w:rFonts w:hint="default" w:ascii="仿宋_GB2312" w:hAnsi="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2026年3月24日</w:t>
      </w:r>
    </w:p>
    <w:p w14:paraId="4A174ED2">
      <w:pPr>
        <w:spacing w:line="600" w:lineRule="exact"/>
        <w:ind w:firstLine="600" w:firstLineChars="200"/>
        <w:rPr>
          <w:rFonts w:hint="eastAsia" w:ascii="黑体" w:hAnsi="黑体" w:eastAsia="黑体"/>
        </w:rPr>
      </w:pPr>
    </w:p>
    <w:p w14:paraId="45EB540A">
      <w:pPr>
        <w:spacing w:line="600" w:lineRule="exact"/>
        <w:ind w:firstLine="600" w:firstLineChars="200"/>
        <w:rPr>
          <w:rFonts w:hint="eastAsia" w:ascii="黑体" w:hAnsi="黑体" w:eastAsia="黑体"/>
        </w:rPr>
      </w:pPr>
    </w:p>
    <w:p w14:paraId="5074773D">
      <w:pPr>
        <w:spacing w:line="600" w:lineRule="exact"/>
        <w:ind w:firstLine="600" w:firstLineChars="200"/>
        <w:rPr>
          <w:rFonts w:hint="eastAsia" w:ascii="黑体" w:hAnsi="黑体" w:eastAsia="黑体"/>
        </w:rPr>
      </w:pPr>
    </w:p>
    <w:p w14:paraId="3F8490B6">
      <w:pPr>
        <w:spacing w:line="600" w:lineRule="exact"/>
        <w:ind w:firstLine="600" w:firstLineChars="200"/>
        <w:rPr>
          <w:rFonts w:hint="eastAsia" w:ascii="黑体" w:hAnsi="黑体" w:eastAsia="黑体"/>
        </w:rPr>
        <w:sectPr>
          <w:pgSz w:w="11906" w:h="16838"/>
          <w:pgMar w:top="1928" w:right="1531" w:bottom="1701" w:left="1531" w:header="737" w:footer="851" w:gutter="0"/>
          <w:cols w:space="720" w:num="1"/>
          <w:docGrid w:type="lines" w:linePitch="408" w:charSpace="0"/>
        </w:sectPr>
      </w:pPr>
    </w:p>
    <w:p w14:paraId="516FC924">
      <w:pPr>
        <w:tabs>
          <w:tab w:val="left" w:pos="380"/>
        </w:tabs>
        <w:spacing w:line="600" w:lineRule="exact"/>
        <w:jc w:val="left"/>
        <w:rPr>
          <w:rFonts w:hint="default" w:ascii="仿宋_GB2312" w:hAnsi="仿宋_GB2312" w:cs="仿宋_GB2312"/>
          <w:b w:val="0"/>
          <w:bCs w:val="0"/>
          <w:sz w:val="32"/>
          <w:szCs w:val="32"/>
          <w:lang w:val="en-US" w:eastAsia="zh-CN"/>
        </w:rPr>
      </w:pPr>
      <w:bookmarkStart w:id="0" w:name="_GoBack"/>
      <w:bookmarkEnd w:id="0"/>
    </w:p>
    <w:sectPr>
      <w:pgSz w:w="11906" w:h="16838"/>
      <w:pgMar w:top="1928" w:right="1531" w:bottom="1701" w:left="1531" w:header="737" w:footer="850" w:gutter="0"/>
      <w:cols w:space="0" w:num="1"/>
      <w:rtlGutter w:val="0"/>
      <w:docGrid w:type="lines" w:linePitch="4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21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jN2JlMzQ1MTA5ZGZlOTg4MGI0N2RmZjkzNDgxZDUifQ=="/>
  </w:docVars>
  <w:rsids>
    <w:rsidRoot w:val="55AE45D4"/>
    <w:rsid w:val="04C52BED"/>
    <w:rsid w:val="0ED23EEC"/>
    <w:rsid w:val="11BD16F7"/>
    <w:rsid w:val="12504514"/>
    <w:rsid w:val="1C592607"/>
    <w:rsid w:val="237E3EE8"/>
    <w:rsid w:val="28722A91"/>
    <w:rsid w:val="2A196F08"/>
    <w:rsid w:val="2A8F6FFB"/>
    <w:rsid w:val="2BC95C0F"/>
    <w:rsid w:val="2D151D0F"/>
    <w:rsid w:val="2F0230ED"/>
    <w:rsid w:val="30C15385"/>
    <w:rsid w:val="30F54904"/>
    <w:rsid w:val="36877830"/>
    <w:rsid w:val="36EE5F2E"/>
    <w:rsid w:val="374F4495"/>
    <w:rsid w:val="3BC82C9D"/>
    <w:rsid w:val="3D346A07"/>
    <w:rsid w:val="3D4E19CD"/>
    <w:rsid w:val="45042999"/>
    <w:rsid w:val="450F35F0"/>
    <w:rsid w:val="48D26B99"/>
    <w:rsid w:val="49EC157C"/>
    <w:rsid w:val="4B3E5819"/>
    <w:rsid w:val="4D5179FF"/>
    <w:rsid w:val="4FC95CBA"/>
    <w:rsid w:val="55AE45D4"/>
    <w:rsid w:val="568253C9"/>
    <w:rsid w:val="572B49E4"/>
    <w:rsid w:val="59612735"/>
    <w:rsid w:val="5A862799"/>
    <w:rsid w:val="5C7A282A"/>
    <w:rsid w:val="5F2B4A8A"/>
    <w:rsid w:val="5FD50C35"/>
    <w:rsid w:val="624319F7"/>
    <w:rsid w:val="6817716C"/>
    <w:rsid w:val="69136792"/>
    <w:rsid w:val="6E7D0E15"/>
    <w:rsid w:val="6EA36E24"/>
    <w:rsid w:val="700C682E"/>
    <w:rsid w:val="70DF6EFA"/>
    <w:rsid w:val="78544AAE"/>
    <w:rsid w:val="78D5370C"/>
    <w:rsid w:val="7B3E46E9"/>
    <w:rsid w:val="7B3F6659"/>
    <w:rsid w:val="7BA936B9"/>
    <w:rsid w:val="7EAE6B0E"/>
    <w:rsid w:val="7F1B4A79"/>
    <w:rsid w:val="7F7E46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eastAsia="宋体"/>
      <w:sz w:val="18"/>
      <w:szCs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6">
    <w:name w:val="font101"/>
    <w:basedOn w:val="5"/>
    <w:qFormat/>
    <w:uiPriority w:val="0"/>
    <w:rPr>
      <w:rFonts w:hint="eastAsia" w:ascii="宋体" w:hAnsi="宋体" w:eastAsia="宋体" w:cs="宋体"/>
      <w:b/>
      <w:bCs/>
      <w:color w:val="000000"/>
      <w:sz w:val="32"/>
      <w:szCs w:val="32"/>
      <w:u w:val="none"/>
    </w:rPr>
  </w:style>
  <w:style w:type="character" w:customStyle="1" w:styleId="7">
    <w:name w:val="font61"/>
    <w:basedOn w:val="5"/>
    <w:qFormat/>
    <w:uiPriority w:val="0"/>
    <w:rPr>
      <w:rFonts w:hint="eastAsia" w:ascii="宋体" w:hAnsi="宋体" w:eastAsia="宋体" w:cs="宋体"/>
      <w:color w:val="000000"/>
      <w:sz w:val="18"/>
      <w:szCs w:val="18"/>
      <w:u w:val="none"/>
    </w:rPr>
  </w:style>
  <w:style w:type="paragraph" w:customStyle="1" w:styleId="8">
    <w:name w:val="p0"/>
    <w:qFormat/>
    <w:uiPriority w:val="0"/>
    <w:pPr>
      <w:widowControl w:val="0"/>
      <w:spacing w:before="0" w:beforeAutospacing="0" w:after="0" w:afterAutospacing="0"/>
      <w:ind w:left="0" w:right="0"/>
      <w:jc w:val="both"/>
    </w:pPr>
    <w:rPr>
      <w:rFonts w:hint="default" w:ascii="Calibri" w:hAnsi="Calibri" w:eastAsia="宋体" w:cs="Calibri"/>
      <w:kern w:val="0"/>
      <w:sz w:val="21"/>
      <w:szCs w:val="21"/>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1397</Words>
  <Characters>1411</Characters>
  <Lines>0</Lines>
  <Paragraphs>0</Paragraphs>
  <TotalTime>32</TotalTime>
  <ScaleCrop>false</ScaleCrop>
  <LinksUpToDate>false</LinksUpToDate>
  <CharactersWithSpaces>1416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2021-12-24T08:18:00Z</dcterms:created>
  <dc:creator>胡继猛</dc:creator>
  <cp:lastModifiedBy>微信用户</cp:lastModifiedBy>
  <dcterms:modified xsi:type="dcterms:W3CDTF">2026-03-24T02:33:36Z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E95B2FCE4E75451D8A849E62759772DE_13</vt:lpwstr>
  </property>
  <property fmtid="{D5CDD505-2E9C-101B-9397-08002B2CF9AE}" pid="4" name="KSOTemplateDocerSaveRecord">
    <vt:lpwstr>eyJoZGlkIjoiNDlkY2E3MzRkZTIwNzg2ODJkNWVlOWE5NTA5Mzg2YTIiLCJ1c2VySWQiOiIxMzMyNzQyMzkwIn0=</vt:lpwstr>
  </property>
</Properties>
</file>