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873FB">
      <w:pPr>
        <w:rPr>
          <w:rFonts w:ascii="仿宋_GB2312" w:hAnsi="仿宋_GB2312" w:eastAsia="仿宋_GB2312" w:cs="仿宋_GB2312"/>
          <w:color w:val="auto"/>
          <w:sz w:val="36"/>
          <w:szCs w:val="36"/>
        </w:rPr>
      </w:pPr>
      <w:bookmarkStart w:id="0" w:name="_Hlk57883707"/>
      <w:r>
        <w:rPr>
          <w:rFonts w:hint="eastAsia" w:ascii="仿宋_GB2312" w:hAnsi="仿宋_GB2312" w:eastAsia="仿宋_GB2312" w:cs="仿宋_GB2312"/>
          <w:color w:val="auto"/>
          <w:sz w:val="36"/>
          <w:szCs w:val="36"/>
          <w:lang w:val="en-US" w:eastAsia="zh-CN"/>
        </w:rPr>
        <w:t xml:space="preserve"> </w:t>
      </w:r>
    </w:p>
    <w:p w14:paraId="19E6C555">
      <w:pPr>
        <w:rPr>
          <w:rFonts w:ascii="仿宋_GB2312" w:hAnsi="仿宋_GB2312" w:eastAsia="仿宋_GB2312" w:cs="仿宋_GB2312"/>
          <w:color w:val="auto"/>
          <w:sz w:val="36"/>
          <w:szCs w:val="36"/>
        </w:rPr>
      </w:pPr>
    </w:p>
    <w:p w14:paraId="2CE3B43E">
      <w:pPr>
        <w:rPr>
          <w:rFonts w:ascii="仿宋_GB2312" w:hAnsi="仿宋_GB2312" w:eastAsia="仿宋_GB2312" w:cs="仿宋_GB2312"/>
          <w:color w:val="auto"/>
          <w:sz w:val="36"/>
          <w:szCs w:val="36"/>
        </w:rPr>
      </w:pPr>
    </w:p>
    <w:bookmarkEnd w:id="0"/>
    <w:p w14:paraId="7D6DA4A1">
      <w:pPr>
        <w:adjustRightInd w:val="0"/>
        <w:snapToGrid w:val="0"/>
        <w:jc w:val="center"/>
        <w:outlineLvl w:val="0"/>
        <w:rPr>
          <w:rFonts w:hint="eastAsia" w:ascii="方正小标宋_GBK" w:eastAsia="方正小标宋_GBK"/>
          <w:bCs/>
          <w:color w:val="auto"/>
          <w:sz w:val="72"/>
          <w:szCs w:val="72"/>
        </w:rPr>
      </w:pPr>
      <w:r>
        <w:rPr>
          <w:rFonts w:hint="eastAsia" w:ascii="方正小标宋_GBK" w:eastAsia="方正小标宋_GBK"/>
          <w:bCs/>
          <w:color w:val="auto"/>
          <w:sz w:val="72"/>
          <w:szCs w:val="72"/>
        </w:rPr>
        <w:t>建设项目环境影响报告表</w:t>
      </w:r>
    </w:p>
    <w:p w14:paraId="141B2181">
      <w:pPr>
        <w:adjustRightInd w:val="0"/>
        <w:snapToGrid w:val="0"/>
        <w:spacing w:before="192" w:beforeLines="80"/>
        <w:jc w:val="center"/>
        <w:rPr>
          <w:rFonts w:hint="eastAsia" w:ascii="楷体_GB2312" w:eastAsia="楷体_GB2312"/>
          <w:bCs/>
          <w:color w:val="auto"/>
          <w:sz w:val="48"/>
          <w:szCs w:val="48"/>
        </w:rPr>
      </w:pPr>
      <w:r>
        <w:rPr>
          <w:rFonts w:hint="eastAsia" w:ascii="楷体_GB2312" w:eastAsia="楷体_GB2312"/>
          <w:bCs/>
          <w:color w:val="auto"/>
          <w:sz w:val="48"/>
          <w:szCs w:val="48"/>
        </w:rPr>
        <w:t>（生态影响类）</w:t>
      </w:r>
    </w:p>
    <w:p w14:paraId="0247702C">
      <w:pPr>
        <w:adjustRightInd w:val="0"/>
        <w:snapToGrid w:val="0"/>
        <w:spacing w:line="288" w:lineRule="auto"/>
        <w:jc w:val="center"/>
        <w:outlineLvl w:val="0"/>
        <w:rPr>
          <w:rFonts w:ascii="华文仿宋" w:hAnsi="华文仿宋" w:eastAsia="华文仿宋" w:cs="华文仿宋"/>
          <w:color w:val="auto"/>
          <w:kern w:val="44"/>
          <w:sz w:val="44"/>
          <w:szCs w:val="44"/>
        </w:rPr>
      </w:pPr>
      <w:bookmarkStart w:id="1" w:name="_Hlk57883728"/>
    </w:p>
    <w:p w14:paraId="03CD3E7B">
      <w:pPr>
        <w:jc w:val="center"/>
        <w:rPr>
          <w:rFonts w:eastAsia="仿宋"/>
          <w:color w:val="auto"/>
          <w:sz w:val="52"/>
          <w:szCs w:val="52"/>
        </w:rPr>
      </w:pPr>
    </w:p>
    <w:p w14:paraId="66022102">
      <w:pPr>
        <w:ind w:firstLine="1040"/>
        <w:rPr>
          <w:rFonts w:eastAsia="仿宋"/>
          <w:color w:val="auto"/>
          <w:sz w:val="44"/>
          <w:szCs w:val="44"/>
        </w:rPr>
      </w:pPr>
    </w:p>
    <w:p w14:paraId="08C0159F">
      <w:pPr>
        <w:ind w:firstLine="1040"/>
        <w:rPr>
          <w:rFonts w:eastAsia="仿宋"/>
          <w:color w:val="auto"/>
          <w:sz w:val="44"/>
          <w:szCs w:val="44"/>
        </w:rPr>
      </w:pPr>
    </w:p>
    <w:p w14:paraId="396939DD">
      <w:pPr>
        <w:ind w:firstLine="1040"/>
        <w:rPr>
          <w:rFonts w:eastAsia="仿宋"/>
          <w:color w:val="auto"/>
          <w:sz w:val="44"/>
          <w:szCs w:val="44"/>
        </w:rPr>
      </w:pPr>
    </w:p>
    <w:p w14:paraId="297ADBA0">
      <w:pPr>
        <w:ind w:firstLine="1040"/>
        <w:rPr>
          <w:rFonts w:eastAsia="仿宋"/>
          <w:color w:val="auto"/>
          <w:sz w:val="44"/>
          <w:szCs w:val="44"/>
        </w:rPr>
      </w:pPr>
    </w:p>
    <w:bookmarkEnd w:id="1"/>
    <w:p w14:paraId="24562FA8">
      <w:pPr>
        <w:adjustRightInd w:val="0"/>
        <w:snapToGrid w:val="0"/>
        <w:spacing w:line="360" w:lineRule="auto"/>
        <w:ind w:left="2519" w:leftChars="495" w:hanging="1480"/>
        <w:rPr>
          <w:rFonts w:hint="eastAsia" w:ascii="宋体" w:hAnsi="宋体" w:cs="宋体"/>
          <w:color w:val="auto"/>
          <w:sz w:val="28"/>
          <w:szCs w:val="28"/>
          <w:u w:val="single"/>
        </w:rPr>
      </w:pPr>
      <w:r>
        <w:rPr>
          <w:rFonts w:hint="eastAsia" w:ascii="宋体" w:hAnsi="宋体" w:cs="宋体"/>
          <w:color w:val="auto"/>
          <w:sz w:val="28"/>
          <w:szCs w:val="28"/>
        </w:rPr>
        <w:t>项目名称：</w:t>
      </w:r>
      <w:r>
        <w:rPr>
          <w:rFonts w:hint="eastAsia" w:ascii="宋体" w:hAnsi="宋体" w:cs="宋体"/>
          <w:color w:val="auto"/>
          <w:sz w:val="28"/>
          <w:szCs w:val="28"/>
          <w:u w:val="single"/>
          <w:lang w:eastAsia="zh-CN"/>
        </w:rPr>
        <w:t>顾北煤矿地面瓦斯抽采泵站扩建工程项目</w:t>
      </w:r>
      <w:r>
        <w:rPr>
          <w:rFonts w:hint="eastAsia" w:ascii="宋体" w:hAnsi="宋体" w:cs="宋体"/>
          <w:color w:val="auto"/>
          <w:sz w:val="28"/>
          <w:szCs w:val="28"/>
          <w:u w:val="single"/>
        </w:rPr>
        <w:t xml:space="preserve">                       </w:t>
      </w:r>
    </w:p>
    <w:p w14:paraId="3FAD3E57">
      <w:pPr>
        <w:adjustRightInd w:val="0"/>
        <w:snapToGrid w:val="0"/>
        <w:spacing w:line="360" w:lineRule="auto"/>
        <w:ind w:firstLine="1040"/>
        <w:rPr>
          <w:rFonts w:hint="eastAsia" w:ascii="宋体" w:hAnsi="宋体" w:cs="宋体"/>
          <w:color w:val="auto"/>
          <w:sz w:val="28"/>
          <w:szCs w:val="28"/>
          <w:u w:val="single"/>
        </w:rPr>
      </w:pPr>
      <w:r>
        <w:rPr>
          <w:rFonts w:hint="eastAsia" w:ascii="宋体" w:hAnsi="宋体" w:cs="宋体"/>
          <w:color w:val="auto"/>
          <w:sz w:val="28"/>
          <w:szCs w:val="28"/>
        </w:rPr>
        <w:t>建设单位（盖章）：</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eastAsia="zh-CN"/>
        </w:rPr>
        <w:t>淮浙煤电有限责任公司顾北煤矿</w:t>
      </w:r>
      <w:r>
        <w:rPr>
          <w:rFonts w:hint="eastAsia" w:ascii="宋体" w:hAnsi="宋体" w:cs="宋体"/>
          <w:color w:val="auto"/>
          <w:sz w:val="28"/>
          <w:szCs w:val="28"/>
          <w:u w:val="single"/>
        </w:rPr>
        <w:t xml:space="preserve">                 </w:t>
      </w:r>
    </w:p>
    <w:p w14:paraId="54F1D998">
      <w:pPr>
        <w:adjustRightInd w:val="0"/>
        <w:snapToGrid w:val="0"/>
        <w:spacing w:line="360" w:lineRule="auto"/>
        <w:ind w:firstLine="1040"/>
        <w:rPr>
          <w:rFonts w:hint="eastAsia" w:ascii="宋体" w:hAnsi="宋体" w:cs="宋体"/>
          <w:color w:val="auto"/>
          <w:sz w:val="28"/>
          <w:szCs w:val="28"/>
          <w:u w:val="single"/>
        </w:rPr>
      </w:pPr>
      <w:r>
        <w:rPr>
          <w:rFonts w:hint="eastAsia" w:ascii="宋体" w:hAnsi="宋体" w:cs="宋体"/>
          <w:color w:val="auto"/>
          <w:sz w:val="28"/>
          <w:szCs w:val="28"/>
        </w:rPr>
        <w:t xml:space="preserve">编制日期： </w:t>
      </w:r>
      <w:r>
        <w:rPr>
          <w:rFonts w:hint="eastAsia" w:ascii="宋体" w:hAnsi="宋体" w:cs="宋体"/>
          <w:color w:val="auto"/>
          <w:sz w:val="28"/>
          <w:szCs w:val="28"/>
          <w:u w:val="single"/>
        </w:rPr>
        <w:t xml:space="preserve">            二零二</w:t>
      </w:r>
      <w:r>
        <w:rPr>
          <w:rFonts w:hint="eastAsia" w:ascii="宋体" w:hAnsi="宋体" w:cs="宋体"/>
          <w:color w:val="auto"/>
          <w:sz w:val="28"/>
          <w:szCs w:val="28"/>
          <w:u w:val="single"/>
          <w:lang w:eastAsia="zh-CN"/>
        </w:rPr>
        <w:t>六</w:t>
      </w:r>
      <w:r>
        <w:rPr>
          <w:rFonts w:hint="eastAsia" w:ascii="宋体" w:hAnsi="宋体" w:cs="宋体"/>
          <w:color w:val="auto"/>
          <w:sz w:val="28"/>
          <w:szCs w:val="28"/>
          <w:u w:val="single"/>
        </w:rPr>
        <w:t>年</w:t>
      </w:r>
      <w:r>
        <w:rPr>
          <w:rFonts w:hint="eastAsia" w:ascii="宋体" w:hAnsi="宋体" w:cs="宋体"/>
          <w:color w:val="auto"/>
          <w:sz w:val="28"/>
          <w:szCs w:val="28"/>
          <w:u w:val="single"/>
          <w:lang w:val="en-US" w:eastAsia="zh-CN"/>
        </w:rPr>
        <w:t>八</w:t>
      </w:r>
      <w:r>
        <w:rPr>
          <w:rFonts w:hint="eastAsia" w:ascii="宋体" w:hAnsi="宋体" w:cs="宋体"/>
          <w:color w:val="auto"/>
          <w:sz w:val="28"/>
          <w:szCs w:val="28"/>
          <w:u w:val="single"/>
        </w:rPr>
        <w:t xml:space="preserve">月                                 </w:t>
      </w:r>
    </w:p>
    <w:p w14:paraId="0C2E7C94">
      <w:pPr>
        <w:adjustRightInd w:val="0"/>
        <w:snapToGrid w:val="0"/>
        <w:spacing w:line="288" w:lineRule="auto"/>
        <w:ind w:firstLine="1040"/>
        <w:rPr>
          <w:rFonts w:ascii="仿宋_GB2312" w:eastAsia="仿宋_GB2312"/>
          <w:color w:val="auto"/>
          <w:sz w:val="36"/>
          <w:szCs w:val="36"/>
          <w:u w:val="single"/>
        </w:rPr>
      </w:pPr>
    </w:p>
    <w:p w14:paraId="25D3FA88">
      <w:pPr>
        <w:adjustRightInd w:val="0"/>
        <w:snapToGrid w:val="0"/>
        <w:spacing w:line="288" w:lineRule="auto"/>
        <w:ind w:firstLine="1040"/>
        <w:rPr>
          <w:rFonts w:ascii="仿宋_GB2312" w:eastAsia="仿宋_GB2312"/>
          <w:color w:val="auto"/>
          <w:sz w:val="36"/>
          <w:szCs w:val="36"/>
        </w:rPr>
      </w:pPr>
    </w:p>
    <w:p w14:paraId="27B5F6F2">
      <w:pPr>
        <w:adjustRightInd w:val="0"/>
        <w:snapToGrid w:val="0"/>
        <w:spacing w:line="288" w:lineRule="auto"/>
        <w:ind w:firstLine="1040"/>
        <w:rPr>
          <w:rFonts w:ascii="仿宋_GB2312" w:eastAsia="仿宋_GB2312"/>
          <w:color w:val="auto"/>
          <w:sz w:val="36"/>
          <w:szCs w:val="36"/>
        </w:rPr>
      </w:pPr>
    </w:p>
    <w:p w14:paraId="4073ED6B">
      <w:pPr>
        <w:adjustRightInd w:val="0"/>
        <w:snapToGrid w:val="0"/>
        <w:spacing w:line="288" w:lineRule="auto"/>
        <w:ind w:firstLine="1040"/>
        <w:rPr>
          <w:rFonts w:hint="eastAsia" w:ascii="仿宋_GB2312" w:eastAsia="仿宋_GB2312"/>
          <w:color w:val="auto"/>
          <w:sz w:val="36"/>
          <w:szCs w:val="36"/>
        </w:rPr>
      </w:pPr>
    </w:p>
    <w:p w14:paraId="4E379003">
      <w:pPr>
        <w:adjustRightInd w:val="0"/>
        <w:snapToGrid w:val="0"/>
        <w:spacing w:line="288" w:lineRule="auto"/>
        <w:ind w:firstLine="1040"/>
        <w:rPr>
          <w:rFonts w:hint="eastAsia" w:ascii="仿宋_GB2312" w:eastAsia="仿宋_GB2312"/>
          <w:color w:val="auto"/>
          <w:sz w:val="36"/>
          <w:szCs w:val="36"/>
        </w:rPr>
      </w:pPr>
    </w:p>
    <w:p w14:paraId="495C4E08">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14:paraId="554F5280">
      <w:pPr>
        <w:adjustRightInd w:val="0"/>
        <w:snapToGrid w:val="0"/>
        <w:spacing w:line="288" w:lineRule="auto"/>
        <w:ind w:firstLine="1040"/>
        <w:rPr>
          <w:rFonts w:ascii="仿宋_GB2312" w:eastAsia="仿宋_GB2312"/>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14:paraId="10A1CDC0">
      <w:pPr>
        <w:pStyle w:val="24"/>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一、建设项目基本情况</w:t>
      </w:r>
    </w:p>
    <w:tbl>
      <w:tblPr>
        <w:tblStyle w:val="28"/>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16"/>
        <w:gridCol w:w="3411"/>
        <w:gridCol w:w="1960"/>
        <w:gridCol w:w="10"/>
        <w:gridCol w:w="2542"/>
      </w:tblGrid>
      <w:tr w14:paraId="6ACAB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116" w:type="dxa"/>
            <w:noWrap w:val="0"/>
            <w:tcMar>
              <w:top w:w="16" w:type="dxa"/>
              <w:left w:w="16" w:type="dxa"/>
              <w:right w:w="16" w:type="dxa"/>
            </w:tcMar>
            <w:vAlign w:val="center"/>
          </w:tcPr>
          <w:p w14:paraId="31832BFF">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建设项目名称</w:t>
            </w:r>
          </w:p>
        </w:tc>
        <w:tc>
          <w:tcPr>
            <w:tcW w:w="7923" w:type="dxa"/>
            <w:gridSpan w:val="4"/>
            <w:noWrap w:val="0"/>
            <w:vAlign w:val="center"/>
          </w:tcPr>
          <w:p w14:paraId="480D99E5">
            <w:pPr>
              <w:keepNext w:val="0"/>
              <w:keepLines w:val="0"/>
              <w:suppressLineNumbers w:val="0"/>
              <w:adjustRightInd w:val="0"/>
              <w:snapToGrid w:val="0"/>
              <w:spacing w:before="0" w:beforeAutospacing="0" w:after="0" w:afterAutospacing="0"/>
              <w:ind w:left="0" w:right="0"/>
              <w:jc w:val="center"/>
              <w:rPr>
                <w:rFonts w:hint="eastAsia" w:cs="Times New Roman"/>
                <w:color w:val="auto"/>
                <w:lang w:eastAsia="zh-CN"/>
              </w:rPr>
            </w:pPr>
            <w:r>
              <w:rPr>
                <w:rFonts w:hint="eastAsia" w:cs="Times New Roman"/>
                <w:color w:val="auto"/>
                <w:sz w:val="24"/>
                <w:szCs w:val="24"/>
                <w:lang w:eastAsia="zh-CN"/>
              </w:rPr>
              <w:t>顾北煤矿地面瓦斯抽采泵站扩建工程项目</w:t>
            </w:r>
          </w:p>
        </w:tc>
      </w:tr>
      <w:tr w14:paraId="7F592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116" w:type="dxa"/>
            <w:noWrap w:val="0"/>
            <w:tcMar>
              <w:top w:w="16" w:type="dxa"/>
              <w:left w:w="16" w:type="dxa"/>
              <w:right w:w="16" w:type="dxa"/>
            </w:tcMar>
            <w:vAlign w:val="center"/>
          </w:tcPr>
          <w:p w14:paraId="4849D2E2">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项目代码</w:t>
            </w:r>
          </w:p>
        </w:tc>
        <w:tc>
          <w:tcPr>
            <w:tcW w:w="7923" w:type="dxa"/>
            <w:gridSpan w:val="4"/>
            <w:noWrap w:val="0"/>
            <w:vAlign w:val="center"/>
          </w:tcPr>
          <w:p w14:paraId="127AC128">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 w:val="24"/>
                <w:szCs w:val="24"/>
                <w:lang w:val="en-US" w:eastAsia="zh-CN"/>
              </w:rPr>
            </w:pPr>
            <w:r>
              <w:rPr>
                <w:rFonts w:hint="eastAsia" w:cs="Times New Roman"/>
                <w:color w:val="auto"/>
                <w:sz w:val="24"/>
                <w:szCs w:val="24"/>
                <w:lang w:val="en-US" w:eastAsia="zh-CN"/>
              </w:rPr>
              <w:t>2607-340421-04-02-325147</w:t>
            </w:r>
          </w:p>
        </w:tc>
      </w:tr>
      <w:tr w14:paraId="776C03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116" w:type="dxa"/>
            <w:noWrap w:val="0"/>
            <w:tcMar>
              <w:top w:w="16" w:type="dxa"/>
              <w:left w:w="16" w:type="dxa"/>
              <w:right w:w="16" w:type="dxa"/>
            </w:tcMar>
            <w:vAlign w:val="center"/>
          </w:tcPr>
          <w:p w14:paraId="6F43A331">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建设单位联系人</w:t>
            </w:r>
          </w:p>
        </w:tc>
        <w:tc>
          <w:tcPr>
            <w:tcW w:w="3411" w:type="dxa"/>
            <w:noWrap w:val="0"/>
            <w:vAlign w:val="center"/>
          </w:tcPr>
          <w:p w14:paraId="385902E1">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 w:val="24"/>
                <w:szCs w:val="24"/>
                <w:highlight w:val="none"/>
                <w:lang w:val="en-US" w:eastAsia="zh-CN"/>
              </w:rPr>
            </w:pPr>
          </w:p>
        </w:tc>
        <w:tc>
          <w:tcPr>
            <w:tcW w:w="1970" w:type="dxa"/>
            <w:gridSpan w:val="2"/>
            <w:noWrap w:val="0"/>
            <w:vAlign w:val="center"/>
          </w:tcPr>
          <w:p w14:paraId="1E053115">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highlight w:val="none"/>
              </w:rPr>
            </w:pPr>
            <w:r>
              <w:rPr>
                <w:rFonts w:hint="default" w:cs="Times New Roman"/>
                <w:color w:val="auto"/>
                <w:sz w:val="24"/>
                <w:szCs w:val="24"/>
                <w:highlight w:val="none"/>
              </w:rPr>
              <w:t>联系方式</w:t>
            </w:r>
          </w:p>
        </w:tc>
        <w:tc>
          <w:tcPr>
            <w:tcW w:w="2542" w:type="dxa"/>
            <w:noWrap w:val="0"/>
            <w:vAlign w:val="center"/>
          </w:tcPr>
          <w:p w14:paraId="014AFE36">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 w:val="24"/>
                <w:szCs w:val="24"/>
                <w:highlight w:val="none"/>
                <w:lang w:val="en-US" w:eastAsia="zh-CN"/>
              </w:rPr>
            </w:pPr>
            <w:bookmarkStart w:id="51" w:name="_GoBack"/>
            <w:bookmarkEnd w:id="51"/>
          </w:p>
        </w:tc>
      </w:tr>
      <w:tr w14:paraId="4312F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116" w:type="dxa"/>
            <w:noWrap w:val="0"/>
            <w:tcMar>
              <w:top w:w="16" w:type="dxa"/>
              <w:left w:w="16" w:type="dxa"/>
              <w:right w:w="16" w:type="dxa"/>
            </w:tcMar>
            <w:vAlign w:val="center"/>
          </w:tcPr>
          <w:p w14:paraId="493784D9">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建设地点</w:t>
            </w:r>
          </w:p>
        </w:tc>
        <w:tc>
          <w:tcPr>
            <w:tcW w:w="7923" w:type="dxa"/>
            <w:gridSpan w:val="4"/>
            <w:noWrap w:val="0"/>
            <w:vAlign w:val="center"/>
          </w:tcPr>
          <w:p w14:paraId="77659525">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eastAsia" w:ascii="Times New Roman" w:hAnsi="Times New Roman" w:eastAsia="宋体" w:cs="Times New Roman"/>
                <w:color w:val="auto"/>
                <w:sz w:val="24"/>
                <w:lang w:eastAsia="zh-CN"/>
              </w:rPr>
              <w:t>安徽省淮南市凤台县顾桥镇顾北煤矿矿内</w:t>
            </w:r>
            <w:r>
              <w:rPr>
                <w:rFonts w:hint="default" w:cs="Times New Roman"/>
                <w:color w:val="auto"/>
                <w:sz w:val="24"/>
                <w:szCs w:val="24"/>
              </w:rPr>
              <w:t xml:space="preserve"> </w:t>
            </w:r>
          </w:p>
        </w:tc>
      </w:tr>
      <w:tr w14:paraId="433DB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1116" w:type="dxa"/>
            <w:noWrap w:val="0"/>
            <w:tcMar>
              <w:top w:w="16" w:type="dxa"/>
              <w:left w:w="16" w:type="dxa"/>
              <w:right w:w="16" w:type="dxa"/>
            </w:tcMar>
            <w:vAlign w:val="center"/>
          </w:tcPr>
          <w:p w14:paraId="633F8520">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地理坐标</w:t>
            </w:r>
          </w:p>
        </w:tc>
        <w:tc>
          <w:tcPr>
            <w:tcW w:w="7923" w:type="dxa"/>
            <w:gridSpan w:val="4"/>
            <w:noWrap w:val="0"/>
            <w:vAlign w:val="center"/>
          </w:tcPr>
          <w:p w14:paraId="212B8F7B">
            <w:pPr>
              <w:pStyle w:val="48"/>
              <w:numPr>
                <w:ilvl w:val="0"/>
                <w:numId w:val="0"/>
              </w:numPr>
              <w:suppressLineNumbers w:val="0"/>
              <w:spacing w:beforeAutospacing="0" w:afterAutospacing="0"/>
              <w:ind w:left="0" w:right="0"/>
              <w:rPr>
                <w:rFonts w:hint="eastAsia"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项目中心坐标</w:t>
            </w:r>
            <w:r>
              <w:rPr>
                <w:rFonts w:hint="eastAsia" w:ascii="Times New Roman" w:eastAsia="宋体" w:cs="Times New Roman"/>
                <w:b w:val="0"/>
                <w:bCs w:val="0"/>
                <w:color w:val="auto"/>
                <w:kern w:val="2"/>
                <w:sz w:val="24"/>
                <w:szCs w:val="24"/>
                <w:highlight w:val="none"/>
                <w:lang w:val="en-US" w:eastAsia="zh-CN" w:bidi="ar-SA"/>
              </w:rPr>
              <w:t xml:space="preserve">： </w:t>
            </w:r>
            <w:r>
              <w:rPr>
                <w:rFonts w:hint="default" w:ascii="Times New Roman" w:hAnsi="Times New Roman" w:eastAsia="宋体" w:cs="Times New Roman"/>
                <w:b w:val="0"/>
                <w:bCs w:val="0"/>
                <w:color w:val="auto"/>
                <w:kern w:val="2"/>
                <w:sz w:val="24"/>
                <w:szCs w:val="24"/>
                <w:highlight w:val="none"/>
                <w:lang w:val="en-US" w:eastAsia="zh-CN" w:bidi="ar-SA"/>
              </w:rPr>
              <w:t>经度：116°</w:t>
            </w:r>
            <w:r>
              <w:rPr>
                <w:rFonts w:hint="eastAsia" w:ascii="Times New Roman" w:eastAsia="宋体" w:cs="Times New Roman"/>
                <w:b w:val="0"/>
                <w:bCs w:val="0"/>
                <w:color w:val="auto"/>
                <w:kern w:val="2"/>
                <w:sz w:val="24"/>
                <w:szCs w:val="24"/>
                <w:highlight w:val="none"/>
                <w:lang w:val="en-US" w:eastAsia="zh-CN" w:bidi="ar-SA"/>
              </w:rPr>
              <w:t>32</w:t>
            </w:r>
            <w:r>
              <w:rPr>
                <w:rFonts w:hint="default" w:ascii="Times New Roman" w:hAnsi="Times New Roman" w:eastAsia="宋体" w:cs="Times New Roman"/>
                <w:b w:val="0"/>
                <w:bCs w:val="0"/>
                <w:color w:val="auto"/>
                <w:kern w:val="2"/>
                <w:sz w:val="24"/>
                <w:szCs w:val="24"/>
                <w:highlight w:val="none"/>
                <w:lang w:val="en-US" w:eastAsia="zh-CN" w:bidi="ar-SA"/>
              </w:rPr>
              <w:t>′</w:t>
            </w:r>
            <w:r>
              <w:rPr>
                <w:rFonts w:hint="eastAsia" w:ascii="Times New Roman" w:eastAsia="宋体" w:cs="Times New Roman"/>
                <w:b w:val="0"/>
                <w:bCs w:val="0"/>
                <w:color w:val="auto"/>
                <w:kern w:val="2"/>
                <w:sz w:val="24"/>
                <w:szCs w:val="24"/>
                <w:highlight w:val="none"/>
                <w:lang w:val="en-US" w:eastAsia="zh-CN" w:bidi="ar-SA"/>
              </w:rPr>
              <w:t>37.486</w:t>
            </w:r>
            <w:r>
              <w:rPr>
                <w:rFonts w:hint="default" w:ascii="Times New Roman" w:hAnsi="Times New Roman" w:eastAsia="宋体" w:cs="Times New Roman"/>
                <w:b w:val="0"/>
                <w:bCs w:val="0"/>
                <w:color w:val="auto"/>
                <w:kern w:val="2"/>
                <w:sz w:val="24"/>
                <w:szCs w:val="24"/>
                <w:highlight w:val="none"/>
                <w:lang w:val="en-US" w:eastAsia="zh-CN" w:bidi="ar-SA"/>
              </w:rPr>
              <w:t>″，纬度：32°</w:t>
            </w:r>
            <w:r>
              <w:rPr>
                <w:rFonts w:hint="eastAsia" w:ascii="Times New Roman" w:eastAsia="宋体" w:cs="Times New Roman"/>
                <w:b w:val="0"/>
                <w:bCs w:val="0"/>
                <w:color w:val="auto"/>
                <w:kern w:val="2"/>
                <w:sz w:val="24"/>
                <w:szCs w:val="24"/>
                <w:highlight w:val="none"/>
                <w:lang w:val="en-US" w:eastAsia="zh-CN" w:bidi="ar-SA"/>
              </w:rPr>
              <w:t>49</w:t>
            </w:r>
            <w:r>
              <w:rPr>
                <w:rFonts w:hint="default" w:ascii="Times New Roman" w:hAnsi="Times New Roman" w:eastAsia="宋体" w:cs="Times New Roman"/>
                <w:b w:val="0"/>
                <w:bCs w:val="0"/>
                <w:color w:val="auto"/>
                <w:kern w:val="2"/>
                <w:sz w:val="24"/>
                <w:szCs w:val="24"/>
                <w:highlight w:val="none"/>
                <w:lang w:val="en-US" w:eastAsia="zh-CN" w:bidi="ar-SA"/>
              </w:rPr>
              <w:t>′</w:t>
            </w:r>
            <w:r>
              <w:rPr>
                <w:rFonts w:hint="eastAsia" w:ascii="Times New Roman" w:eastAsia="宋体" w:cs="Times New Roman"/>
                <w:b w:val="0"/>
                <w:bCs w:val="0"/>
                <w:color w:val="auto"/>
                <w:kern w:val="2"/>
                <w:sz w:val="24"/>
                <w:szCs w:val="24"/>
                <w:highlight w:val="none"/>
                <w:lang w:val="en-US" w:eastAsia="zh-CN" w:bidi="ar-SA"/>
              </w:rPr>
              <w:t>18.188</w:t>
            </w:r>
            <w:r>
              <w:rPr>
                <w:rFonts w:hint="default" w:ascii="Times New Roman" w:hAnsi="Times New Roman" w:eastAsia="宋体" w:cs="Times New Roman"/>
                <w:b w:val="0"/>
                <w:bCs w:val="0"/>
                <w:color w:val="auto"/>
                <w:kern w:val="2"/>
                <w:sz w:val="24"/>
                <w:szCs w:val="24"/>
                <w:highlight w:val="none"/>
                <w:lang w:val="en-US" w:eastAsia="zh-CN" w:bidi="ar-SA"/>
              </w:rPr>
              <w:t>″。</w:t>
            </w:r>
          </w:p>
        </w:tc>
      </w:tr>
      <w:tr w14:paraId="413BC3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116" w:type="dxa"/>
            <w:noWrap w:val="0"/>
            <w:tcMar>
              <w:top w:w="16" w:type="dxa"/>
              <w:left w:w="16" w:type="dxa"/>
              <w:right w:w="16" w:type="dxa"/>
            </w:tcMar>
            <w:vAlign w:val="center"/>
          </w:tcPr>
          <w:p w14:paraId="50D4DDA6">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建设项目</w:t>
            </w:r>
          </w:p>
          <w:p w14:paraId="42E0F968">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行业类别</w:t>
            </w:r>
          </w:p>
        </w:tc>
        <w:tc>
          <w:tcPr>
            <w:tcW w:w="3411" w:type="dxa"/>
            <w:noWrap w:val="0"/>
            <w:vAlign w:val="center"/>
          </w:tcPr>
          <w:p w14:paraId="06158792">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四、煤炭开采和洗选业0</w:t>
            </w:r>
            <w:r>
              <w:rPr>
                <w:rFonts w:hint="eastAsia" w:ascii="Times New Roman" w:hAnsi="Times New Roman" w:eastAsia="宋体" w:cs="Times New Roman"/>
                <w:color w:val="auto"/>
                <w:sz w:val="24"/>
                <w:lang w:val="en-US" w:eastAsia="zh-CN"/>
              </w:rPr>
              <w:t xml:space="preserve">6-－烟煤和无烟煤开采洗 </w:t>
            </w:r>
          </w:p>
          <w:p w14:paraId="51E61041">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sz w:val="24"/>
                <w:szCs w:val="24"/>
                <w:lang w:eastAsia="zh-CN"/>
              </w:rPr>
            </w:pPr>
            <w:r>
              <w:rPr>
                <w:rFonts w:hint="eastAsia" w:ascii="Times New Roman" w:hAnsi="Times New Roman" w:eastAsia="宋体" w:cs="Times New Roman"/>
                <w:color w:val="auto"/>
                <w:sz w:val="24"/>
                <w:lang w:val="en-US" w:eastAsia="zh-CN"/>
              </w:rPr>
              <w:t>选061--瓦斯抽放站</w:t>
            </w:r>
          </w:p>
        </w:tc>
        <w:tc>
          <w:tcPr>
            <w:tcW w:w="1960" w:type="dxa"/>
            <w:noWrap w:val="0"/>
            <w:vAlign w:val="center"/>
          </w:tcPr>
          <w:p w14:paraId="773C0575">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用地（用海）面积（m</w:t>
            </w:r>
            <w:r>
              <w:rPr>
                <w:rFonts w:hint="default" w:cs="Times New Roman"/>
                <w:color w:val="auto"/>
                <w:sz w:val="24"/>
                <w:szCs w:val="24"/>
                <w:vertAlign w:val="superscript"/>
              </w:rPr>
              <w:t>2</w:t>
            </w:r>
            <w:r>
              <w:rPr>
                <w:rFonts w:hint="default" w:cs="Times New Roman"/>
                <w:color w:val="auto"/>
                <w:sz w:val="24"/>
                <w:szCs w:val="24"/>
              </w:rPr>
              <w:t>）/长度（km）</w:t>
            </w:r>
          </w:p>
        </w:tc>
        <w:tc>
          <w:tcPr>
            <w:tcW w:w="2552" w:type="dxa"/>
            <w:gridSpan w:val="2"/>
            <w:noWrap w:val="0"/>
            <w:vAlign w:val="center"/>
          </w:tcPr>
          <w:p w14:paraId="650DAFD0">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sz w:val="24"/>
                <w:szCs w:val="24"/>
                <w:lang w:eastAsia="zh-CN"/>
              </w:rPr>
            </w:pPr>
            <w:r>
              <w:rPr>
                <w:rFonts w:hint="eastAsia" w:cs="Times New Roman"/>
                <w:color w:val="auto"/>
                <w:sz w:val="24"/>
                <w:highlight w:val="none"/>
                <w:lang w:val="en-US" w:eastAsia="zh-CN"/>
              </w:rPr>
              <w:t>不新增占地</w:t>
            </w:r>
          </w:p>
        </w:tc>
      </w:tr>
      <w:tr w14:paraId="306FE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 w:hRule="atLeast"/>
        </w:trPr>
        <w:tc>
          <w:tcPr>
            <w:tcW w:w="1116" w:type="dxa"/>
            <w:noWrap w:val="0"/>
            <w:tcMar>
              <w:top w:w="16" w:type="dxa"/>
              <w:left w:w="16" w:type="dxa"/>
              <w:right w:w="16" w:type="dxa"/>
            </w:tcMar>
            <w:vAlign w:val="center"/>
          </w:tcPr>
          <w:p w14:paraId="40E7A79B">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建设性质</w:t>
            </w:r>
          </w:p>
        </w:tc>
        <w:tc>
          <w:tcPr>
            <w:tcW w:w="3411" w:type="dxa"/>
            <w:noWrap w:val="0"/>
            <w:vAlign w:val="center"/>
          </w:tcPr>
          <w:p w14:paraId="7014333D">
            <w:pPr>
              <w:keepNext w:val="0"/>
              <w:keepLines w:val="0"/>
              <w:suppressLineNumbers w:val="0"/>
              <w:adjustRightInd w:val="0"/>
              <w:snapToGrid w:val="0"/>
              <w:spacing w:before="0" w:beforeAutospacing="0" w:after="0" w:afterAutospacing="0"/>
              <w:ind w:left="0" w:right="0"/>
              <w:jc w:val="left"/>
              <w:rPr>
                <w:rFonts w:hint="default" w:cs="Times New Roman"/>
                <w:color w:val="auto"/>
                <w:sz w:val="24"/>
                <w:szCs w:val="24"/>
              </w:rPr>
            </w:pPr>
            <w:r>
              <w:rPr>
                <w:rFonts w:hint="eastAsia" w:cs="Times New Roman"/>
                <w:color w:val="auto"/>
                <w:sz w:val="24"/>
                <w:szCs w:val="24"/>
                <w:lang w:eastAsia="zh-CN"/>
              </w:rPr>
              <w:t>□</w:t>
            </w:r>
            <w:r>
              <w:rPr>
                <w:rFonts w:hint="default" w:cs="Times New Roman"/>
                <w:color w:val="auto"/>
                <w:sz w:val="24"/>
                <w:szCs w:val="24"/>
              </w:rPr>
              <w:t>新建（迁建）</w:t>
            </w:r>
          </w:p>
          <w:p w14:paraId="2C25FA8F">
            <w:pPr>
              <w:keepNext w:val="0"/>
              <w:keepLines w:val="0"/>
              <w:suppressLineNumbers w:val="0"/>
              <w:adjustRightInd w:val="0"/>
              <w:snapToGrid w:val="0"/>
              <w:spacing w:before="0" w:beforeAutospacing="0" w:after="0" w:afterAutospacing="0"/>
              <w:ind w:left="0" w:right="0"/>
              <w:jc w:val="left"/>
              <w:rPr>
                <w:rFonts w:hint="default" w:cs="Times New Roman"/>
                <w:color w:val="auto"/>
                <w:sz w:val="24"/>
                <w:szCs w:val="24"/>
              </w:rPr>
            </w:pPr>
            <w:r>
              <w:rPr>
                <w:rFonts w:hint="eastAsia" w:cs="Times New Roman"/>
                <w:color w:val="auto"/>
                <w:sz w:val="24"/>
                <w:szCs w:val="24"/>
                <w:lang w:eastAsia="zh-CN"/>
              </w:rPr>
              <w:t>☑</w:t>
            </w:r>
            <w:r>
              <w:rPr>
                <w:rFonts w:hint="default" w:cs="Times New Roman"/>
                <w:color w:val="auto"/>
                <w:sz w:val="24"/>
                <w:szCs w:val="24"/>
              </w:rPr>
              <w:t>改建</w:t>
            </w:r>
          </w:p>
          <w:p w14:paraId="591FEF37">
            <w:pPr>
              <w:keepNext w:val="0"/>
              <w:keepLines w:val="0"/>
              <w:suppressLineNumbers w:val="0"/>
              <w:adjustRightInd w:val="0"/>
              <w:snapToGrid w:val="0"/>
              <w:spacing w:before="0" w:beforeAutospacing="0" w:after="0" w:afterAutospacing="0"/>
              <w:ind w:left="0" w:right="0"/>
              <w:jc w:val="left"/>
              <w:rPr>
                <w:rFonts w:hint="default" w:cs="Times New Roman"/>
                <w:color w:val="auto"/>
                <w:sz w:val="24"/>
                <w:szCs w:val="24"/>
              </w:rPr>
            </w:pPr>
            <w:r>
              <w:rPr>
                <w:rFonts w:hint="eastAsia" w:cs="Times New Roman"/>
                <w:color w:val="auto"/>
                <w:sz w:val="24"/>
                <w:szCs w:val="24"/>
                <w:lang w:eastAsia="zh-CN"/>
              </w:rPr>
              <w:t>☑</w:t>
            </w:r>
            <w:r>
              <w:rPr>
                <w:rFonts w:hint="default" w:cs="Times New Roman"/>
                <w:color w:val="auto"/>
                <w:sz w:val="24"/>
                <w:szCs w:val="24"/>
              </w:rPr>
              <w:t>扩建</w:t>
            </w:r>
          </w:p>
          <w:p w14:paraId="6174E986">
            <w:pPr>
              <w:keepNext w:val="0"/>
              <w:keepLines w:val="0"/>
              <w:suppressLineNumbers w:val="0"/>
              <w:adjustRightInd w:val="0"/>
              <w:snapToGrid w:val="0"/>
              <w:spacing w:before="0" w:beforeAutospacing="0" w:after="0" w:afterAutospacing="0"/>
              <w:ind w:left="0" w:right="0"/>
              <w:jc w:val="left"/>
              <w:rPr>
                <w:rFonts w:hint="default" w:cs="Times New Roman"/>
                <w:color w:val="auto"/>
                <w:sz w:val="24"/>
                <w:szCs w:val="24"/>
              </w:rPr>
            </w:pPr>
            <w:r>
              <w:rPr>
                <w:rFonts w:hint="default" w:cs="Times New Roman"/>
                <w:color w:val="auto"/>
                <w:sz w:val="24"/>
                <w:szCs w:val="24"/>
              </w:rPr>
              <w:t>□技术改造</w:t>
            </w:r>
          </w:p>
        </w:tc>
        <w:tc>
          <w:tcPr>
            <w:tcW w:w="1960" w:type="dxa"/>
            <w:noWrap w:val="0"/>
            <w:vAlign w:val="center"/>
          </w:tcPr>
          <w:p w14:paraId="6CA422D7">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建设项目</w:t>
            </w:r>
          </w:p>
          <w:p w14:paraId="5A85E632">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申报情形</w:t>
            </w:r>
          </w:p>
        </w:tc>
        <w:tc>
          <w:tcPr>
            <w:tcW w:w="2552" w:type="dxa"/>
            <w:gridSpan w:val="2"/>
            <w:noWrap w:val="0"/>
            <w:vAlign w:val="center"/>
          </w:tcPr>
          <w:p w14:paraId="3D8E7E77">
            <w:pPr>
              <w:keepNext w:val="0"/>
              <w:keepLines w:val="0"/>
              <w:suppressLineNumbers w:val="0"/>
              <w:adjustRightInd w:val="0"/>
              <w:snapToGrid w:val="0"/>
              <w:spacing w:before="0" w:beforeAutospacing="0" w:after="0" w:afterAutospacing="0"/>
              <w:ind w:left="0" w:right="0"/>
              <w:jc w:val="left"/>
              <w:rPr>
                <w:rFonts w:hint="default" w:cs="Times New Roman"/>
                <w:color w:val="auto"/>
                <w:sz w:val="24"/>
                <w:szCs w:val="24"/>
              </w:rPr>
            </w:pPr>
            <w:r>
              <w:rPr>
                <w:rFonts w:hint="default" w:cs="Times New Roman"/>
                <w:color w:val="auto"/>
                <w:sz w:val="24"/>
                <w:szCs w:val="24"/>
              </w:rPr>
              <w:sym w:font="Wingdings 2" w:char="0052"/>
            </w:r>
            <w:r>
              <w:rPr>
                <w:rFonts w:hint="default" w:cs="Times New Roman"/>
                <w:color w:val="auto"/>
                <w:sz w:val="24"/>
                <w:szCs w:val="24"/>
              </w:rPr>
              <w:t>首次申报项目</w:t>
            </w:r>
          </w:p>
          <w:p w14:paraId="2859DA8D">
            <w:pPr>
              <w:keepNext w:val="0"/>
              <w:keepLines w:val="0"/>
              <w:suppressLineNumbers w:val="0"/>
              <w:adjustRightInd w:val="0"/>
              <w:snapToGrid w:val="0"/>
              <w:spacing w:before="0" w:beforeAutospacing="0" w:after="0" w:afterAutospacing="0"/>
              <w:ind w:left="0" w:right="0"/>
              <w:jc w:val="left"/>
              <w:rPr>
                <w:rFonts w:hint="default" w:cs="Times New Roman"/>
                <w:color w:val="auto"/>
                <w:sz w:val="24"/>
                <w:szCs w:val="24"/>
              </w:rPr>
            </w:pPr>
            <w:r>
              <w:rPr>
                <w:rFonts w:hint="default" w:cs="Times New Roman"/>
                <w:color w:val="auto"/>
                <w:sz w:val="24"/>
                <w:szCs w:val="24"/>
              </w:rPr>
              <w:t>□不予批准后再次申报项目</w:t>
            </w:r>
          </w:p>
          <w:p w14:paraId="33E23899">
            <w:pPr>
              <w:keepNext w:val="0"/>
              <w:keepLines w:val="0"/>
              <w:suppressLineNumbers w:val="0"/>
              <w:adjustRightInd w:val="0"/>
              <w:snapToGrid w:val="0"/>
              <w:spacing w:before="0" w:beforeAutospacing="0" w:after="0" w:afterAutospacing="0"/>
              <w:ind w:left="0" w:right="0"/>
              <w:jc w:val="left"/>
              <w:rPr>
                <w:rFonts w:hint="default" w:cs="Times New Roman"/>
                <w:color w:val="auto"/>
                <w:sz w:val="24"/>
                <w:szCs w:val="24"/>
              </w:rPr>
            </w:pPr>
            <w:r>
              <w:rPr>
                <w:rFonts w:hint="default" w:cs="Times New Roman"/>
                <w:color w:val="auto"/>
                <w:sz w:val="24"/>
                <w:szCs w:val="24"/>
              </w:rPr>
              <w:t>□超五年重新审核项目</w:t>
            </w:r>
          </w:p>
          <w:p w14:paraId="355A5DEA">
            <w:pPr>
              <w:keepNext w:val="0"/>
              <w:keepLines w:val="0"/>
              <w:suppressLineNumbers w:val="0"/>
              <w:adjustRightInd w:val="0"/>
              <w:snapToGrid w:val="0"/>
              <w:spacing w:before="0" w:beforeAutospacing="0" w:after="0" w:afterAutospacing="0"/>
              <w:ind w:left="0" w:right="0"/>
              <w:rPr>
                <w:rFonts w:hint="default" w:cs="Times New Roman"/>
                <w:color w:val="auto"/>
                <w:sz w:val="24"/>
                <w:szCs w:val="24"/>
              </w:rPr>
            </w:pPr>
            <w:r>
              <w:rPr>
                <w:rFonts w:hint="default" w:cs="Times New Roman"/>
                <w:color w:val="auto"/>
                <w:sz w:val="24"/>
                <w:szCs w:val="24"/>
              </w:rPr>
              <w:t>□重大变动重新报批项目</w:t>
            </w:r>
          </w:p>
        </w:tc>
      </w:tr>
      <w:tr w14:paraId="683735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116" w:type="dxa"/>
            <w:noWrap w:val="0"/>
            <w:tcMar>
              <w:top w:w="16" w:type="dxa"/>
              <w:left w:w="16" w:type="dxa"/>
              <w:right w:w="16" w:type="dxa"/>
            </w:tcMar>
            <w:vAlign w:val="center"/>
          </w:tcPr>
          <w:p w14:paraId="7F48BA21">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项目审批（核准/</w:t>
            </w:r>
          </w:p>
          <w:p w14:paraId="1F8DC71F">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备案）部门（选填）</w:t>
            </w:r>
          </w:p>
        </w:tc>
        <w:tc>
          <w:tcPr>
            <w:tcW w:w="3411" w:type="dxa"/>
            <w:noWrap w:val="0"/>
            <w:vAlign w:val="center"/>
          </w:tcPr>
          <w:p w14:paraId="33BE7199">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sz w:val="24"/>
                <w:szCs w:val="24"/>
                <w:lang w:eastAsia="zh-CN"/>
              </w:rPr>
            </w:pPr>
            <w:r>
              <w:rPr>
                <w:rFonts w:hint="eastAsia" w:cs="Times New Roman"/>
                <w:color w:val="auto"/>
                <w:sz w:val="24"/>
                <w:szCs w:val="24"/>
                <w:lang w:eastAsia="zh-CN"/>
              </w:rPr>
              <w:t>凤台县发展和改革委员会</w:t>
            </w:r>
          </w:p>
        </w:tc>
        <w:tc>
          <w:tcPr>
            <w:tcW w:w="1960" w:type="dxa"/>
            <w:noWrap w:val="0"/>
            <w:vAlign w:val="center"/>
          </w:tcPr>
          <w:p w14:paraId="0748218D">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项目审批（核准/</w:t>
            </w:r>
          </w:p>
          <w:p w14:paraId="5738DA42">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备案）文号（选填）</w:t>
            </w:r>
          </w:p>
        </w:tc>
        <w:tc>
          <w:tcPr>
            <w:tcW w:w="2552" w:type="dxa"/>
            <w:gridSpan w:val="2"/>
            <w:noWrap w:val="0"/>
            <w:vAlign w:val="center"/>
          </w:tcPr>
          <w:p w14:paraId="54C5F39D">
            <w:pPr>
              <w:keepNext w:val="0"/>
              <w:keepLines w:val="0"/>
              <w:suppressLineNumbers w:val="0"/>
              <w:adjustRightInd w:val="0"/>
              <w:snapToGrid w:val="0"/>
              <w:spacing w:before="0" w:beforeAutospacing="0" w:after="0" w:afterAutospacing="0"/>
              <w:ind w:left="0" w:right="0"/>
              <w:jc w:val="center"/>
              <w:rPr>
                <w:rFonts w:hint="eastAsia" w:cs="Times New Roman"/>
                <w:color w:val="auto"/>
                <w:sz w:val="24"/>
                <w:szCs w:val="24"/>
              </w:rPr>
            </w:pPr>
            <w:r>
              <w:rPr>
                <w:rFonts w:hint="eastAsia" w:cs="Times New Roman"/>
                <w:color w:val="auto"/>
                <w:sz w:val="24"/>
                <w:szCs w:val="24"/>
              </w:rPr>
              <w:t>/</w:t>
            </w:r>
          </w:p>
        </w:tc>
      </w:tr>
      <w:tr w14:paraId="08EEE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3" w:hRule="atLeast"/>
        </w:trPr>
        <w:tc>
          <w:tcPr>
            <w:tcW w:w="1116" w:type="dxa"/>
            <w:noWrap w:val="0"/>
            <w:tcMar>
              <w:top w:w="16" w:type="dxa"/>
              <w:left w:w="16" w:type="dxa"/>
              <w:right w:w="16" w:type="dxa"/>
            </w:tcMar>
            <w:vAlign w:val="center"/>
          </w:tcPr>
          <w:p w14:paraId="1680939C">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highlight w:val="none"/>
              </w:rPr>
            </w:pPr>
            <w:r>
              <w:rPr>
                <w:rFonts w:hint="default" w:cs="Times New Roman"/>
                <w:color w:val="auto"/>
                <w:sz w:val="24"/>
                <w:szCs w:val="24"/>
                <w:highlight w:val="none"/>
              </w:rPr>
              <w:t>总投资（万元）</w:t>
            </w:r>
          </w:p>
        </w:tc>
        <w:tc>
          <w:tcPr>
            <w:tcW w:w="3411" w:type="dxa"/>
            <w:noWrap w:val="0"/>
            <w:vAlign w:val="center"/>
          </w:tcPr>
          <w:p w14:paraId="1CA53107">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 w:val="24"/>
                <w:szCs w:val="24"/>
                <w:highlight w:val="none"/>
                <w:lang w:val="en-US" w:eastAsia="zh-CN"/>
              </w:rPr>
            </w:pPr>
            <w:r>
              <w:rPr>
                <w:rFonts w:hint="eastAsia" w:cs="Times New Roman"/>
                <w:color w:val="auto"/>
                <w:sz w:val="24"/>
                <w:highlight w:val="none"/>
                <w:lang w:val="en-US" w:eastAsia="zh-CN"/>
              </w:rPr>
              <w:t>1257.1</w:t>
            </w:r>
          </w:p>
        </w:tc>
        <w:tc>
          <w:tcPr>
            <w:tcW w:w="1960" w:type="dxa"/>
            <w:noWrap w:val="0"/>
            <w:tcMar>
              <w:top w:w="16" w:type="dxa"/>
              <w:left w:w="16" w:type="dxa"/>
              <w:right w:w="16" w:type="dxa"/>
            </w:tcMar>
            <w:vAlign w:val="center"/>
          </w:tcPr>
          <w:p w14:paraId="5DADB889">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highlight w:val="none"/>
              </w:rPr>
            </w:pPr>
            <w:r>
              <w:rPr>
                <w:rFonts w:hint="default" w:cs="Times New Roman"/>
                <w:color w:val="auto"/>
                <w:sz w:val="24"/>
                <w:szCs w:val="24"/>
                <w:highlight w:val="none"/>
              </w:rPr>
              <w:t>环保投资（万元）</w:t>
            </w:r>
          </w:p>
        </w:tc>
        <w:tc>
          <w:tcPr>
            <w:tcW w:w="2552" w:type="dxa"/>
            <w:gridSpan w:val="2"/>
            <w:noWrap w:val="0"/>
            <w:vAlign w:val="center"/>
          </w:tcPr>
          <w:p w14:paraId="423C9C2E">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11</w:t>
            </w:r>
          </w:p>
        </w:tc>
      </w:tr>
      <w:tr w14:paraId="5FB349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5" w:hRule="atLeast"/>
        </w:trPr>
        <w:tc>
          <w:tcPr>
            <w:tcW w:w="1116" w:type="dxa"/>
            <w:noWrap w:val="0"/>
            <w:tcMar>
              <w:top w:w="16" w:type="dxa"/>
              <w:left w:w="16" w:type="dxa"/>
              <w:right w:w="16" w:type="dxa"/>
            </w:tcMar>
            <w:vAlign w:val="center"/>
          </w:tcPr>
          <w:p w14:paraId="4E411770">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highlight w:val="none"/>
              </w:rPr>
            </w:pPr>
            <w:r>
              <w:rPr>
                <w:rFonts w:hint="default" w:cs="Times New Roman"/>
                <w:color w:val="auto"/>
                <w:sz w:val="24"/>
                <w:szCs w:val="24"/>
                <w:highlight w:val="none"/>
              </w:rPr>
              <w:t>环保投资占比（%）</w:t>
            </w:r>
          </w:p>
        </w:tc>
        <w:tc>
          <w:tcPr>
            <w:tcW w:w="3411" w:type="dxa"/>
            <w:noWrap w:val="0"/>
            <w:vAlign w:val="center"/>
          </w:tcPr>
          <w:p w14:paraId="713CBB30">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0.87</w:t>
            </w:r>
          </w:p>
        </w:tc>
        <w:tc>
          <w:tcPr>
            <w:tcW w:w="1960" w:type="dxa"/>
            <w:noWrap w:val="0"/>
            <w:tcMar>
              <w:top w:w="16" w:type="dxa"/>
              <w:left w:w="16" w:type="dxa"/>
              <w:right w:w="16" w:type="dxa"/>
            </w:tcMar>
            <w:vAlign w:val="center"/>
          </w:tcPr>
          <w:p w14:paraId="4751095B">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highlight w:val="none"/>
              </w:rPr>
            </w:pPr>
            <w:r>
              <w:rPr>
                <w:rFonts w:hint="default" w:cs="Times New Roman"/>
                <w:color w:val="auto"/>
                <w:sz w:val="24"/>
                <w:szCs w:val="24"/>
                <w:highlight w:val="none"/>
              </w:rPr>
              <w:t>施工工期</w:t>
            </w:r>
          </w:p>
        </w:tc>
        <w:tc>
          <w:tcPr>
            <w:tcW w:w="2552" w:type="dxa"/>
            <w:gridSpan w:val="2"/>
            <w:noWrap w:val="0"/>
            <w:vAlign w:val="center"/>
          </w:tcPr>
          <w:p w14:paraId="1B860C9C">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highlight w:val="none"/>
              </w:rPr>
            </w:pPr>
            <w:r>
              <w:rPr>
                <w:rFonts w:hint="eastAsia" w:cs="Times New Roman"/>
                <w:color w:val="auto"/>
                <w:sz w:val="24"/>
                <w:szCs w:val="24"/>
                <w:highlight w:val="none"/>
                <w:lang w:val="en-US" w:eastAsia="zh-CN"/>
              </w:rPr>
              <w:t>5</w:t>
            </w:r>
            <w:r>
              <w:rPr>
                <w:rFonts w:hint="default" w:cs="Times New Roman"/>
                <w:color w:val="auto"/>
                <w:sz w:val="24"/>
                <w:szCs w:val="24"/>
                <w:highlight w:val="none"/>
              </w:rPr>
              <w:t>个月</w:t>
            </w:r>
          </w:p>
        </w:tc>
      </w:tr>
      <w:tr w14:paraId="3A8DA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1116" w:type="dxa"/>
            <w:noWrap w:val="0"/>
            <w:tcMar>
              <w:top w:w="16" w:type="dxa"/>
              <w:left w:w="16" w:type="dxa"/>
              <w:right w:w="16" w:type="dxa"/>
            </w:tcMar>
            <w:vAlign w:val="center"/>
          </w:tcPr>
          <w:p w14:paraId="7F5BCCB0">
            <w:pPr>
              <w:keepNext w:val="0"/>
              <w:keepLines w:val="0"/>
              <w:suppressLineNumbers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是否开工建设</w:t>
            </w:r>
          </w:p>
        </w:tc>
        <w:tc>
          <w:tcPr>
            <w:tcW w:w="7923" w:type="dxa"/>
            <w:gridSpan w:val="4"/>
            <w:noWrap w:val="0"/>
            <w:vAlign w:val="center"/>
          </w:tcPr>
          <w:p w14:paraId="576AA5D4">
            <w:pPr>
              <w:keepNext w:val="0"/>
              <w:keepLines w:val="0"/>
              <w:suppressLineNumbers w:val="0"/>
              <w:adjustRightInd w:val="0"/>
              <w:snapToGrid w:val="0"/>
              <w:spacing w:before="0" w:beforeAutospacing="0" w:after="0" w:afterAutospacing="0"/>
              <w:ind w:left="0" w:right="0" w:firstLine="105"/>
              <w:jc w:val="left"/>
              <w:rPr>
                <w:rFonts w:hint="default" w:cs="Times New Roman"/>
                <w:color w:val="auto"/>
                <w:sz w:val="24"/>
                <w:szCs w:val="24"/>
              </w:rPr>
            </w:pPr>
            <w:r>
              <w:rPr>
                <w:rFonts w:hint="default" w:cs="Times New Roman"/>
                <w:color w:val="auto"/>
                <w:sz w:val="24"/>
                <w:szCs w:val="24"/>
              </w:rPr>
              <w:sym w:font="Wingdings 2" w:char="0052"/>
            </w:r>
            <w:r>
              <w:rPr>
                <w:rFonts w:hint="default" w:cs="Times New Roman"/>
                <w:color w:val="auto"/>
                <w:sz w:val="24"/>
                <w:szCs w:val="24"/>
              </w:rPr>
              <w:t>否</w:t>
            </w:r>
          </w:p>
          <w:p w14:paraId="3C7D8F5D">
            <w:pPr>
              <w:keepNext w:val="0"/>
              <w:keepLines w:val="0"/>
              <w:suppressLineNumbers w:val="0"/>
              <w:adjustRightInd w:val="0"/>
              <w:snapToGrid w:val="0"/>
              <w:spacing w:before="0" w:beforeAutospacing="0" w:after="0" w:afterAutospacing="0"/>
              <w:ind w:left="0" w:right="0" w:firstLine="92"/>
              <w:jc w:val="left"/>
              <w:rPr>
                <w:rFonts w:hint="default" w:cs="Times New Roman"/>
                <w:color w:val="auto"/>
                <w:sz w:val="24"/>
                <w:szCs w:val="24"/>
              </w:rPr>
            </w:pPr>
            <w:r>
              <w:rPr>
                <w:rFonts w:hint="default" w:cs="Times New Roman"/>
                <w:color w:val="auto"/>
                <w:sz w:val="24"/>
                <w:szCs w:val="24"/>
              </w:rPr>
              <w:t>□是：</w:t>
            </w:r>
            <w:r>
              <w:rPr>
                <w:rFonts w:hint="default" w:cs="Times New Roman"/>
                <w:color w:val="auto"/>
                <w:sz w:val="24"/>
                <w:szCs w:val="24"/>
                <w:u w:val="single"/>
              </w:rPr>
              <w:t xml:space="preserve">                             </w:t>
            </w:r>
          </w:p>
        </w:tc>
      </w:tr>
      <w:tr w14:paraId="78C54D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1116" w:type="dxa"/>
            <w:noWrap w:val="0"/>
            <w:tcMar>
              <w:top w:w="16" w:type="dxa"/>
              <w:left w:w="16" w:type="dxa"/>
              <w:right w:w="16" w:type="dxa"/>
            </w:tcMar>
            <w:vAlign w:val="center"/>
          </w:tcPr>
          <w:p w14:paraId="1ECDF1E3">
            <w:pPr>
              <w:keepNext w:val="0"/>
              <w:keepLines w:val="0"/>
              <w:suppressLineNumbers w:val="0"/>
              <w:autoSpaceDE w:val="0"/>
              <w:autoSpaceDN w:val="0"/>
              <w:adjustRightInd w:val="0"/>
              <w:snapToGrid w:val="0"/>
              <w:spacing w:before="0" w:beforeAutospacing="0" w:after="0" w:afterAutospacing="0"/>
              <w:ind w:left="0" w:right="0"/>
              <w:jc w:val="center"/>
              <w:rPr>
                <w:rFonts w:hint="default" w:cs="Times New Roman"/>
                <w:color w:val="auto"/>
                <w:kern w:val="0"/>
                <w:sz w:val="24"/>
                <w:szCs w:val="24"/>
              </w:rPr>
            </w:pPr>
            <w:r>
              <w:rPr>
                <w:rFonts w:hint="default" w:cs="Times New Roman"/>
                <w:color w:val="auto"/>
                <w:kern w:val="0"/>
                <w:sz w:val="24"/>
                <w:szCs w:val="24"/>
              </w:rPr>
              <w:t>专项评价设置情况</w:t>
            </w:r>
          </w:p>
        </w:tc>
        <w:tc>
          <w:tcPr>
            <w:tcW w:w="7923" w:type="dxa"/>
            <w:gridSpan w:val="4"/>
            <w:noWrap w:val="0"/>
            <w:tcMar>
              <w:top w:w="16" w:type="dxa"/>
              <w:left w:w="16" w:type="dxa"/>
              <w:right w:w="16" w:type="dxa"/>
            </w:tcMar>
            <w:vAlign w:val="center"/>
          </w:tcPr>
          <w:p w14:paraId="2E61A3A7">
            <w:pPr>
              <w:keepNext w:val="0"/>
              <w:keepLines w:val="0"/>
              <w:suppressLineNumbers w:val="0"/>
              <w:autoSpaceDE w:val="0"/>
              <w:autoSpaceDN w:val="0"/>
              <w:adjustRightInd w:val="0"/>
              <w:snapToGrid w:val="0"/>
              <w:spacing w:before="0" w:beforeAutospacing="0" w:after="0" w:afterAutospacing="0" w:line="360" w:lineRule="auto"/>
              <w:ind w:left="0" w:right="0"/>
              <w:rPr>
                <w:rFonts w:hint="eastAsia" w:ascii="Times New Roman" w:hAnsi="Times New Roman" w:eastAsia="宋体" w:cs="Times New Roman"/>
                <w:color w:val="auto"/>
                <w:kern w:val="0"/>
                <w:sz w:val="24"/>
              </w:rPr>
            </w:pPr>
            <w:r>
              <w:rPr>
                <w:rFonts w:hint="eastAsia" w:cs="Times New Roman"/>
                <w:color w:val="auto"/>
                <w:sz w:val="24"/>
              </w:rPr>
              <w:t>根据《建设项目环境影响报告表编制技术指南（生态影响类）》（试行），</w:t>
            </w:r>
            <w:r>
              <w:rPr>
                <w:rFonts w:hint="eastAsia" w:ascii="Times New Roman" w:hAnsi="Times New Roman" w:eastAsia="宋体" w:cs="Times New Roman"/>
                <w:color w:val="auto"/>
                <w:kern w:val="0"/>
                <w:sz w:val="24"/>
              </w:rPr>
              <w:t>本项目</w:t>
            </w:r>
            <w:r>
              <w:rPr>
                <w:rFonts w:hint="eastAsia" w:ascii="Times New Roman" w:hAnsi="Times New Roman" w:eastAsia="宋体" w:cs="Times New Roman"/>
                <w:color w:val="auto"/>
                <w:kern w:val="0"/>
                <w:sz w:val="24"/>
                <w:lang w:eastAsia="zh-CN"/>
              </w:rPr>
              <w:t>无需</w:t>
            </w:r>
            <w:r>
              <w:rPr>
                <w:rFonts w:hint="eastAsia" w:ascii="Times New Roman" w:hAnsi="Times New Roman" w:eastAsia="宋体" w:cs="Times New Roman"/>
                <w:color w:val="auto"/>
                <w:kern w:val="0"/>
                <w:sz w:val="24"/>
              </w:rPr>
              <w:t>开展</w:t>
            </w:r>
            <w:r>
              <w:rPr>
                <w:rFonts w:hint="eastAsia" w:ascii="Times New Roman" w:hAnsi="Times New Roman" w:eastAsia="宋体" w:cs="Times New Roman"/>
                <w:color w:val="auto"/>
                <w:kern w:val="0"/>
                <w:sz w:val="24"/>
                <w:lang w:eastAsia="zh-CN"/>
              </w:rPr>
              <w:t>环境影响</w:t>
            </w:r>
            <w:r>
              <w:rPr>
                <w:rFonts w:hint="eastAsia" w:ascii="Times New Roman" w:hAnsi="Times New Roman" w:eastAsia="宋体" w:cs="Times New Roman"/>
                <w:color w:val="auto"/>
                <w:kern w:val="0"/>
                <w:sz w:val="24"/>
              </w:rPr>
              <w:t>专项评价。</w:t>
            </w:r>
          </w:p>
          <w:p w14:paraId="4EBD005E">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专项评价设置原则对应一览表</w:t>
            </w:r>
          </w:p>
          <w:tbl>
            <w:tblPr>
              <w:tblStyle w:val="28"/>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5373"/>
              <w:gridCol w:w="1249"/>
            </w:tblGrid>
            <w:tr w14:paraId="4E46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84" w:type="pct"/>
                  <w:noWrap w:val="0"/>
                  <w:vAlign w:val="center"/>
                </w:tcPr>
                <w:p w14:paraId="48BC88B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Cs w:val="24"/>
                    </w:rPr>
                  </w:pPr>
                  <w:r>
                    <w:rPr>
                      <w:rFonts w:hint="default" w:ascii="Times New Roman" w:hAnsi="Times New Roman" w:eastAsia="宋体" w:cs="Times New Roman"/>
                      <w:b/>
                      <w:color w:val="auto"/>
                      <w:szCs w:val="24"/>
                    </w:rPr>
                    <w:t>专项评价的类别</w:t>
                  </w:r>
                </w:p>
              </w:tc>
              <w:tc>
                <w:tcPr>
                  <w:tcW w:w="3419" w:type="pct"/>
                  <w:noWrap w:val="0"/>
                  <w:vAlign w:val="center"/>
                </w:tcPr>
                <w:p w14:paraId="2A17116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Cs w:val="24"/>
                    </w:rPr>
                  </w:pPr>
                  <w:r>
                    <w:rPr>
                      <w:rFonts w:hint="default" w:ascii="Times New Roman" w:hAnsi="Times New Roman" w:eastAsia="宋体" w:cs="Times New Roman"/>
                      <w:b/>
                      <w:color w:val="auto"/>
                      <w:szCs w:val="24"/>
                    </w:rPr>
                    <w:t>涉及项目类别</w:t>
                  </w:r>
                </w:p>
              </w:tc>
              <w:tc>
                <w:tcPr>
                  <w:tcW w:w="795" w:type="pct"/>
                  <w:noWrap w:val="0"/>
                  <w:vAlign w:val="center"/>
                </w:tcPr>
                <w:p w14:paraId="1F69B48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Cs w:val="24"/>
                    </w:rPr>
                  </w:pPr>
                  <w:r>
                    <w:rPr>
                      <w:rFonts w:hint="default" w:ascii="Times New Roman" w:hAnsi="Times New Roman" w:eastAsia="宋体" w:cs="Times New Roman"/>
                      <w:b/>
                      <w:color w:val="auto"/>
                      <w:szCs w:val="24"/>
                    </w:rPr>
                    <w:t>本项目是否涉及</w:t>
                  </w:r>
                </w:p>
              </w:tc>
            </w:tr>
            <w:tr w14:paraId="2A04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784" w:type="pct"/>
                  <w:noWrap w:val="0"/>
                  <w:vAlign w:val="center"/>
                </w:tcPr>
                <w:p w14:paraId="35A6281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地表水</w:t>
                  </w:r>
                </w:p>
              </w:tc>
              <w:tc>
                <w:tcPr>
                  <w:tcW w:w="3419" w:type="pct"/>
                  <w:noWrap w:val="0"/>
                  <w:vAlign w:val="center"/>
                </w:tcPr>
                <w:p w14:paraId="1D6D823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水力发电：引水式发电、涉及调峰发电的项目；</w:t>
                  </w:r>
                </w:p>
                <w:p w14:paraId="1E3AB796">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人工湖、人工湿地：全部；</w:t>
                  </w:r>
                </w:p>
                <w:p w14:paraId="7E55B62E">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水库：全部；</w:t>
                  </w:r>
                </w:p>
                <w:p w14:paraId="5CB4C396">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引水工程：全部(配套的管线工程等除外)；</w:t>
                  </w:r>
                </w:p>
                <w:p w14:paraId="7E1A0B8C">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防洪除涝工程：包含水库的项目；</w:t>
                  </w:r>
                </w:p>
                <w:p w14:paraId="01695D53">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河湖整治：涉及清淤且底泥存在重金属污染的项目</w:t>
                  </w:r>
                </w:p>
              </w:tc>
              <w:tc>
                <w:tcPr>
                  <w:tcW w:w="795" w:type="pct"/>
                  <w:noWrap w:val="0"/>
                  <w:vAlign w:val="center"/>
                </w:tcPr>
                <w:p w14:paraId="289C06E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不涉及</w:t>
                  </w:r>
                </w:p>
              </w:tc>
            </w:tr>
            <w:tr w14:paraId="42F8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84" w:type="pct"/>
                  <w:noWrap w:val="0"/>
                  <w:vAlign w:val="center"/>
                </w:tcPr>
                <w:p w14:paraId="5A35E20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地下水</w:t>
                  </w:r>
                </w:p>
              </w:tc>
              <w:tc>
                <w:tcPr>
                  <w:tcW w:w="3419" w:type="pct"/>
                  <w:noWrap w:val="0"/>
                  <w:vAlign w:val="center"/>
                </w:tcPr>
                <w:p w14:paraId="56BA8B62">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陆地石油和天然气开采：全部；</w:t>
                  </w:r>
                </w:p>
                <w:p w14:paraId="0F93B6E6">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地下水（含矿泉水）开采：全部；</w:t>
                  </w:r>
                </w:p>
                <w:p w14:paraId="4239E26E">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水利、水电、交通等：含穿越可溶岩地层隧道的项目</w:t>
                  </w:r>
                </w:p>
              </w:tc>
              <w:tc>
                <w:tcPr>
                  <w:tcW w:w="795" w:type="pct"/>
                  <w:noWrap w:val="0"/>
                  <w:vAlign w:val="center"/>
                </w:tcPr>
                <w:p w14:paraId="0E8CFCF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不涉及</w:t>
                  </w:r>
                </w:p>
              </w:tc>
            </w:tr>
            <w:tr w14:paraId="1201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84" w:type="pct"/>
                  <w:noWrap w:val="0"/>
                  <w:vAlign w:val="center"/>
                </w:tcPr>
                <w:p w14:paraId="394264B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生态</w:t>
                  </w:r>
                </w:p>
              </w:tc>
              <w:tc>
                <w:tcPr>
                  <w:tcW w:w="3419" w:type="pct"/>
                  <w:noWrap w:val="0"/>
                  <w:vAlign w:val="center"/>
                </w:tcPr>
                <w:p w14:paraId="7F36AB1C">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涉及环境敏感区（不包括饮用水水源保护区，以居住、医疗卫生、文化教育、科研、行政办公为主要功能的区域，以及文物保护单位）的项目</w:t>
                  </w:r>
                </w:p>
              </w:tc>
              <w:tc>
                <w:tcPr>
                  <w:tcW w:w="795" w:type="pct"/>
                  <w:noWrap w:val="0"/>
                  <w:vAlign w:val="center"/>
                </w:tcPr>
                <w:p w14:paraId="2DFEA2D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不涉及</w:t>
                  </w:r>
                </w:p>
              </w:tc>
            </w:tr>
            <w:tr w14:paraId="2B9B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84" w:type="pct"/>
                  <w:noWrap w:val="0"/>
                  <w:vAlign w:val="center"/>
                </w:tcPr>
                <w:p w14:paraId="28E37DB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大气</w:t>
                  </w:r>
                </w:p>
              </w:tc>
              <w:tc>
                <w:tcPr>
                  <w:tcW w:w="3419" w:type="pct"/>
                  <w:noWrap w:val="0"/>
                  <w:vAlign w:val="center"/>
                </w:tcPr>
                <w:p w14:paraId="327BB2C7">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油气、液体化工码头：全部；</w:t>
                  </w:r>
                </w:p>
                <w:p w14:paraId="2F8D3DE6">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干散货（含煤炭、矿石）、件杂、多用途、通用码头：涉及粉尘、挥发性有机物排放的项目</w:t>
                  </w:r>
                </w:p>
              </w:tc>
              <w:tc>
                <w:tcPr>
                  <w:tcW w:w="795" w:type="pct"/>
                  <w:noWrap w:val="0"/>
                  <w:vAlign w:val="center"/>
                </w:tcPr>
                <w:p w14:paraId="43A3420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不涉及</w:t>
                  </w:r>
                </w:p>
              </w:tc>
            </w:tr>
            <w:tr w14:paraId="5FD9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jc w:val="center"/>
              </w:trPr>
              <w:tc>
                <w:tcPr>
                  <w:tcW w:w="784" w:type="pct"/>
                  <w:noWrap w:val="0"/>
                  <w:vAlign w:val="center"/>
                </w:tcPr>
                <w:p w14:paraId="0A7A0E6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噪声</w:t>
                  </w:r>
                </w:p>
              </w:tc>
              <w:tc>
                <w:tcPr>
                  <w:tcW w:w="3419" w:type="pct"/>
                  <w:noWrap w:val="0"/>
                  <w:vAlign w:val="center"/>
                </w:tcPr>
                <w:p w14:paraId="7AFA5CBF">
                  <w:pPr>
                    <w:keepNext w:val="0"/>
                    <w:keepLines w:val="0"/>
                    <w:suppressLineNumbers w:val="0"/>
                    <w:spacing w:before="0" w:beforeAutospacing="0" w:after="0" w:afterAutospacing="0" w:line="276" w:lineRule="auto"/>
                    <w:ind w:left="0" w:right="0"/>
                    <w:jc w:val="left"/>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公路、铁路、机场等交通运输业涉及环境敏感区（以居住、医疗卫生、文化教育、科研、行政办公为主要功能的区域）的项目；</w:t>
                  </w:r>
                </w:p>
                <w:p w14:paraId="3A53A469">
                  <w:pPr>
                    <w:keepNext w:val="0"/>
                    <w:keepLines w:val="0"/>
                    <w:suppressLineNumbers w:val="0"/>
                    <w:spacing w:before="0" w:beforeAutospacing="0" w:after="0" w:afterAutospacing="0" w:line="276" w:lineRule="auto"/>
                    <w:ind w:left="0" w:right="0"/>
                    <w:jc w:val="left"/>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城市道路（不含维护，不含支路、人行天桥、人行地道）：全部</w:t>
                  </w:r>
                </w:p>
              </w:tc>
              <w:tc>
                <w:tcPr>
                  <w:tcW w:w="795" w:type="pct"/>
                  <w:noWrap w:val="0"/>
                  <w:vAlign w:val="center"/>
                </w:tcPr>
                <w:p w14:paraId="4492049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不涉及</w:t>
                  </w:r>
                </w:p>
              </w:tc>
            </w:tr>
            <w:tr w14:paraId="4743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84" w:type="pct"/>
                  <w:noWrap w:val="0"/>
                  <w:vAlign w:val="center"/>
                </w:tcPr>
                <w:p w14:paraId="63185B2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环境风险</w:t>
                  </w:r>
                </w:p>
              </w:tc>
              <w:tc>
                <w:tcPr>
                  <w:tcW w:w="3419" w:type="pct"/>
                  <w:noWrap w:val="0"/>
                  <w:vAlign w:val="center"/>
                </w:tcPr>
                <w:p w14:paraId="37CDDC06">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石油和天然气开采：全部；</w:t>
                  </w:r>
                </w:p>
                <w:p w14:paraId="3E162723">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油气、液体化工码头：全部；</w:t>
                  </w:r>
                </w:p>
                <w:p w14:paraId="6C07DCD9">
                  <w:pPr>
                    <w:keepNext w:val="0"/>
                    <w:keepLines w:val="0"/>
                    <w:suppressLineNumbers w:val="0"/>
                    <w:spacing w:before="0" w:beforeAutospacing="0" w:after="0" w:afterAutospacing="0" w:line="276" w:lineRule="auto"/>
                    <w:ind w:left="0" w:right="0"/>
                    <w:jc w:val="left"/>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原油、成品油、天然气管线（不含城镇天然气管线、企业厂区内管线），危险化学品输送管线（不含企业厂区内管线）：全部</w:t>
                  </w:r>
                </w:p>
              </w:tc>
              <w:tc>
                <w:tcPr>
                  <w:tcW w:w="795" w:type="pct"/>
                  <w:noWrap w:val="0"/>
                  <w:vAlign w:val="center"/>
                </w:tcPr>
                <w:p w14:paraId="72F9474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不涉及</w:t>
                  </w:r>
                </w:p>
              </w:tc>
            </w:tr>
          </w:tbl>
          <w:p w14:paraId="588596D1">
            <w:pPr>
              <w:pStyle w:val="2"/>
              <w:keepLines w:val="0"/>
              <w:suppressLineNumbers w:val="0"/>
              <w:spacing w:beforeAutospacing="0" w:afterAutospacing="0"/>
              <w:ind w:right="0"/>
              <w:rPr>
                <w:rFonts w:hint="default" w:cs="Times New Roman"/>
              </w:rPr>
            </w:pPr>
          </w:p>
        </w:tc>
      </w:tr>
      <w:tr w14:paraId="0CAE62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1116" w:type="dxa"/>
            <w:noWrap w:val="0"/>
            <w:tcMar>
              <w:top w:w="16" w:type="dxa"/>
              <w:left w:w="16" w:type="dxa"/>
              <w:right w:w="16" w:type="dxa"/>
            </w:tcMar>
            <w:vAlign w:val="center"/>
          </w:tcPr>
          <w:p w14:paraId="13ACEA10">
            <w:pPr>
              <w:keepNext w:val="0"/>
              <w:keepLines w:val="0"/>
              <w:suppressLineNumbers w:val="0"/>
              <w:autoSpaceDE w:val="0"/>
              <w:autoSpaceDN w:val="0"/>
              <w:adjustRightInd w:val="0"/>
              <w:snapToGrid w:val="0"/>
              <w:spacing w:before="0" w:beforeAutospacing="0" w:after="0" w:afterAutospacing="0"/>
              <w:ind w:left="0" w:right="0"/>
              <w:jc w:val="center"/>
              <w:rPr>
                <w:rFonts w:hint="default" w:cs="Times New Roman"/>
                <w:color w:val="auto"/>
                <w:kern w:val="0"/>
                <w:sz w:val="24"/>
                <w:szCs w:val="24"/>
              </w:rPr>
            </w:pPr>
            <w:r>
              <w:rPr>
                <w:rFonts w:hint="default" w:cs="Times New Roman"/>
                <w:color w:val="auto"/>
                <w:sz w:val="24"/>
                <w:szCs w:val="24"/>
              </w:rPr>
              <w:t>规划情况</w:t>
            </w:r>
          </w:p>
        </w:tc>
        <w:tc>
          <w:tcPr>
            <w:tcW w:w="7923" w:type="dxa"/>
            <w:gridSpan w:val="4"/>
            <w:noWrap w:val="0"/>
            <w:tcMar>
              <w:top w:w="16" w:type="dxa"/>
              <w:left w:w="16" w:type="dxa"/>
              <w:right w:w="16" w:type="dxa"/>
            </w:tcMar>
            <w:vAlign w:val="center"/>
          </w:tcPr>
          <w:p w14:paraId="3720F454">
            <w:pPr>
              <w:keepNext w:val="0"/>
              <w:keepLines w:val="0"/>
              <w:suppressLineNumbers w:val="0"/>
              <w:autoSpaceDE w:val="0"/>
              <w:autoSpaceDN w:val="0"/>
              <w:adjustRightInd w:val="0"/>
              <w:snapToGrid w:val="0"/>
              <w:spacing w:before="0" w:beforeAutospacing="0" w:after="0" w:afterAutospacing="0" w:line="360" w:lineRule="auto"/>
              <w:ind w:left="0" w:right="0"/>
              <w:rPr>
                <w:rFonts w:hint="eastAsia" w:cs="Times New Roman"/>
                <w:color w:val="auto"/>
                <w:kern w:val="0"/>
                <w:sz w:val="24"/>
              </w:rPr>
            </w:pPr>
            <w:r>
              <w:rPr>
                <w:rFonts w:hint="eastAsia" w:cs="Times New Roman"/>
                <w:color w:val="auto"/>
                <w:kern w:val="0"/>
                <w:sz w:val="24"/>
                <w:lang w:val="en-US" w:eastAsia="zh-CN"/>
              </w:rPr>
              <w:t>1、</w:t>
            </w:r>
            <w:r>
              <w:rPr>
                <w:rFonts w:hint="eastAsia" w:cs="Times New Roman"/>
                <w:color w:val="auto"/>
                <w:kern w:val="0"/>
                <w:sz w:val="24"/>
              </w:rPr>
              <w:t>规划名称：《淮南潘谢矿区总体开发规划》</w:t>
            </w:r>
          </w:p>
          <w:p w14:paraId="2C7C9DF6">
            <w:pPr>
              <w:keepNext w:val="0"/>
              <w:keepLines w:val="0"/>
              <w:suppressLineNumbers w:val="0"/>
              <w:autoSpaceDE w:val="0"/>
              <w:autoSpaceDN w:val="0"/>
              <w:adjustRightInd w:val="0"/>
              <w:snapToGrid w:val="0"/>
              <w:spacing w:before="0" w:beforeAutospacing="0" w:after="0" w:afterAutospacing="0" w:line="360" w:lineRule="auto"/>
              <w:ind w:left="0" w:right="0" w:firstLine="240" w:firstLineChars="100"/>
              <w:rPr>
                <w:rFonts w:hint="eastAsia" w:cs="Times New Roman"/>
                <w:color w:val="auto"/>
                <w:kern w:val="0"/>
                <w:sz w:val="24"/>
              </w:rPr>
            </w:pPr>
            <w:r>
              <w:rPr>
                <w:rFonts w:hint="eastAsia" w:cs="Times New Roman"/>
                <w:color w:val="auto"/>
                <w:kern w:val="0"/>
                <w:sz w:val="24"/>
              </w:rPr>
              <w:t>审批机关：国家发展和改革委员会</w:t>
            </w:r>
          </w:p>
          <w:p w14:paraId="0DF793A0">
            <w:pPr>
              <w:keepNext w:val="0"/>
              <w:keepLines w:val="0"/>
              <w:suppressLineNumbers w:val="0"/>
              <w:autoSpaceDE w:val="0"/>
              <w:autoSpaceDN w:val="0"/>
              <w:adjustRightInd w:val="0"/>
              <w:snapToGrid w:val="0"/>
              <w:spacing w:before="0" w:beforeAutospacing="0" w:after="0" w:afterAutospacing="0" w:line="360" w:lineRule="auto"/>
              <w:ind w:left="0" w:right="0" w:firstLine="240" w:firstLineChars="100"/>
              <w:rPr>
                <w:rFonts w:hint="eastAsia" w:eastAsia="宋体" w:cs="Times New Roman"/>
                <w:color w:val="auto"/>
                <w:kern w:val="0"/>
                <w:sz w:val="24"/>
                <w:lang w:eastAsia="zh-CN"/>
              </w:rPr>
            </w:pPr>
            <w:r>
              <w:rPr>
                <w:rFonts w:hint="eastAsia" w:cs="Times New Roman"/>
                <w:color w:val="auto"/>
                <w:kern w:val="0"/>
                <w:sz w:val="24"/>
              </w:rPr>
              <w:t>审批文件名称：《国家发展改革委关于淮南潘谢矿区开发规划的批复》</w:t>
            </w:r>
            <w:r>
              <w:rPr>
                <w:rFonts w:hint="eastAsia" w:cs="Times New Roman"/>
                <w:color w:val="auto"/>
                <w:kern w:val="0"/>
                <w:sz w:val="24"/>
                <w:lang w:eastAsia="zh-CN"/>
              </w:rPr>
              <w:t>；</w:t>
            </w:r>
          </w:p>
          <w:p w14:paraId="221E9135">
            <w:pPr>
              <w:keepNext w:val="0"/>
              <w:keepLines w:val="0"/>
              <w:suppressLineNumbers w:val="0"/>
              <w:autoSpaceDE w:val="0"/>
              <w:autoSpaceDN w:val="0"/>
              <w:adjustRightInd w:val="0"/>
              <w:snapToGrid w:val="0"/>
              <w:spacing w:before="0" w:beforeAutospacing="0" w:after="0" w:afterAutospacing="0"/>
              <w:ind w:left="0" w:right="0" w:firstLine="240" w:firstLineChars="100"/>
              <w:rPr>
                <w:rFonts w:hint="eastAsia" w:cs="Times New Roman"/>
                <w:color w:val="auto"/>
                <w:kern w:val="0"/>
                <w:sz w:val="24"/>
              </w:rPr>
            </w:pPr>
            <w:r>
              <w:rPr>
                <w:rFonts w:hint="eastAsia" w:cs="Times New Roman"/>
                <w:color w:val="auto"/>
                <w:kern w:val="0"/>
                <w:sz w:val="24"/>
              </w:rPr>
              <w:t>审批文件文号：发改能源〔2004〕2301号</w:t>
            </w:r>
          </w:p>
          <w:p w14:paraId="0045D0BD">
            <w:pPr>
              <w:keepNext w:val="0"/>
              <w:keepLines w:val="0"/>
              <w:suppressLineNumbers w:val="0"/>
              <w:autoSpaceDE w:val="0"/>
              <w:autoSpaceDN w:val="0"/>
              <w:adjustRightInd w:val="0"/>
              <w:snapToGrid w:val="0"/>
              <w:spacing w:before="0" w:beforeAutospacing="0" w:after="0" w:afterAutospacing="0"/>
              <w:ind w:left="0" w:right="0"/>
              <w:rPr>
                <w:rFonts w:hint="eastAsia" w:cs="Times New Roman"/>
                <w:color w:val="auto"/>
                <w:kern w:val="0"/>
                <w:sz w:val="24"/>
              </w:rPr>
            </w:pPr>
          </w:p>
          <w:p w14:paraId="5052BA0E">
            <w:pPr>
              <w:keepNext w:val="0"/>
              <w:keepLines w:val="0"/>
              <w:suppressLineNumbers w:val="0"/>
              <w:autoSpaceDE w:val="0"/>
              <w:autoSpaceDN w:val="0"/>
              <w:adjustRightInd w:val="0"/>
              <w:snapToGrid w:val="0"/>
              <w:spacing w:before="0" w:beforeAutospacing="0" w:after="0" w:afterAutospacing="0"/>
              <w:ind w:left="0" w:right="0"/>
              <w:rPr>
                <w:rFonts w:hint="eastAsia" w:cs="Times New Roman"/>
                <w:color w:val="auto"/>
                <w:kern w:val="0"/>
                <w:sz w:val="24"/>
              </w:rPr>
            </w:pPr>
          </w:p>
          <w:p w14:paraId="068EA752">
            <w:pPr>
              <w:pStyle w:val="114"/>
              <w:keepNext w:val="0"/>
              <w:keepLines w:val="0"/>
              <w:suppressLineNumbers w:val="0"/>
              <w:spacing w:before="0" w:beforeAutospacing="0" w:after="0" w:afterAutospacing="0"/>
              <w:ind w:left="0" w:leftChars="0" w:right="0" w:firstLine="0" w:firstLineChars="0"/>
              <w:jc w:val="left"/>
              <w:rPr>
                <w:rFonts w:hint="default" w:cs="Times New Roman"/>
                <w:b w:val="0"/>
                <w:bCs/>
                <w:color w:val="auto"/>
                <w:sz w:val="24"/>
                <w:lang w:val="en-US" w:eastAsia="zh-CN"/>
              </w:rPr>
            </w:pPr>
            <w:r>
              <w:rPr>
                <w:rFonts w:hint="eastAsia" w:cs="Times New Roman"/>
                <w:b w:val="0"/>
                <w:bCs/>
                <w:color w:val="auto"/>
                <w:sz w:val="24"/>
                <w:lang w:val="en-US" w:eastAsia="zh-CN"/>
              </w:rPr>
              <w:t>2、</w:t>
            </w:r>
            <w:r>
              <w:rPr>
                <w:rFonts w:hint="eastAsia" w:ascii="Times New Roman" w:hAnsi="Times New Roman" w:eastAsia="宋体" w:cs="Times New Roman"/>
                <w:b w:val="0"/>
                <w:bCs/>
                <w:color w:val="auto"/>
                <w:sz w:val="24"/>
                <w:lang w:val="en-US" w:eastAsia="zh-CN"/>
              </w:rPr>
              <w:t>规</w:t>
            </w:r>
            <w:r>
              <w:rPr>
                <w:rFonts w:hint="eastAsia" w:cs="Times New Roman"/>
                <w:b w:val="0"/>
                <w:bCs/>
                <w:color w:val="auto"/>
                <w:sz w:val="24"/>
                <w:lang w:val="en-US" w:eastAsia="zh-CN"/>
              </w:rPr>
              <w:t>划名称：凤台县（含毛集实验区）</w:t>
            </w:r>
            <w:r>
              <w:rPr>
                <w:rFonts w:hint="default" w:cs="Times New Roman"/>
                <w:b w:val="0"/>
                <w:bCs/>
                <w:color w:val="auto"/>
                <w:sz w:val="24"/>
                <w:lang w:val="en-US" w:eastAsia="zh-CN"/>
              </w:rPr>
              <w:t>国土空间总体规划（2021-2035年）</w:t>
            </w:r>
          </w:p>
          <w:p w14:paraId="0087A4BF">
            <w:pPr>
              <w:keepNext w:val="0"/>
              <w:keepLines w:val="0"/>
              <w:suppressLineNumbers w:val="0"/>
              <w:autoSpaceDE w:val="0"/>
              <w:autoSpaceDN w:val="0"/>
              <w:adjustRightInd w:val="0"/>
              <w:snapToGrid w:val="0"/>
              <w:spacing w:before="0" w:beforeAutospacing="0" w:after="0" w:afterAutospacing="0"/>
              <w:ind w:left="0" w:right="0" w:firstLine="240" w:firstLineChars="100"/>
              <w:rPr>
                <w:rFonts w:hint="eastAsia" w:cs="Times New Roman"/>
                <w:color w:val="auto"/>
                <w:kern w:val="0"/>
                <w:sz w:val="24"/>
              </w:rPr>
            </w:pPr>
            <w:r>
              <w:rPr>
                <w:rFonts w:hint="eastAsia" w:cs="Times New Roman"/>
                <w:b w:val="0"/>
                <w:bCs/>
                <w:color w:val="auto"/>
                <w:sz w:val="24"/>
                <w:lang w:val="en-US" w:eastAsia="zh-CN"/>
              </w:rPr>
              <w:t>规划审批机关及文号：淮南市人民政府  淮府秘〔2024〕50号</w:t>
            </w:r>
          </w:p>
        </w:tc>
      </w:tr>
      <w:tr w14:paraId="14AE5C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1116" w:type="dxa"/>
            <w:noWrap w:val="0"/>
            <w:tcMar>
              <w:top w:w="16" w:type="dxa"/>
              <w:left w:w="16" w:type="dxa"/>
              <w:right w:w="16" w:type="dxa"/>
            </w:tcMar>
            <w:vAlign w:val="center"/>
          </w:tcPr>
          <w:p w14:paraId="25075B25">
            <w:pPr>
              <w:keepNext w:val="0"/>
              <w:keepLines w:val="0"/>
              <w:suppressLineNumbers w:val="0"/>
              <w:autoSpaceDE w:val="0"/>
              <w:autoSpaceDN w:val="0"/>
              <w:adjustRightInd w:val="0"/>
              <w:snapToGrid w:val="0"/>
              <w:spacing w:before="0" w:beforeAutospacing="0" w:after="0" w:afterAutospacing="0"/>
              <w:ind w:left="0" w:right="0"/>
              <w:jc w:val="center"/>
              <w:rPr>
                <w:rFonts w:hint="default" w:cs="Times New Roman"/>
                <w:color w:val="auto"/>
                <w:sz w:val="24"/>
                <w:szCs w:val="24"/>
              </w:rPr>
            </w:pPr>
            <w:r>
              <w:rPr>
                <w:rFonts w:hint="default" w:cs="Times New Roman"/>
                <w:color w:val="auto"/>
                <w:sz w:val="24"/>
                <w:szCs w:val="24"/>
              </w:rPr>
              <w:t>规划环境影响</w:t>
            </w:r>
          </w:p>
          <w:p w14:paraId="28A14C7F">
            <w:pPr>
              <w:keepNext w:val="0"/>
              <w:keepLines w:val="0"/>
              <w:suppressLineNumbers w:val="0"/>
              <w:autoSpaceDE w:val="0"/>
              <w:autoSpaceDN w:val="0"/>
              <w:adjustRightInd w:val="0"/>
              <w:snapToGrid w:val="0"/>
              <w:spacing w:before="0" w:beforeAutospacing="0" w:after="0" w:afterAutospacing="0"/>
              <w:ind w:left="0" w:right="0"/>
              <w:jc w:val="center"/>
              <w:rPr>
                <w:rFonts w:hint="default" w:cs="Times New Roman"/>
                <w:color w:val="auto"/>
                <w:kern w:val="0"/>
                <w:sz w:val="24"/>
                <w:szCs w:val="24"/>
              </w:rPr>
            </w:pPr>
            <w:r>
              <w:rPr>
                <w:rFonts w:hint="default" w:cs="Times New Roman"/>
                <w:color w:val="auto"/>
                <w:sz w:val="24"/>
                <w:szCs w:val="24"/>
              </w:rPr>
              <w:t>评价情况</w:t>
            </w:r>
          </w:p>
        </w:tc>
        <w:tc>
          <w:tcPr>
            <w:tcW w:w="7923" w:type="dxa"/>
            <w:gridSpan w:val="4"/>
            <w:noWrap w:val="0"/>
            <w:tcMar>
              <w:top w:w="16" w:type="dxa"/>
              <w:left w:w="16" w:type="dxa"/>
              <w:right w:w="16" w:type="dxa"/>
            </w:tcMar>
            <w:vAlign w:val="center"/>
          </w:tcPr>
          <w:p w14:paraId="1BE30AA9">
            <w:pPr>
              <w:keepNext w:val="0"/>
              <w:keepLines w:val="0"/>
              <w:suppressLineNumbers w:val="0"/>
              <w:adjustRightInd w:val="0"/>
              <w:snapToGrid w:val="0"/>
              <w:spacing w:before="0" w:beforeAutospacing="0" w:after="0" w:afterAutospacing="0" w:line="360" w:lineRule="auto"/>
              <w:ind w:left="0" w:right="0"/>
              <w:jc w:val="left"/>
              <w:rPr>
                <w:rFonts w:hint="eastAsia" w:cs="Times New Roman"/>
                <w:color w:val="auto"/>
                <w:kern w:val="0"/>
                <w:sz w:val="24"/>
              </w:rPr>
            </w:pPr>
            <w:r>
              <w:rPr>
                <w:rFonts w:hint="eastAsia" w:cs="Times New Roman"/>
                <w:color w:val="auto"/>
                <w:kern w:val="0"/>
                <w:sz w:val="24"/>
              </w:rPr>
              <w:t>规划环评名称：《淮南潘谢矿区总体开发规划环境影响报告书》</w:t>
            </w:r>
          </w:p>
          <w:p w14:paraId="221F8AC2">
            <w:pPr>
              <w:keepNext w:val="0"/>
              <w:keepLines w:val="0"/>
              <w:suppressLineNumbers w:val="0"/>
              <w:adjustRightInd w:val="0"/>
              <w:snapToGrid w:val="0"/>
              <w:spacing w:before="0" w:beforeAutospacing="0" w:after="0" w:afterAutospacing="0" w:line="360" w:lineRule="auto"/>
              <w:ind w:left="0" w:right="0"/>
              <w:jc w:val="left"/>
              <w:rPr>
                <w:rFonts w:hint="eastAsia" w:cs="Times New Roman"/>
                <w:color w:val="auto"/>
                <w:kern w:val="0"/>
                <w:sz w:val="24"/>
              </w:rPr>
            </w:pPr>
            <w:r>
              <w:rPr>
                <w:rFonts w:hint="eastAsia" w:cs="Times New Roman"/>
                <w:color w:val="auto"/>
                <w:kern w:val="0"/>
                <w:sz w:val="24"/>
              </w:rPr>
              <w:t>审查机关：原国家环境保护总局</w:t>
            </w:r>
          </w:p>
          <w:p w14:paraId="4143EF1C">
            <w:pPr>
              <w:keepNext w:val="0"/>
              <w:keepLines w:val="0"/>
              <w:suppressLineNumbers w:val="0"/>
              <w:adjustRightInd w:val="0"/>
              <w:snapToGrid w:val="0"/>
              <w:spacing w:before="0" w:beforeAutospacing="0" w:after="0" w:afterAutospacing="0" w:line="360" w:lineRule="auto"/>
              <w:ind w:left="0" w:right="0"/>
              <w:jc w:val="left"/>
              <w:rPr>
                <w:rFonts w:hint="eastAsia" w:cs="Times New Roman"/>
                <w:color w:val="auto"/>
                <w:kern w:val="0"/>
                <w:sz w:val="24"/>
              </w:rPr>
            </w:pPr>
            <w:r>
              <w:rPr>
                <w:rFonts w:hint="eastAsia" w:cs="Times New Roman"/>
                <w:color w:val="auto"/>
                <w:kern w:val="0"/>
                <w:sz w:val="24"/>
              </w:rPr>
              <w:t>审查文件名称：关于印发《淮南潘谢矿区总体开发规划环境影响报告书》审查意见的通知</w:t>
            </w:r>
            <w:r>
              <w:rPr>
                <w:rFonts w:hint="eastAsia" w:cs="Times New Roman"/>
                <w:color w:val="auto"/>
                <w:kern w:val="0"/>
                <w:sz w:val="24"/>
                <w:highlight w:val="none"/>
                <w:lang w:eastAsia="zh-CN"/>
              </w:rPr>
              <w:t>（见附件）</w:t>
            </w:r>
          </w:p>
          <w:p w14:paraId="463A1EC5">
            <w:pPr>
              <w:keepNext w:val="0"/>
              <w:keepLines w:val="0"/>
              <w:suppressLineNumbers w:val="0"/>
              <w:adjustRightInd w:val="0"/>
              <w:snapToGrid w:val="0"/>
              <w:spacing w:before="0" w:beforeAutospacing="0" w:after="0" w:afterAutospacing="0"/>
              <w:ind w:left="0" w:right="0"/>
              <w:jc w:val="left"/>
              <w:rPr>
                <w:rFonts w:hint="default" w:cs="Times New Roman"/>
                <w:color w:val="auto"/>
                <w:kern w:val="0"/>
                <w:sz w:val="24"/>
                <w:szCs w:val="24"/>
              </w:rPr>
            </w:pPr>
            <w:r>
              <w:rPr>
                <w:rFonts w:hint="eastAsia" w:cs="Times New Roman"/>
                <w:color w:val="auto"/>
                <w:kern w:val="0"/>
                <w:sz w:val="24"/>
              </w:rPr>
              <w:t>审批文号：环函〔2006〕86号</w:t>
            </w:r>
          </w:p>
        </w:tc>
      </w:tr>
      <w:tr w14:paraId="4DF9A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7" w:hRule="atLeast"/>
        </w:trPr>
        <w:tc>
          <w:tcPr>
            <w:tcW w:w="1116" w:type="dxa"/>
            <w:noWrap w:val="0"/>
            <w:tcMar>
              <w:top w:w="16" w:type="dxa"/>
              <w:left w:w="16" w:type="dxa"/>
              <w:right w:w="16" w:type="dxa"/>
            </w:tcMar>
            <w:vAlign w:val="center"/>
          </w:tcPr>
          <w:p w14:paraId="656A572E">
            <w:pPr>
              <w:keepNext w:val="0"/>
              <w:keepLines w:val="0"/>
              <w:suppressLineNumbers w:val="0"/>
              <w:autoSpaceDE w:val="0"/>
              <w:autoSpaceDN w:val="0"/>
              <w:adjustRightInd w:val="0"/>
              <w:snapToGrid w:val="0"/>
              <w:spacing w:before="0" w:beforeAutospacing="0" w:after="0" w:afterAutospacing="0"/>
              <w:ind w:left="0" w:right="0"/>
              <w:jc w:val="center"/>
              <w:rPr>
                <w:rFonts w:hint="default" w:cs="Times New Roman"/>
                <w:color w:val="auto"/>
                <w:kern w:val="0"/>
                <w:sz w:val="24"/>
                <w:szCs w:val="24"/>
              </w:rPr>
            </w:pPr>
            <w:r>
              <w:rPr>
                <w:rFonts w:hint="default" w:cs="Times New Roman"/>
                <w:color w:val="auto"/>
                <w:kern w:val="0"/>
                <w:sz w:val="24"/>
                <w:szCs w:val="24"/>
              </w:rPr>
              <w:t>规划及</w:t>
            </w:r>
            <w:r>
              <w:rPr>
                <w:rFonts w:hint="default" w:cs="Times New Roman"/>
                <w:color w:val="auto"/>
                <w:sz w:val="24"/>
                <w:szCs w:val="24"/>
              </w:rPr>
              <w:t>规划环境影响评价</w:t>
            </w:r>
            <w:r>
              <w:rPr>
                <w:rFonts w:hint="default" w:cs="Times New Roman"/>
                <w:color w:val="auto"/>
                <w:kern w:val="0"/>
                <w:sz w:val="24"/>
                <w:szCs w:val="24"/>
              </w:rPr>
              <w:t>符合性分析</w:t>
            </w:r>
          </w:p>
        </w:tc>
        <w:tc>
          <w:tcPr>
            <w:tcW w:w="7923" w:type="dxa"/>
            <w:gridSpan w:val="4"/>
            <w:noWrap w:val="0"/>
            <w:tcMar>
              <w:top w:w="16" w:type="dxa"/>
              <w:left w:w="16" w:type="dxa"/>
              <w:right w:w="16" w:type="dxa"/>
            </w:tcMar>
            <w:vAlign w:val="center"/>
          </w:tcPr>
          <w:p w14:paraId="6DE2CAE5">
            <w:pPr>
              <w:pStyle w:val="89"/>
              <w:keepNext w:val="0"/>
              <w:keepLines w:val="0"/>
              <w:suppressLineNumbers w:val="0"/>
              <w:spacing w:before="0" w:beforeAutospacing="0" w:after="0" w:afterAutospacing="0" w:line="360" w:lineRule="auto"/>
              <w:ind w:left="0" w:leftChars="0" w:right="0" w:firstLine="0" w:firstLineChars="0"/>
              <w:jc w:val="left"/>
              <w:rPr>
                <w:rFonts w:hint="default" w:eastAsia="宋体" w:cs="Times New Roman"/>
                <w:color w:val="auto"/>
                <w:kern w:val="0"/>
                <w:lang w:val="en-US" w:eastAsia="zh-CN"/>
              </w:rPr>
            </w:pPr>
            <w:r>
              <w:rPr>
                <w:rFonts w:hint="eastAsia" w:eastAsia="宋体" w:cs="Times New Roman"/>
                <w:color w:val="auto"/>
                <w:kern w:val="0"/>
                <w:lang w:val="en-US" w:eastAsia="zh-CN"/>
              </w:rPr>
              <w:t>1）与</w:t>
            </w:r>
            <w:r>
              <w:rPr>
                <w:rFonts w:hint="eastAsia" w:cs="Times New Roman"/>
                <w:color w:val="auto"/>
                <w:kern w:val="0"/>
                <w:sz w:val="24"/>
                <w:highlight w:val="none"/>
              </w:rPr>
              <w:t>淮南潘谢矿区总体开发规划</w:t>
            </w:r>
            <w:r>
              <w:rPr>
                <w:rFonts w:hint="eastAsia" w:cs="Times New Roman"/>
                <w:color w:val="auto"/>
                <w:kern w:val="0"/>
                <w:sz w:val="24"/>
                <w:highlight w:val="none"/>
                <w:lang w:val="en-US" w:eastAsia="zh-CN"/>
              </w:rPr>
              <w:t>及其规划环评审查意见符合性分析：</w:t>
            </w:r>
          </w:p>
          <w:p w14:paraId="7758C7F1">
            <w:pPr>
              <w:pStyle w:val="89"/>
              <w:keepNext w:val="0"/>
              <w:keepLines w:val="0"/>
              <w:suppressLineNumbers w:val="0"/>
              <w:spacing w:before="0" w:beforeAutospacing="0" w:after="0" w:afterAutospacing="0" w:line="360" w:lineRule="auto"/>
              <w:ind w:left="0" w:right="0" w:firstLine="480" w:firstLineChars="200"/>
              <w:jc w:val="left"/>
              <w:rPr>
                <w:rFonts w:hint="eastAsia" w:eastAsia="宋体" w:cs="Times New Roman"/>
                <w:color w:val="auto"/>
                <w:kern w:val="0"/>
                <w:lang w:val="en-US" w:eastAsia="zh-CN"/>
              </w:rPr>
            </w:pPr>
            <w:r>
              <w:rPr>
                <w:rFonts w:hint="eastAsia" w:eastAsia="宋体" w:cs="Times New Roman"/>
                <w:color w:val="auto"/>
                <w:kern w:val="0"/>
                <w:lang w:val="en-US" w:eastAsia="zh-CN"/>
              </w:rPr>
              <w:t>根据国家发展和改革委员会关于淮南潘谢矿区总体开发规划的批复，淮南潘谢矿区总共划分为17个井田和1个后备区，矿区建设总规模为6115万吨/年，其中新建矿井包括</w:t>
            </w:r>
            <w:r>
              <w:rPr>
                <w:rFonts w:hint="eastAsia" w:eastAsia="宋体" w:cs="Times New Roman"/>
                <w:color w:val="auto"/>
                <w:kern w:val="0"/>
                <w:highlight w:val="none"/>
                <w:lang w:val="en-US" w:eastAsia="zh-CN"/>
              </w:rPr>
              <w:t>张集二期（即潘四东区，300 万吨/年）</w:t>
            </w:r>
            <w:r>
              <w:rPr>
                <w:rFonts w:hint="eastAsia" w:eastAsia="宋体" w:cs="Times New Roman"/>
                <w:color w:val="auto"/>
                <w:kern w:val="0"/>
                <w:lang w:val="en-US" w:eastAsia="zh-CN"/>
              </w:rPr>
              <w:t>、丁集（500 万吨/年）、顾桥（500 万吨/年）、顾北（300 万吨/年）、 潘四东（240 万吨/年）、潘四西（150 万吨/年）、望峰岗（300 万吨/年）、朱集（400 万吨/年）；改扩建矿井潘一由 300 万吨/年扩建到 600 万吨/年、潘三由 300 万吨/年扩建到 500万吨/年、谢桥由 400 万吨/年扩建到 800 万吨/年、张集由 400 万吨/年扩建到 700 万吨/年；现有生产矿井有潘东（210 万吨/年）、新庄孜（270 万吨/年）、谢一（90 万吨/年）、谢李（210 万吨/年）、孔李（120 万吨/年）。国家发展改革委在批复中还指出“矿区生活服务设施要尽量依托社会，辅助、附属企业要充分利用矿区已有设施”。</w:t>
            </w:r>
          </w:p>
          <w:p w14:paraId="6845CDA0">
            <w:pPr>
              <w:keepNext w:val="0"/>
              <w:keepLines w:val="0"/>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0"/>
                <w:sz w:val="24"/>
                <w:lang w:eastAsia="zh-CN"/>
              </w:rPr>
            </w:pP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rPr>
              <w:t>淮南潘谢矿区总体开发规划环境影响报告书</w:t>
            </w:r>
            <w:r>
              <w:rPr>
                <w:rFonts w:hint="eastAsia" w:ascii="Times New Roman" w:hAnsi="Times New Roman" w:eastAsia="宋体" w:cs="Times New Roman"/>
                <w:color w:val="auto"/>
                <w:kern w:val="0"/>
                <w:sz w:val="24"/>
                <w:lang w:eastAsia="zh-CN"/>
              </w:rPr>
              <w:t>》审查意见指出：淮南潘谢矿区煤炭资源极为丰富，资源储量达285亿吨，且深部还有可靠的煤炭资源。充分利用该矿区的资源、区位和市场优势，依托齐全的基础配套设施，加大煤炭开发力度和就地转化能力，以“发展先进生产力，保护生命，保护资源，保护环境”的理念将矿区建设成为华东地区重要的大型煤电基地，对于促进区域经济、社会、环境、资源的协调发展具有重要意义。</w:t>
            </w:r>
          </w:p>
          <w:p w14:paraId="21BFEF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s="Times New Roman"/>
                <w:lang w:val="en-US" w:eastAsia="zh-CN"/>
              </w:rPr>
            </w:pPr>
            <w:r>
              <w:rPr>
                <w:rFonts w:hint="eastAsia" w:cs="Times New Roman"/>
                <w:color w:val="auto"/>
                <w:kern w:val="0"/>
                <w:sz w:val="24"/>
                <w:highlight w:val="none"/>
                <w:lang w:val="en-US" w:eastAsia="zh-CN"/>
              </w:rPr>
              <w:t>该</w:t>
            </w:r>
            <w:r>
              <w:rPr>
                <w:rFonts w:hint="eastAsia" w:cs="Times New Roman"/>
                <w:color w:val="auto"/>
                <w:kern w:val="0"/>
                <w:sz w:val="24"/>
                <w:highlight w:val="none"/>
              </w:rPr>
              <w:t>项目位于安徽省淮南市</w:t>
            </w:r>
            <w:r>
              <w:rPr>
                <w:rFonts w:hint="eastAsia" w:cs="Times New Roman"/>
                <w:color w:val="auto"/>
                <w:kern w:val="0"/>
                <w:sz w:val="24"/>
                <w:highlight w:val="none"/>
                <w:lang w:eastAsia="zh-CN"/>
              </w:rPr>
              <w:t>凤台县顾桥镇</w:t>
            </w:r>
            <w:r>
              <w:rPr>
                <w:rFonts w:hint="eastAsia" w:cs="Times New Roman"/>
                <w:color w:val="auto"/>
                <w:sz w:val="24"/>
                <w:szCs w:val="24"/>
                <w:highlight w:val="none"/>
                <w:lang w:val="en-US" w:eastAsia="zh-CN"/>
              </w:rPr>
              <w:t>顾北煤矿现有工业场地内</w:t>
            </w:r>
            <w:r>
              <w:rPr>
                <w:rFonts w:hint="eastAsia" w:cs="Times New Roman"/>
                <w:color w:val="auto"/>
                <w:kern w:val="0"/>
                <w:sz w:val="24"/>
                <w:highlight w:val="none"/>
              </w:rPr>
              <w:t>，对照《国家发展改革委关于淮南潘谢矿区总体规划</w:t>
            </w:r>
            <w:r>
              <w:rPr>
                <w:rFonts w:hint="eastAsia" w:cs="Times New Roman"/>
                <w:color w:val="auto"/>
                <w:kern w:val="0"/>
                <w:sz w:val="24"/>
                <w:highlight w:val="none"/>
                <w:lang w:eastAsia="zh-CN"/>
              </w:rPr>
              <w:t>》，本项目</w:t>
            </w:r>
            <w:r>
              <w:rPr>
                <w:rFonts w:hint="eastAsia" w:cs="Times New Roman"/>
                <w:color w:val="auto"/>
                <w:kern w:val="0"/>
                <w:sz w:val="24"/>
                <w:highlight w:val="none"/>
              </w:rPr>
              <w:t>隶属于淮南潘谢矿区中</w:t>
            </w:r>
            <w:r>
              <w:rPr>
                <w:rFonts w:hint="eastAsia" w:cs="Times New Roman"/>
                <w:color w:val="auto"/>
                <w:kern w:val="0"/>
                <w:sz w:val="24"/>
                <w:highlight w:val="none"/>
                <w:lang w:val="en-US" w:eastAsia="zh-CN"/>
              </w:rPr>
              <w:t>顾北</w:t>
            </w:r>
            <w:r>
              <w:rPr>
                <w:rFonts w:hint="eastAsia" w:cs="Times New Roman"/>
                <w:color w:val="auto"/>
                <w:kern w:val="0"/>
                <w:sz w:val="24"/>
                <w:highlight w:val="none"/>
                <w:lang w:eastAsia="zh-CN"/>
              </w:rPr>
              <w:t>煤矿</w:t>
            </w:r>
            <w:r>
              <w:rPr>
                <w:rFonts w:hint="eastAsia" w:cs="Times New Roman"/>
                <w:color w:val="auto"/>
                <w:kern w:val="0"/>
                <w:sz w:val="24"/>
                <w:highlight w:val="none"/>
              </w:rPr>
              <w:t>范围，</w:t>
            </w:r>
            <w:r>
              <w:rPr>
                <w:rFonts w:hint="eastAsia" w:ascii="Times New Roman" w:hAnsi="Times New Roman" w:eastAsia="宋体" w:cs="Times New Roman"/>
                <w:color w:val="auto"/>
                <w:kern w:val="0"/>
                <w:sz w:val="24"/>
                <w:szCs w:val="24"/>
                <w:lang w:val="en-US" w:eastAsia="zh-CN" w:bidi="ar-SA"/>
              </w:rPr>
              <w:t>项目建设满足了顾北煤矿瓦斯治理的需要，保障矿井安全生产，</w:t>
            </w:r>
            <w:r>
              <w:rPr>
                <w:rFonts w:hint="eastAsia" w:ascii="Times New Roman" w:hAnsi="Times New Roman" w:eastAsia="宋体" w:cs="Times New Roman"/>
                <w:color w:val="auto"/>
                <w:kern w:val="0"/>
                <w:sz w:val="24"/>
                <w:lang w:eastAsia="zh-CN"/>
              </w:rPr>
              <w:t>保护生命。</w:t>
            </w:r>
            <w:r>
              <w:rPr>
                <w:rFonts w:hint="eastAsia" w:ascii="Times New Roman" w:hAnsi="Times New Roman" w:eastAsia="宋体" w:cs="Times New Roman"/>
                <w:color w:val="auto"/>
                <w:kern w:val="0"/>
                <w:sz w:val="24"/>
                <w:szCs w:val="24"/>
                <w:lang w:val="en-US" w:eastAsia="zh-CN" w:bidi="ar-SA"/>
              </w:rPr>
              <w:t>抽采的瓦斯用于长三角能源保障基地顾北煤矿超低浓度瓦斯清洁高效综合利用示范项目</w:t>
            </w:r>
            <w:r>
              <w:rPr>
                <w:rFonts w:hint="eastAsia" w:cs="Times New Roman"/>
                <w:color w:val="auto"/>
                <w:kern w:val="0"/>
                <w:sz w:val="24"/>
                <w:szCs w:val="24"/>
                <w:lang w:val="en-US" w:eastAsia="zh-CN" w:bidi="ar-SA"/>
              </w:rPr>
              <w:t>（以下简称</w:t>
            </w:r>
            <w:r>
              <w:rPr>
                <w:rFonts w:hint="eastAsia" w:ascii="Times New Roman" w:hAnsi="Times New Roman" w:eastAsia="宋体" w:cs="Times New Roman"/>
                <w:color w:val="auto"/>
                <w:kern w:val="0"/>
                <w:sz w:val="24"/>
                <w:szCs w:val="24"/>
                <w:lang w:val="en-US" w:eastAsia="zh-CN" w:bidi="ar-SA"/>
              </w:rPr>
              <w:t>顾北煤矿超低浓度瓦斯清洁高效综合利用示范项目</w:t>
            </w:r>
            <w:r>
              <w:rPr>
                <w:rFonts w:hint="eastAsia" w:cs="Times New Roman"/>
                <w:color w:val="auto"/>
                <w:kern w:val="0"/>
                <w:sz w:val="24"/>
                <w:szCs w:val="24"/>
                <w:lang w:val="en-US" w:eastAsia="zh-CN" w:bidi="ar-SA"/>
              </w:rPr>
              <w:t>）</w:t>
            </w: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实现瓦斯综合利用，</w:t>
            </w:r>
            <w:r>
              <w:rPr>
                <w:rFonts w:hint="eastAsia" w:ascii="Times New Roman" w:hAnsi="Times New Roman" w:eastAsia="宋体" w:cs="Times New Roman"/>
                <w:color w:val="auto"/>
                <w:kern w:val="0"/>
                <w:sz w:val="24"/>
                <w:highlight w:val="none"/>
                <w:lang w:eastAsia="zh-CN"/>
              </w:rPr>
              <w:t>充</w:t>
            </w:r>
            <w:r>
              <w:rPr>
                <w:rFonts w:hint="eastAsia" w:ascii="Times New Roman" w:hAnsi="Times New Roman" w:eastAsia="宋体" w:cs="Times New Roman"/>
                <w:color w:val="auto"/>
                <w:kern w:val="0"/>
                <w:sz w:val="24"/>
                <w:lang w:eastAsia="zh-CN"/>
              </w:rPr>
              <w:t>分利用了该矿区的资源，保护资源，</w:t>
            </w:r>
            <w:r>
              <w:rPr>
                <w:rFonts w:hint="eastAsia" w:ascii="Times New Roman" w:hAnsi="Times New Roman" w:eastAsia="宋体" w:cs="Times New Roman"/>
                <w:color w:val="auto"/>
                <w:kern w:val="0"/>
                <w:sz w:val="24"/>
                <w:szCs w:val="24"/>
                <w:lang w:val="en-US" w:eastAsia="zh-CN" w:bidi="ar-SA"/>
              </w:rPr>
              <w:t>因此项目建设与《淮南潘谢矿区总体开发规划》、</w:t>
            </w: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rPr>
              <w:t>淮南潘谢矿区总体开发规划环境影响报告书</w:t>
            </w:r>
            <w:r>
              <w:rPr>
                <w:rFonts w:hint="eastAsia" w:ascii="Times New Roman" w:hAnsi="Times New Roman" w:eastAsia="宋体" w:cs="Times New Roman"/>
                <w:color w:val="auto"/>
                <w:kern w:val="0"/>
                <w:sz w:val="24"/>
                <w:lang w:eastAsia="zh-CN"/>
              </w:rPr>
              <w:t>》审查意见</w:t>
            </w:r>
            <w:r>
              <w:rPr>
                <w:rFonts w:hint="eastAsia" w:ascii="Times New Roman" w:hAnsi="Times New Roman" w:eastAsia="宋体" w:cs="Times New Roman"/>
                <w:color w:val="auto"/>
                <w:kern w:val="0"/>
                <w:sz w:val="24"/>
                <w:szCs w:val="24"/>
                <w:lang w:val="en-US" w:eastAsia="zh-CN" w:bidi="ar-SA"/>
              </w:rPr>
              <w:t>是相符的</w:t>
            </w:r>
            <w:r>
              <w:rPr>
                <w:rFonts w:hint="eastAsia" w:ascii="Times New Roman" w:hAnsi="Times New Roman" w:eastAsia="宋体" w:cs="Times New Roman"/>
                <w:color w:val="auto"/>
                <w:kern w:val="0"/>
                <w:sz w:val="24"/>
              </w:rPr>
              <w:t>。</w:t>
            </w:r>
          </w:p>
          <w:p w14:paraId="0E28C4BA">
            <w:pPr>
              <w:pStyle w:val="23"/>
              <w:keepNext w:val="0"/>
              <w:keepLines w:val="0"/>
              <w:pageBreakBefore w:val="0"/>
              <w:widowControl w:val="0"/>
              <w:numPr>
                <w:ilvl w:val="0"/>
                <w:numId w:val="5"/>
              </w:numPr>
              <w:suppressLineNumbers w:val="0"/>
              <w:kinsoku/>
              <w:wordWrap/>
              <w:overflowPunct/>
              <w:topLinePunct w:val="0"/>
              <w:bidi w:val="0"/>
              <w:adjustRightInd w:val="0"/>
              <w:snapToGrid w:val="0"/>
              <w:spacing w:before="0" w:beforeAutospacing="0" w:after="0" w:afterLines="0" w:line="360" w:lineRule="auto"/>
              <w:ind w:left="0" w:right="0"/>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与凤台县（含毛集实验区）</w:t>
            </w:r>
            <w:r>
              <w:rPr>
                <w:rFonts w:hint="default" w:ascii="Times New Roman" w:hAnsi="Times New Roman" w:eastAsia="宋体" w:cs="Times New Roman"/>
                <w:color w:val="auto"/>
                <w:kern w:val="0"/>
                <w:sz w:val="24"/>
                <w:szCs w:val="24"/>
                <w:highlight w:val="none"/>
                <w:lang w:val="en-US" w:eastAsia="zh-CN" w:bidi="ar-SA"/>
              </w:rPr>
              <w:t>国土空间总体规划（2021-2035年）</w:t>
            </w:r>
            <w:r>
              <w:rPr>
                <w:rFonts w:hint="eastAsia" w:ascii="Times New Roman" w:hAnsi="Times New Roman" w:eastAsia="宋体" w:cs="Times New Roman"/>
                <w:color w:val="auto"/>
                <w:kern w:val="0"/>
                <w:sz w:val="24"/>
                <w:szCs w:val="24"/>
                <w:highlight w:val="none"/>
                <w:lang w:val="en-US" w:eastAsia="zh-CN" w:bidi="ar-SA"/>
              </w:rPr>
              <w:t>符合性分析</w:t>
            </w:r>
          </w:p>
          <w:p w14:paraId="715774DC">
            <w:pPr>
              <w:pStyle w:val="23"/>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Lines="0" w:line="360" w:lineRule="auto"/>
              <w:ind w:left="0" w:right="0" w:firstLine="480" w:firstLineChars="200"/>
              <w:textAlignment w:val="auto"/>
              <w:rPr>
                <w:rFonts w:hint="default" w:cs="Times New Roman"/>
                <w:b w:val="0"/>
                <w:bCs/>
                <w:color w:val="auto"/>
                <w:sz w:val="24"/>
                <w:lang w:val="en-US" w:eastAsia="zh-CN"/>
              </w:rPr>
            </w:pPr>
            <w:r>
              <w:rPr>
                <w:rFonts w:hint="eastAsia" w:ascii="Times New Roman" w:hAnsi="Times New Roman" w:eastAsia="宋体" w:cs="Times New Roman"/>
                <w:color w:val="auto"/>
                <w:kern w:val="0"/>
                <w:sz w:val="24"/>
                <w:szCs w:val="24"/>
                <w:highlight w:val="none"/>
                <w:lang w:val="en-US" w:eastAsia="zh-CN" w:bidi="ar-SA"/>
              </w:rPr>
              <w:t>凤台县（含毛集实验区）</w:t>
            </w:r>
            <w:r>
              <w:rPr>
                <w:rFonts w:hint="default" w:ascii="Times New Roman" w:hAnsi="Times New Roman" w:eastAsia="宋体" w:cs="Times New Roman"/>
                <w:color w:val="auto"/>
                <w:kern w:val="0"/>
                <w:sz w:val="24"/>
                <w:szCs w:val="24"/>
                <w:highlight w:val="none"/>
                <w:lang w:val="en-US" w:eastAsia="zh-CN" w:bidi="ar-SA"/>
              </w:rPr>
              <w:t>国土空间总体规划</w:t>
            </w:r>
            <w:r>
              <w:rPr>
                <w:rFonts w:hint="eastAsia" w:ascii="Times New Roman" w:hAnsi="Times New Roman" w:eastAsia="宋体" w:cs="Times New Roman"/>
                <w:color w:val="auto"/>
                <w:kern w:val="0"/>
                <w:sz w:val="24"/>
                <w:szCs w:val="24"/>
                <w:highlight w:val="none"/>
                <w:lang w:val="en-US" w:eastAsia="zh-CN" w:bidi="ar-SA"/>
              </w:rPr>
              <w:t>指出：</w:t>
            </w:r>
            <w:r>
              <w:rPr>
                <w:rFonts w:hint="default" w:cs="Times New Roman"/>
                <w:b w:val="0"/>
                <w:bCs/>
                <w:color w:val="auto"/>
                <w:sz w:val="24"/>
                <w:lang w:val="en-US" w:eastAsia="zh-CN"/>
              </w:rPr>
              <w:t>加强矿产资源保护。坚持生态保护优先，统筹协调矿产资源开发利用与生态保护，提高矿产节约集约开发利用水平。加强矿产资源开发利用分区管控，划定矿产资源控制线。保障矿产重点发展区域。加强矿区矿产资源开发利用监管，实施国土空间管控措施，强化矿产资源节约与综合利用。到2035年，矿产资源开采规模化集约化程度明显提高，资源开发利用效率和水平显著提升，绿色矿山建设全面推进。加强矿产资源开发利用与生态保护，建设国家新型综合能源基地。</w:t>
            </w:r>
          </w:p>
          <w:p w14:paraId="282723D1">
            <w:pPr>
              <w:pStyle w:val="89"/>
              <w:keepNext w:val="0"/>
              <w:keepLines w:val="0"/>
              <w:suppressLineNumbers w:val="0"/>
              <w:spacing w:before="0" w:beforeAutospacing="0" w:after="0" w:afterAutospacing="0" w:line="360" w:lineRule="auto"/>
              <w:ind w:left="0" w:right="0" w:firstLine="480" w:firstLineChars="200"/>
              <w:jc w:val="left"/>
              <w:rPr>
                <w:rFonts w:hint="default" w:cs="Times New Roman"/>
                <w:color w:val="auto"/>
                <w:kern w:val="0"/>
                <w:sz w:val="24"/>
                <w:szCs w:val="24"/>
              </w:rPr>
            </w:pPr>
            <w:r>
              <w:rPr>
                <w:rFonts w:hint="eastAsia" w:cs="Times New Roman"/>
                <w:color w:val="auto"/>
                <w:kern w:val="0"/>
                <w:sz w:val="24"/>
                <w:highlight w:val="none"/>
                <w:lang w:val="en-US" w:eastAsia="zh-CN"/>
              </w:rPr>
              <w:t>该</w:t>
            </w:r>
            <w:r>
              <w:rPr>
                <w:rFonts w:hint="eastAsia" w:cs="Times New Roman"/>
                <w:color w:val="auto"/>
                <w:kern w:val="0"/>
                <w:sz w:val="24"/>
                <w:highlight w:val="none"/>
              </w:rPr>
              <w:t>项目</w:t>
            </w:r>
            <w:r>
              <w:rPr>
                <w:rFonts w:hint="eastAsia" w:ascii="Times New Roman" w:hAnsi="Times New Roman" w:eastAsia="宋体" w:cs="Times New Roman"/>
                <w:color w:val="auto"/>
                <w:kern w:val="0"/>
                <w:sz w:val="24"/>
                <w:szCs w:val="24"/>
                <w:lang w:val="en-US" w:eastAsia="zh-CN" w:bidi="ar-SA"/>
              </w:rPr>
              <w:t>建设满足了顾北煤矿瓦斯治理的需要，保障矿井安全生产，抽采的瓦斯可用于</w:t>
            </w:r>
            <w:r>
              <w:rPr>
                <w:rFonts w:hint="eastAsia" w:cs="Times New Roman"/>
              </w:rPr>
              <w:t>顾北超低浓瓦斯蓄热氧化利用示范项目</w:t>
            </w:r>
            <w:r>
              <w:rPr>
                <w:rFonts w:hint="eastAsia" w:cs="Times New Roman"/>
                <w:lang w:eastAsia="zh-CN"/>
              </w:rPr>
              <w:t>，</w:t>
            </w:r>
            <w:r>
              <w:rPr>
                <w:rFonts w:hint="eastAsia" w:cs="Times New Roman"/>
                <w:lang w:val="en-US" w:eastAsia="zh-CN"/>
              </w:rPr>
              <w:t>实现瓦斯综合利用，</w:t>
            </w:r>
            <w:r>
              <w:rPr>
                <w:rFonts w:hint="eastAsia" w:ascii="Times New Roman" w:hAnsi="Times New Roman" w:eastAsia="宋体" w:cs="Times New Roman"/>
                <w:color w:val="auto"/>
                <w:kern w:val="0"/>
                <w:sz w:val="24"/>
                <w:lang w:eastAsia="zh-CN"/>
              </w:rPr>
              <w:t>充分利用了该矿区的资源。</w:t>
            </w:r>
          </w:p>
        </w:tc>
      </w:tr>
      <w:tr w14:paraId="64823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1" w:hRule="atLeast"/>
        </w:trPr>
        <w:tc>
          <w:tcPr>
            <w:tcW w:w="1116" w:type="dxa"/>
            <w:noWrap w:val="0"/>
            <w:tcMar>
              <w:top w:w="16" w:type="dxa"/>
              <w:left w:w="16" w:type="dxa"/>
              <w:right w:w="16" w:type="dxa"/>
            </w:tcMar>
            <w:vAlign w:val="center"/>
          </w:tcPr>
          <w:p w14:paraId="08F13BAE">
            <w:pPr>
              <w:keepNext w:val="0"/>
              <w:keepLines w:val="0"/>
              <w:suppressLineNumbers w:val="0"/>
              <w:autoSpaceDE w:val="0"/>
              <w:autoSpaceDN w:val="0"/>
              <w:adjustRightInd w:val="0"/>
              <w:snapToGrid w:val="0"/>
              <w:spacing w:before="0" w:beforeAutospacing="0" w:after="0" w:afterAutospacing="0"/>
              <w:ind w:left="0" w:right="0"/>
              <w:jc w:val="center"/>
              <w:rPr>
                <w:rFonts w:hint="default" w:cs="Times New Roman"/>
                <w:color w:val="auto"/>
                <w:kern w:val="0"/>
                <w:sz w:val="24"/>
                <w:szCs w:val="24"/>
              </w:rPr>
            </w:pPr>
            <w:bookmarkStart w:id="2" w:name="_Hlk56690880"/>
            <w:r>
              <w:rPr>
                <w:rFonts w:hint="default" w:cs="Times New Roman"/>
                <w:color w:val="auto"/>
                <w:kern w:val="0"/>
                <w:sz w:val="24"/>
                <w:szCs w:val="24"/>
              </w:rPr>
              <w:t>其他符合性分析</w:t>
            </w:r>
            <w:bookmarkEnd w:id="2"/>
          </w:p>
        </w:tc>
        <w:tc>
          <w:tcPr>
            <w:tcW w:w="7923" w:type="dxa"/>
            <w:gridSpan w:val="4"/>
            <w:noWrap w:val="0"/>
            <w:tcMar>
              <w:top w:w="16" w:type="dxa"/>
              <w:left w:w="16" w:type="dxa"/>
              <w:right w:w="16" w:type="dxa"/>
            </w:tcMar>
            <w:vAlign w:val="center"/>
          </w:tcPr>
          <w:p w14:paraId="2651A62F">
            <w:pPr>
              <w:pStyle w:val="89"/>
              <w:keepNext w:val="0"/>
              <w:keepLines w:val="0"/>
              <w:widowControl/>
              <w:suppressLineNumbers w:val="0"/>
              <w:spacing w:before="0" w:beforeAutospacing="0" w:after="0" w:afterAutospacing="0"/>
              <w:ind w:left="0" w:right="0" w:firstLine="482"/>
              <w:rPr>
                <w:rFonts w:hint="default" w:cs="Times New Roman"/>
                <w:b/>
                <w:bCs/>
                <w:color w:val="auto"/>
              </w:rPr>
            </w:pPr>
            <w:r>
              <w:rPr>
                <w:rFonts w:hint="eastAsia" w:cs="Times New Roman"/>
                <w:b/>
                <w:bCs/>
                <w:color w:val="auto"/>
              </w:rPr>
              <w:t>1、产业政策</w:t>
            </w:r>
            <w:r>
              <w:rPr>
                <w:rFonts w:hint="default" w:cs="Times New Roman"/>
                <w:b/>
                <w:bCs/>
                <w:color w:val="auto"/>
              </w:rPr>
              <w:t>符合性</w:t>
            </w:r>
            <w:r>
              <w:rPr>
                <w:rFonts w:hint="eastAsia" w:cs="Times New Roman"/>
                <w:b/>
                <w:bCs/>
                <w:color w:val="auto"/>
              </w:rPr>
              <w:t>分析</w:t>
            </w:r>
          </w:p>
          <w:p w14:paraId="7979308F">
            <w:pPr>
              <w:pStyle w:val="89"/>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firstLine="480"/>
              <w:textAlignment w:val="auto"/>
              <w:rPr>
                <w:rFonts w:hint="default" w:cs="Times New Roman"/>
              </w:rPr>
            </w:pPr>
            <w:r>
              <w:rPr>
                <w:rFonts w:hint="eastAsia" w:ascii="Times New Roman" w:hAnsi="Times New Roman" w:eastAsia="宋体" w:cs="Times New Roman"/>
                <w:color w:val="auto"/>
              </w:rPr>
              <w:t>根据《国民经济行业分类》（GB/T4574-2017），本项目属于“</w:t>
            </w:r>
            <w:r>
              <w:rPr>
                <w:rFonts w:hint="eastAsia" w:ascii="Times New Roman" w:hAnsi="Times New Roman" w:eastAsia="宋体" w:cs="Times New Roman"/>
                <w:color w:val="auto"/>
                <w:lang w:val="en-US" w:eastAsia="zh-CN"/>
              </w:rPr>
              <w:t>B1110煤炭开采和洗选专业及辅助性活动</w:t>
            </w:r>
            <w:r>
              <w:rPr>
                <w:rFonts w:hint="eastAsia" w:ascii="Times New Roman" w:hAnsi="Times New Roman" w:eastAsia="宋体" w:cs="Times New Roman"/>
                <w:color w:val="auto"/>
              </w:rPr>
              <w:t>”。根据</w:t>
            </w:r>
            <w:r>
              <w:rPr>
                <w:rFonts w:hint="eastAsia" w:ascii="Times New Roman" w:hAnsi="Times New Roman" w:eastAsia="宋体" w:cs="Times New Roman"/>
                <w:color w:val="auto"/>
                <w:lang w:eastAsia="zh-CN"/>
              </w:rPr>
              <w:t>《产业结构调整指导目录（2024年本）》</w:t>
            </w:r>
            <w:r>
              <w:rPr>
                <w:rFonts w:hint="eastAsia" w:ascii="Times New Roman" w:hAnsi="Times New Roman" w:eastAsia="宋体" w:cs="Times New Roman"/>
                <w:color w:val="auto"/>
              </w:rPr>
              <w:t>，本项目属于该目录“鼓励类”中“</w:t>
            </w:r>
            <w:r>
              <w:rPr>
                <w:rFonts w:hint="eastAsia" w:ascii="Times New Roman" w:hAnsi="Times New Roman" w:eastAsia="宋体" w:cs="Times New Roman"/>
                <w:color w:val="auto"/>
                <w:lang w:val="en-US" w:eastAsia="zh-CN"/>
              </w:rPr>
              <w:t>三、煤炭</w:t>
            </w:r>
            <w:r>
              <w:rPr>
                <w:rFonts w:hint="default" w:ascii="Times New Roman" w:hAnsi="Times New Roman" w:eastAsia="宋体" w:cs="Times New Roman"/>
                <w:color w:val="auto"/>
                <w:lang w:val="en-US" w:eastAsia="zh-CN"/>
              </w:rPr>
              <w:t>4</w:t>
            </w:r>
            <w:r>
              <w:rPr>
                <w:rFonts w:hint="eastAsia" w:ascii="Times New Roman" w:hAnsi="Times New Roman" w:eastAsia="宋体" w:cs="Times New Roman"/>
                <w:color w:val="auto"/>
                <w:lang w:val="en-US" w:eastAsia="zh-CN"/>
              </w:rPr>
              <w:t>、煤炭清洁高效开发利用技术：煤层气勘探、开发、利用和煤矿瓦斯抽采、利用。</w:t>
            </w:r>
          </w:p>
          <w:p w14:paraId="75CF5303">
            <w:pPr>
              <w:pStyle w:val="89"/>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firstLine="480"/>
              <w:textAlignment w:val="auto"/>
              <w:rPr>
                <w:rFonts w:hint="eastAsia" w:cs="Times New Roman"/>
                <w:color w:val="auto"/>
              </w:rPr>
            </w:pPr>
            <w:r>
              <w:rPr>
                <w:rFonts w:hint="eastAsia" w:ascii="Times New Roman" w:hAnsi="Times New Roman" w:eastAsia="宋体" w:cs="Times New Roman"/>
                <w:color w:val="auto"/>
                <w:lang w:eastAsia="zh-CN"/>
              </w:rPr>
              <w:t>本</w:t>
            </w:r>
            <w:r>
              <w:rPr>
                <w:rFonts w:hint="eastAsia" w:ascii="Times New Roman" w:hAnsi="Times New Roman" w:eastAsia="宋体" w:cs="Times New Roman"/>
                <w:color w:val="auto"/>
              </w:rPr>
              <w:t>项</w:t>
            </w:r>
            <w:r>
              <w:rPr>
                <w:rFonts w:hint="eastAsia" w:cs="Times New Roman"/>
                <w:color w:val="auto"/>
              </w:rPr>
              <w:t>目已</w:t>
            </w:r>
            <w:r>
              <w:rPr>
                <w:rFonts w:hint="eastAsia" w:cs="Times New Roman"/>
                <w:color w:val="auto"/>
                <w:lang w:eastAsia="zh-CN"/>
              </w:rPr>
              <w:t>于2026年7月16日经淮南市凤台县发展和改革委员会备案，项目代码：2607-340421-04-02-325147</w:t>
            </w:r>
            <w:r>
              <w:rPr>
                <w:rFonts w:hint="eastAsia" w:cs="Times New Roman"/>
                <w:color w:val="auto"/>
              </w:rPr>
              <w:t>。</w:t>
            </w:r>
          </w:p>
          <w:p w14:paraId="2083CD19">
            <w:pPr>
              <w:pStyle w:val="89"/>
              <w:keepNext w:val="0"/>
              <w:keepLines w:val="0"/>
              <w:widowControl/>
              <w:suppressLineNumbers w:val="0"/>
              <w:spacing w:before="0" w:beforeAutospacing="0" w:after="0" w:afterAutospacing="0"/>
              <w:ind w:left="0" w:right="0" w:firstLine="480"/>
              <w:rPr>
                <w:rFonts w:hint="eastAsia" w:cs="Times New Roman"/>
                <w:color w:val="auto"/>
              </w:rPr>
            </w:pPr>
            <w:r>
              <w:rPr>
                <w:rFonts w:hint="eastAsia" w:cs="Times New Roman"/>
                <w:color w:val="auto"/>
              </w:rPr>
              <w:t>因此，项目建设符合国家当前产业政策。</w:t>
            </w:r>
          </w:p>
          <w:p w14:paraId="7624F025">
            <w:pPr>
              <w:pStyle w:val="89"/>
              <w:keepNext w:val="0"/>
              <w:keepLines w:val="0"/>
              <w:widowControl/>
              <w:suppressLineNumbers w:val="0"/>
              <w:spacing w:before="0" w:beforeAutospacing="0" w:after="0" w:afterAutospacing="0"/>
              <w:ind w:left="0" w:right="0" w:firstLine="482"/>
              <w:rPr>
                <w:rFonts w:hint="eastAsia"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2、</w:t>
            </w:r>
            <w:r>
              <w:rPr>
                <w:rFonts w:hint="eastAsia" w:ascii="Times New Roman" w:hAnsi="Times New Roman" w:eastAsia="宋体" w:cs="Times New Roman"/>
                <w:b/>
                <w:bCs/>
                <w:color w:val="auto"/>
              </w:rPr>
              <w:t>选址符合性分析</w:t>
            </w:r>
          </w:p>
          <w:p w14:paraId="236A0189">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0"/>
                <w:sz w:val="24"/>
                <w:highlight w:val="none"/>
              </w:rPr>
            </w:pPr>
            <w:r>
              <w:rPr>
                <w:rFonts w:hint="eastAsia" w:ascii="Times New Roman" w:hAnsi="Times New Roman" w:eastAsia="宋体" w:cs="Times New Roman"/>
                <w:color w:val="auto"/>
                <w:kern w:val="0"/>
                <w:sz w:val="24"/>
                <w:highlight w:val="none"/>
                <w:lang w:val="en-US" w:eastAsia="zh-CN"/>
              </w:rPr>
              <w:t>本项目位于</w:t>
            </w:r>
            <w:r>
              <w:rPr>
                <w:rFonts w:hint="eastAsia" w:ascii="Times New Roman" w:hAnsi="Times New Roman" w:eastAsia="宋体" w:cs="Times New Roman"/>
                <w:color w:val="auto"/>
                <w:kern w:val="0"/>
                <w:sz w:val="24"/>
                <w:highlight w:val="none"/>
                <w:lang w:eastAsia="zh-CN"/>
              </w:rPr>
              <w:t>凤台县顾桥镇</w:t>
            </w:r>
            <w:r>
              <w:rPr>
                <w:rFonts w:hint="eastAsia" w:ascii="Times New Roman" w:hAnsi="Times New Roman" w:eastAsia="宋体" w:cs="Times New Roman"/>
                <w:color w:val="auto"/>
                <w:kern w:val="0"/>
                <w:sz w:val="24"/>
                <w:highlight w:val="none"/>
                <w:lang w:val="en-US" w:eastAsia="zh-CN"/>
              </w:rPr>
              <w:t>顾北煤矿现有工业场地内</w:t>
            </w:r>
            <w:r>
              <w:rPr>
                <w:rFonts w:hint="eastAsia" w:ascii="Times New Roman" w:hAnsi="Times New Roman" w:eastAsia="宋体" w:cs="Times New Roman"/>
                <w:color w:val="auto"/>
                <w:kern w:val="0"/>
                <w:sz w:val="24"/>
                <w:highlight w:val="none"/>
                <w:lang w:eastAsia="zh-CN"/>
              </w:rPr>
              <w:t>地面瓦斯抽采泵房西侧，</w:t>
            </w:r>
            <w:r>
              <w:rPr>
                <w:rFonts w:hint="eastAsia" w:ascii="Times New Roman" w:hAnsi="Times New Roman" w:eastAsia="宋体" w:cs="Times New Roman"/>
                <w:color w:val="auto"/>
                <w:kern w:val="0"/>
                <w:sz w:val="24"/>
                <w:highlight w:val="none"/>
                <w:lang w:val="en-US" w:eastAsia="zh-CN"/>
              </w:rPr>
              <w:t>利用工业场地内现有空地进行施工</w:t>
            </w:r>
            <w:r>
              <w:rPr>
                <w:rFonts w:hint="eastAsia" w:cs="Times New Roman"/>
                <w:color w:val="auto"/>
                <w:sz w:val="24"/>
                <w:szCs w:val="24"/>
                <w:highlight w:val="none"/>
                <w:lang w:val="en-US" w:eastAsia="zh-CN"/>
              </w:rPr>
              <w:t>，不新增占地</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kern w:val="0"/>
                <w:sz w:val="24"/>
                <w:highlight w:val="none"/>
                <w:lang w:eastAsia="zh-CN"/>
              </w:rPr>
              <w:t>经现场调查，项目施工场地</w:t>
            </w:r>
            <w:r>
              <w:rPr>
                <w:rFonts w:hint="eastAsia" w:ascii="Times New Roman" w:hAnsi="Times New Roman" w:eastAsia="宋体" w:cs="Times New Roman"/>
                <w:color w:val="auto"/>
                <w:kern w:val="0"/>
                <w:sz w:val="24"/>
                <w:highlight w:val="none"/>
                <w:lang w:val="en-US" w:eastAsia="zh-CN"/>
              </w:rPr>
              <w:t>现状为空地</w:t>
            </w: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rPr>
              <w:t>项目区范围内无自然保护区、风景名胜区、世界文化和自然遗产、饮用水水源保护区；也没有以医疗卫生、文化教育、科研、行政办公等为主要功能的区域，无文物保护单位，无具有特殊历史、文化、科学、民族意义的保护地等环境敏感区，因此本项目选址合理可行。</w:t>
            </w:r>
          </w:p>
          <w:p w14:paraId="0E5D3942">
            <w:pPr>
              <w:pStyle w:val="89"/>
              <w:keepNext w:val="0"/>
              <w:keepLines w:val="0"/>
              <w:widowControl/>
              <w:suppressLineNumbers w:val="0"/>
              <w:spacing w:before="0" w:beforeAutospacing="0" w:after="0" w:afterAutospacing="0"/>
              <w:ind w:left="0" w:right="0" w:firstLine="482"/>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3、“生态环境分区管控成果”符合性分析</w:t>
            </w:r>
          </w:p>
          <w:p w14:paraId="24E805F9">
            <w:pPr>
              <w:keepNext w:val="0"/>
              <w:keepLines w:val="0"/>
              <w:suppressLineNumbers w:val="0"/>
              <w:autoSpaceDE w:val="0"/>
              <w:autoSpaceDN w:val="0"/>
              <w:spacing w:before="0" w:beforeAutospacing="0" w:after="0" w:afterAutospacing="0" w:line="360" w:lineRule="auto"/>
              <w:ind w:left="0" w:right="0" w:firstLine="480" w:firstLineChars="200"/>
              <w:rPr>
                <w:rFonts w:hint="eastAsia" w:ascii="Times New Roman" w:hAnsi="Times New Roman" w:cs="Times New Roman"/>
                <w:color w:val="auto"/>
                <w:sz w:val="24"/>
              </w:rPr>
            </w:pPr>
            <w:r>
              <w:rPr>
                <w:rFonts w:hint="eastAsia" w:ascii="Times New Roman" w:hAnsi="Times New Roman" w:cs="Times New Roman"/>
                <w:color w:val="auto"/>
                <w:sz w:val="24"/>
              </w:rPr>
              <w:t>（1）生态保护红线</w:t>
            </w:r>
          </w:p>
          <w:p w14:paraId="22AD1C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ascii="Times New Roman" w:hAnsi="宋体" w:eastAsia="宋体" w:cs="Times New Roman"/>
                <w:color w:val="auto"/>
                <w:kern w:val="0"/>
                <w:sz w:val="24"/>
                <w:szCs w:val="24"/>
                <w:lang w:eastAsia="zh-CN"/>
              </w:rPr>
            </w:pPr>
            <w:r>
              <w:rPr>
                <w:rFonts w:hint="default" w:ascii="Times New Roman" w:hAnsi="宋体" w:eastAsia="宋体" w:cs="Times New Roman"/>
                <w:color w:val="auto"/>
                <w:kern w:val="0"/>
                <w:sz w:val="24"/>
                <w:szCs w:val="24"/>
              </w:rPr>
              <w:t>本项目位于安徽省</w:t>
            </w:r>
            <w:r>
              <w:rPr>
                <w:rFonts w:hint="eastAsia" w:ascii="Times New Roman" w:hAnsi="宋体" w:eastAsia="宋体" w:cs="Times New Roman"/>
                <w:color w:val="auto"/>
                <w:kern w:val="0"/>
                <w:sz w:val="24"/>
                <w:szCs w:val="24"/>
                <w:lang w:eastAsia="zh-CN"/>
              </w:rPr>
              <w:t>淮南市凤台县顾桥镇境内</w:t>
            </w:r>
            <w:r>
              <w:rPr>
                <w:rFonts w:hint="default" w:ascii="Times New Roman" w:hAnsi="宋体" w:eastAsia="宋体" w:cs="Times New Roman"/>
                <w:color w:val="auto"/>
                <w:kern w:val="0"/>
                <w:sz w:val="24"/>
                <w:szCs w:val="24"/>
              </w:rPr>
              <w:t>，根据《</w:t>
            </w:r>
            <w:r>
              <w:rPr>
                <w:rFonts w:hint="eastAsia" w:ascii="Times New Roman" w:hAnsi="宋体" w:eastAsia="宋体" w:cs="Times New Roman"/>
                <w:color w:val="auto"/>
                <w:kern w:val="0"/>
                <w:sz w:val="24"/>
                <w:szCs w:val="24"/>
              </w:rPr>
              <w:t>淮南市</w:t>
            </w:r>
            <w:r>
              <w:rPr>
                <w:rFonts w:hint="default" w:ascii="Times New Roman" w:hAnsi="宋体" w:eastAsia="宋体" w:cs="Times New Roman"/>
                <w:color w:val="auto"/>
                <w:kern w:val="0"/>
                <w:sz w:val="24"/>
                <w:szCs w:val="24"/>
              </w:rPr>
              <w:t>生态保护红线》，项目所处区域</w:t>
            </w:r>
            <w:r>
              <w:rPr>
                <w:rFonts w:hint="eastAsia" w:ascii="Times New Roman" w:hAnsi="宋体" w:eastAsia="宋体" w:cs="Times New Roman"/>
                <w:color w:val="auto"/>
                <w:kern w:val="0"/>
                <w:sz w:val="24"/>
                <w:szCs w:val="24"/>
                <w:lang w:val="en-US" w:eastAsia="zh-CN"/>
              </w:rPr>
              <w:t>内</w:t>
            </w:r>
            <w:r>
              <w:rPr>
                <w:rFonts w:hint="default" w:ascii="Times New Roman" w:hAnsi="宋体" w:eastAsia="宋体" w:cs="Times New Roman"/>
                <w:color w:val="auto"/>
                <w:kern w:val="0"/>
                <w:sz w:val="24"/>
                <w:szCs w:val="24"/>
              </w:rPr>
              <w:t>无自然保护区、风景名胜区、</w:t>
            </w:r>
            <w:r>
              <w:rPr>
                <w:rFonts w:hint="eastAsia" w:ascii="Times New Roman" w:hAnsi="宋体" w:eastAsia="宋体" w:cs="Times New Roman"/>
                <w:color w:val="auto"/>
                <w:kern w:val="0"/>
                <w:sz w:val="24"/>
                <w:szCs w:val="24"/>
                <w:lang w:eastAsia="zh-CN"/>
              </w:rPr>
              <w:t>文化和自然遗产</w:t>
            </w:r>
            <w:r>
              <w:rPr>
                <w:rFonts w:hint="default" w:ascii="Times New Roman" w:hAnsi="宋体" w:eastAsia="宋体" w:cs="Times New Roman"/>
                <w:color w:val="auto"/>
                <w:kern w:val="0"/>
                <w:sz w:val="24"/>
                <w:szCs w:val="24"/>
              </w:rPr>
              <w:t>等，不属于生态保护红线管控的区域，符合</w:t>
            </w:r>
            <w:r>
              <w:rPr>
                <w:rFonts w:hint="eastAsia" w:ascii="Times New Roman" w:hAnsi="宋体" w:eastAsia="宋体" w:cs="Times New Roman"/>
                <w:color w:val="auto"/>
                <w:kern w:val="0"/>
                <w:sz w:val="24"/>
                <w:szCs w:val="24"/>
              </w:rPr>
              <w:t>淮南</w:t>
            </w:r>
            <w:r>
              <w:rPr>
                <w:rFonts w:hint="default" w:ascii="Times New Roman" w:hAnsi="宋体" w:eastAsia="宋体" w:cs="Times New Roman"/>
                <w:color w:val="auto"/>
                <w:kern w:val="0"/>
                <w:sz w:val="24"/>
                <w:szCs w:val="24"/>
              </w:rPr>
              <w:t>市生态保护红线要求。淮南市生态保护红线见</w:t>
            </w:r>
            <w:r>
              <w:rPr>
                <w:rFonts w:hint="eastAsia" w:ascii="Times New Roman" w:hAnsi="宋体" w:eastAsia="宋体" w:cs="Times New Roman"/>
                <w:color w:val="auto"/>
                <w:kern w:val="0"/>
                <w:sz w:val="24"/>
                <w:szCs w:val="24"/>
                <w:lang w:eastAsia="zh-CN"/>
              </w:rPr>
              <w:t>附图。</w:t>
            </w:r>
          </w:p>
          <w:p w14:paraId="289C75C7">
            <w:pPr>
              <w:keepNext w:val="0"/>
              <w:keepLines w:val="0"/>
              <w:pageBreakBefore w:val="0"/>
              <w:widowControl w:val="0"/>
              <w:numPr>
                <w:ilvl w:val="0"/>
                <w:numId w:val="6"/>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color w:val="auto"/>
                <w:sz w:val="24"/>
              </w:rPr>
            </w:pPr>
            <w:r>
              <w:rPr>
                <w:rFonts w:hint="eastAsia" w:ascii="Times New Roman" w:hAnsi="Times New Roman" w:cs="Times New Roman"/>
                <w:color w:val="auto"/>
                <w:sz w:val="24"/>
              </w:rPr>
              <w:t>环境质量底线及环境分区管控</w:t>
            </w:r>
          </w:p>
          <w:p w14:paraId="5F354CA3">
            <w:pPr>
              <w:pStyle w:val="17"/>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firstLine="480" w:firstLineChars="200"/>
              <w:textAlignment w:val="auto"/>
              <w:rPr>
                <w:rFonts w:hint="eastAsia" w:ascii="Times New Roman" w:hAnsi="宋体" w:eastAsia="宋体" w:cs="Times New Roman"/>
                <w:color w:val="auto"/>
                <w:kern w:val="0"/>
                <w:sz w:val="24"/>
                <w:szCs w:val="24"/>
                <w:lang w:val="en-US" w:eastAsia="zh-CN" w:bidi="ar-SA"/>
              </w:rPr>
            </w:pPr>
            <w:r>
              <w:rPr>
                <w:rFonts w:hint="eastAsia" w:ascii="Times New Roman" w:hAnsi="宋体" w:eastAsia="宋体" w:cs="Times New Roman"/>
                <w:color w:val="auto"/>
                <w:kern w:val="0"/>
                <w:sz w:val="24"/>
                <w:szCs w:val="24"/>
                <w:lang w:val="en-US" w:eastAsia="zh-CN" w:bidi="ar-SA"/>
              </w:rPr>
              <w:t>本项目选址区域为环境空气功能区二类区，执行《环境空气质量标准》（GB3095-2026）相关限值要求。根据《</w:t>
            </w:r>
            <w:r>
              <w:rPr>
                <w:rFonts w:hint="eastAsia" w:hAnsi="宋体" w:cs="Times New Roman"/>
                <w:color w:val="auto"/>
                <w:kern w:val="0"/>
                <w:sz w:val="24"/>
                <w:szCs w:val="24"/>
                <w:lang w:val="en-US" w:eastAsia="zh-CN" w:bidi="ar-SA"/>
              </w:rPr>
              <w:t>2025年淮南市生态环境质量状况公报</w:t>
            </w:r>
            <w:r>
              <w:rPr>
                <w:rFonts w:hint="eastAsia" w:ascii="Times New Roman" w:hAnsi="宋体" w:eastAsia="宋体" w:cs="Times New Roman"/>
                <w:color w:val="auto"/>
                <w:kern w:val="0"/>
                <w:sz w:val="24"/>
                <w:szCs w:val="24"/>
                <w:lang w:val="en-US" w:eastAsia="zh-CN" w:bidi="ar-SA"/>
              </w:rPr>
              <w:t>》可知，项目所在区域SO</w:t>
            </w:r>
            <w:r>
              <w:rPr>
                <w:rFonts w:hint="eastAsia" w:ascii="Times New Roman" w:hAnsi="宋体" w:eastAsia="宋体" w:cs="Times New Roman"/>
                <w:color w:val="auto"/>
                <w:kern w:val="0"/>
                <w:sz w:val="24"/>
                <w:szCs w:val="24"/>
                <w:vertAlign w:val="subscript"/>
                <w:lang w:val="en-US" w:eastAsia="zh-CN" w:bidi="ar-SA"/>
              </w:rPr>
              <w:t>2</w:t>
            </w:r>
            <w:r>
              <w:rPr>
                <w:rFonts w:hint="eastAsia" w:ascii="Times New Roman" w:hAnsi="宋体" w:eastAsia="宋体" w:cs="Times New Roman"/>
                <w:color w:val="auto"/>
                <w:kern w:val="0"/>
                <w:sz w:val="24"/>
                <w:szCs w:val="24"/>
                <w:lang w:val="en-US" w:eastAsia="zh-CN" w:bidi="ar-SA"/>
              </w:rPr>
              <w:t>、NO</w:t>
            </w:r>
            <w:r>
              <w:rPr>
                <w:rFonts w:hint="eastAsia" w:ascii="Times New Roman" w:hAnsi="宋体" w:eastAsia="宋体" w:cs="Times New Roman"/>
                <w:color w:val="auto"/>
                <w:kern w:val="0"/>
                <w:sz w:val="24"/>
                <w:szCs w:val="24"/>
                <w:vertAlign w:val="subscript"/>
                <w:lang w:val="en-US" w:eastAsia="zh-CN" w:bidi="ar-SA"/>
              </w:rPr>
              <w:t>2</w:t>
            </w:r>
            <w:r>
              <w:rPr>
                <w:rFonts w:hint="eastAsia" w:ascii="Times New Roman" w:hAnsi="宋体" w:eastAsia="宋体" w:cs="Times New Roman"/>
                <w:color w:val="auto"/>
                <w:kern w:val="0"/>
                <w:sz w:val="24"/>
                <w:szCs w:val="24"/>
                <w:lang w:val="en-US" w:eastAsia="zh-CN" w:bidi="ar-SA"/>
              </w:rPr>
              <w:t>、CO、O</w:t>
            </w:r>
            <w:r>
              <w:rPr>
                <w:rFonts w:hint="eastAsia" w:ascii="Times New Roman" w:hAnsi="宋体" w:eastAsia="宋体" w:cs="Times New Roman"/>
                <w:color w:val="auto"/>
                <w:kern w:val="0"/>
                <w:sz w:val="24"/>
                <w:szCs w:val="24"/>
                <w:vertAlign w:val="subscript"/>
                <w:lang w:val="en-US" w:eastAsia="zh-CN" w:bidi="ar-SA"/>
              </w:rPr>
              <w:t>3</w:t>
            </w:r>
            <w:r>
              <w:rPr>
                <w:rFonts w:hint="eastAsia" w:ascii="Times New Roman" w:hAnsi="宋体" w:eastAsia="宋体" w:cs="Times New Roman"/>
                <w:color w:val="auto"/>
                <w:kern w:val="0"/>
                <w:sz w:val="24"/>
                <w:szCs w:val="24"/>
                <w:lang w:val="en-US" w:eastAsia="zh-CN" w:bidi="ar-SA"/>
              </w:rPr>
              <w:t>满足《环境空气质量标准》（GB3095-2026）中二级标准限值，PM</w:t>
            </w:r>
            <w:r>
              <w:rPr>
                <w:rFonts w:hint="eastAsia" w:ascii="Times New Roman" w:hAnsi="宋体" w:eastAsia="宋体" w:cs="Times New Roman"/>
                <w:color w:val="auto"/>
                <w:kern w:val="0"/>
                <w:sz w:val="24"/>
                <w:szCs w:val="24"/>
                <w:vertAlign w:val="subscript"/>
                <w:lang w:val="en-US" w:eastAsia="zh-CN" w:bidi="ar-SA"/>
              </w:rPr>
              <w:t>2.5</w:t>
            </w:r>
            <w:r>
              <w:rPr>
                <w:rFonts w:hint="eastAsia" w:ascii="Times New Roman" w:hAnsi="宋体" w:eastAsia="宋体" w:cs="Times New Roman"/>
                <w:color w:val="auto"/>
                <w:kern w:val="0"/>
                <w:sz w:val="24"/>
                <w:szCs w:val="24"/>
                <w:lang w:val="en-US" w:eastAsia="zh-CN" w:bidi="ar-SA"/>
              </w:rPr>
              <w:t>、PM</w:t>
            </w:r>
            <w:r>
              <w:rPr>
                <w:rFonts w:hint="eastAsia" w:ascii="Times New Roman" w:hAnsi="宋体" w:eastAsia="宋体" w:cs="Times New Roman"/>
                <w:color w:val="auto"/>
                <w:kern w:val="0"/>
                <w:sz w:val="24"/>
                <w:szCs w:val="24"/>
                <w:vertAlign w:val="subscript"/>
                <w:lang w:val="en-US" w:eastAsia="zh-CN" w:bidi="ar-SA"/>
              </w:rPr>
              <w:t>10</w:t>
            </w:r>
            <w:r>
              <w:rPr>
                <w:rFonts w:hint="eastAsia" w:ascii="Times New Roman" w:hAnsi="宋体" w:eastAsia="宋体" w:cs="Times New Roman"/>
                <w:color w:val="auto"/>
                <w:kern w:val="0"/>
                <w:sz w:val="24"/>
                <w:szCs w:val="24"/>
                <w:lang w:val="en-US" w:eastAsia="zh-CN" w:bidi="ar-SA"/>
              </w:rPr>
              <w:t>不满足《环境空气质量标准》（GB3095-2026）中二级标准限值，项目所在区域判定为不达标区。淮南市生态环境局就空气质量不达标提出一系列举措，为确保淮南市大气污染防治工作有效推进，目前，淮南市制定了《淮南市空气质量提升攻坚行动实施方案》，《淮南市公开空气质量提升攻坚行动专项督察报告整改方案》，围绕煤系固废、扬尘、移动污染源、餐饮油烟、恶臭异味、秸秆综合利用和禁烧等开展专项治理活动，进一步削减大气污染物排放。本项目周边较大的地表水体主要为永幸河的支流，根据《</w:t>
            </w:r>
            <w:r>
              <w:rPr>
                <w:rFonts w:hint="eastAsia" w:hAnsi="宋体" w:cs="Times New Roman"/>
                <w:color w:val="auto"/>
                <w:kern w:val="0"/>
                <w:sz w:val="24"/>
                <w:szCs w:val="24"/>
                <w:lang w:val="en-US" w:eastAsia="zh-CN" w:bidi="ar-SA"/>
              </w:rPr>
              <w:t>2025年淮南市生态环境质量状况公报</w:t>
            </w:r>
            <w:r>
              <w:rPr>
                <w:rFonts w:hint="eastAsia" w:ascii="Times New Roman" w:hAnsi="宋体" w:eastAsia="宋体" w:cs="Times New Roman"/>
                <w:color w:val="auto"/>
                <w:kern w:val="0"/>
                <w:sz w:val="24"/>
                <w:szCs w:val="24"/>
                <w:lang w:val="en-US" w:eastAsia="zh-CN" w:bidi="ar-SA"/>
              </w:rPr>
              <w:t>》，</w:t>
            </w:r>
            <w:r>
              <w:rPr>
                <w:rFonts w:hint="default" w:ascii="Times New Roman" w:hAnsi="宋体" w:eastAsia="宋体" w:cs="Times New Roman"/>
                <w:color w:val="auto"/>
                <w:kern w:val="0"/>
                <w:sz w:val="24"/>
                <w:szCs w:val="24"/>
                <w:lang w:val="en-US" w:eastAsia="zh-CN" w:bidi="ar-SA"/>
              </w:rPr>
              <w:t>永幸河水质状况为优</w:t>
            </w:r>
            <w:r>
              <w:rPr>
                <w:rFonts w:hint="eastAsia" w:ascii="Times New Roman" w:hAnsi="宋体" w:eastAsia="宋体" w:cs="Times New Roman"/>
                <w:color w:val="auto"/>
                <w:kern w:val="0"/>
                <w:sz w:val="24"/>
                <w:szCs w:val="24"/>
                <w:lang w:val="en-US" w:eastAsia="zh-CN" w:bidi="ar-SA"/>
              </w:rPr>
              <w:t>。</w:t>
            </w:r>
          </w:p>
          <w:p w14:paraId="04895E34">
            <w:pPr>
              <w:pStyle w:val="17"/>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firstLine="480" w:firstLineChars="200"/>
              <w:textAlignment w:val="auto"/>
              <w:rPr>
                <w:rFonts w:hint="eastAsia" w:ascii="Times New Roman" w:hAnsi="宋体" w:eastAsia="宋体" w:cs="Times New Roman"/>
                <w:color w:val="auto"/>
                <w:kern w:val="0"/>
                <w:sz w:val="24"/>
                <w:szCs w:val="24"/>
                <w:lang w:val="en-US" w:eastAsia="zh-CN" w:bidi="ar-SA"/>
              </w:rPr>
            </w:pPr>
            <w:r>
              <w:rPr>
                <w:rFonts w:hint="eastAsia" w:ascii="Times New Roman" w:hAnsi="宋体" w:eastAsia="宋体" w:cs="Times New Roman"/>
                <w:color w:val="auto"/>
                <w:kern w:val="0"/>
                <w:sz w:val="24"/>
                <w:szCs w:val="24"/>
                <w:lang w:val="en-US" w:eastAsia="zh-CN" w:bidi="ar-SA"/>
              </w:rPr>
              <w:t>根据本次评价对拟建项目工程分析和环境影响分析结果可知，项目在施工过程中排放的各类污染物对评价区域地表水环境、空气环境、声环境质量产生的影响均在环境承载力范围内，不会降低现有环境功能。</w:t>
            </w:r>
          </w:p>
          <w:p w14:paraId="17CDA0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default" w:cs="Times New Roman"/>
                <w:color w:val="auto"/>
                <w:sz w:val="24"/>
                <w:szCs w:val="24"/>
              </w:rPr>
              <w:t>根</w:t>
            </w:r>
            <w:r>
              <w:rPr>
                <w:rFonts w:hint="default" w:ascii="Times New Roman" w:hAnsi="Times New Roman" w:cs="Times New Roman"/>
                <w:color w:val="auto"/>
                <w:sz w:val="24"/>
                <w:szCs w:val="24"/>
              </w:rPr>
              <w:t>据安徽省“三线一</w:t>
            </w:r>
            <w:r>
              <w:rPr>
                <w:rFonts w:hint="default" w:ascii="Times New Roman" w:hAnsi="Times New Roman" w:cs="Times New Roman"/>
                <w:color w:val="auto"/>
                <w:sz w:val="24"/>
                <w:szCs w:val="24"/>
                <w:highlight w:val="none"/>
              </w:rPr>
              <w:t>单”公众服务平台查询，</w:t>
            </w:r>
            <w:r>
              <w:rPr>
                <w:rFonts w:hint="eastAsia" w:ascii="Times New Roman" w:hAnsi="Times New Roman" w:cs="Times New Roman"/>
                <w:color w:val="auto"/>
                <w:sz w:val="24"/>
                <w:szCs w:val="24"/>
                <w:highlight w:val="none"/>
                <w:lang w:eastAsia="zh-CN"/>
              </w:rPr>
              <w:t>将</w:t>
            </w:r>
            <w:r>
              <w:rPr>
                <w:rFonts w:hint="eastAsia" w:ascii="Times New Roman" w:hAnsi="Times New Roman" w:cs="Times New Roman"/>
                <w:color w:val="auto"/>
                <w:sz w:val="24"/>
                <w:szCs w:val="24"/>
                <w:highlight w:val="none"/>
                <w:lang w:val="en-US" w:eastAsia="zh-CN"/>
              </w:rPr>
              <w:t>项目位置</w:t>
            </w:r>
            <w:r>
              <w:rPr>
                <w:rFonts w:hint="default" w:ascii="Times New Roman" w:hAnsi="Times New Roman" w:cs="Times New Roman"/>
                <w:color w:val="auto"/>
                <w:sz w:val="24"/>
                <w:szCs w:val="24"/>
                <w:highlight w:val="none"/>
              </w:rPr>
              <w:t>与“三线一单”成果数据</w:t>
            </w:r>
            <w:r>
              <w:rPr>
                <w:rFonts w:hint="eastAsia" w:ascii="Times New Roman" w:hAnsi="Times New Roman" w:cs="Times New Roman"/>
                <w:color w:val="auto"/>
                <w:sz w:val="24"/>
                <w:szCs w:val="24"/>
                <w:highlight w:val="none"/>
                <w:lang w:eastAsia="zh-CN"/>
              </w:rPr>
              <w:t>进行分析</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本项目</w:t>
            </w:r>
            <w:r>
              <w:rPr>
                <w:rFonts w:hint="default" w:ascii="Times New Roman" w:hAnsi="Times New Roman" w:cs="Times New Roman"/>
                <w:color w:val="auto"/>
                <w:sz w:val="24"/>
                <w:szCs w:val="24"/>
                <w:highlight w:val="none"/>
                <w:lang w:val="en-US" w:eastAsia="zh-CN"/>
              </w:rPr>
              <w:t>点位与</w:t>
            </w:r>
            <w:r>
              <w:rPr>
                <w:rFonts w:hint="default" w:ascii="Times New Roman" w:hAnsi="Times New Roman" w:cs="Times New Roman"/>
                <w:color w:val="auto"/>
                <w:sz w:val="24"/>
                <w:szCs w:val="24"/>
                <w:highlight w:val="none"/>
              </w:rPr>
              <w:t>1个环境管控单元存在交叠，其中优先保护</w:t>
            </w:r>
            <w:r>
              <w:rPr>
                <w:rFonts w:hint="default" w:ascii="Times New Roman" w:hAnsi="Times New Roman" w:eastAsia="宋体" w:cs="Times New Roman"/>
                <w:color w:val="auto"/>
                <w:sz w:val="24"/>
                <w:szCs w:val="24"/>
                <w:highlight w:val="none"/>
                <w:lang w:eastAsia="zh-CN"/>
              </w:rPr>
              <w:t>类0个，重点管控类</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eastAsia="zh-CN"/>
              </w:rPr>
              <w:t>个，一般管控类</w:t>
            </w: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个</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环境管控单元名称：</w:t>
            </w:r>
            <w:r>
              <w:rPr>
                <w:rFonts w:hint="default" w:ascii="Times New Roman" w:hAnsi="Times New Roman" w:eastAsia="宋体" w:cs="Times New Roman"/>
                <w:color w:val="auto"/>
                <w:sz w:val="24"/>
                <w:szCs w:val="24"/>
                <w:highlight w:val="none"/>
                <w:lang w:val="en-US" w:eastAsia="zh-CN"/>
              </w:rPr>
              <w:t>一般管控单元6</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环境管控单元编码：</w:t>
            </w:r>
            <w:r>
              <w:rPr>
                <w:rFonts w:hint="default" w:ascii="Times New Roman" w:hAnsi="Times New Roman" w:eastAsia="宋体" w:cs="Times New Roman"/>
                <w:color w:val="auto"/>
                <w:sz w:val="24"/>
                <w:szCs w:val="24"/>
                <w:highlight w:val="none"/>
                <w:lang w:val="en-US" w:eastAsia="zh-CN"/>
              </w:rPr>
              <w:t>ZH34042130003</w:t>
            </w:r>
            <w:r>
              <w:rPr>
                <w:rFonts w:hint="eastAsia" w:ascii="Times New Roman" w:hAnsi="Times New Roman" w:eastAsia="宋体" w:cs="Times New Roman"/>
                <w:color w:val="auto"/>
                <w:sz w:val="24"/>
                <w:szCs w:val="24"/>
                <w:highlight w:val="none"/>
                <w:lang w:val="en-US" w:eastAsia="zh-CN"/>
              </w:rPr>
              <w:t>，管控要求及符合性分析如下：</w:t>
            </w:r>
          </w:p>
          <w:p w14:paraId="53BE4AC2">
            <w:pPr>
              <w:keepNext w:val="0"/>
              <w:keepLines w:val="0"/>
              <w:suppressLineNumbers w:val="0"/>
              <w:autoSpaceDE w:val="0"/>
              <w:autoSpaceDN w:val="0"/>
              <w:spacing w:before="0" w:beforeAutospacing="0" w:after="0" w:afterAutospacing="0" w:line="360" w:lineRule="auto"/>
              <w:ind w:left="0" w:right="0"/>
              <w:rPr>
                <w:rFonts w:hint="default" w:ascii="Times New Roman" w:hAnsi="Times New Roman" w:eastAsia="宋体" w:cs="Times New Roman"/>
                <w:color w:val="auto"/>
                <w:sz w:val="24"/>
                <w:szCs w:val="24"/>
                <w:highlight w:val="none"/>
                <w:lang w:val="en-US" w:eastAsia="zh-CN"/>
              </w:rPr>
            </w:pPr>
            <w:r>
              <w:rPr>
                <w:rFonts w:hint="default" w:cs="Times New Roman"/>
              </w:rPr>
              <w:drawing>
                <wp:inline distT="0" distB="0" distL="114300" distR="114300">
                  <wp:extent cx="4486275" cy="2291080"/>
                  <wp:effectExtent l="0" t="0" r="9525" b="13970"/>
                  <wp:docPr id="4"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29"/>
                          <pic:cNvPicPr>
                            <a:picLocks noChangeAspect="1"/>
                          </pic:cNvPicPr>
                        </pic:nvPicPr>
                        <pic:blipFill>
                          <a:blip r:embed="rId8"/>
                          <a:stretch>
                            <a:fillRect/>
                          </a:stretch>
                        </pic:blipFill>
                        <pic:spPr>
                          <a:xfrm>
                            <a:off x="0" y="0"/>
                            <a:ext cx="4486275" cy="2291080"/>
                          </a:xfrm>
                          <a:prstGeom prst="rect">
                            <a:avLst/>
                          </a:prstGeom>
                          <a:noFill/>
                          <a:ln>
                            <a:noFill/>
                          </a:ln>
                        </pic:spPr>
                      </pic:pic>
                    </a:graphicData>
                  </a:graphic>
                </wp:inline>
              </w:drawing>
            </w:r>
          </w:p>
          <w:p w14:paraId="40A578BF">
            <w:pPr>
              <w:keepNext w:val="0"/>
              <w:keepLines w:val="0"/>
              <w:numPr>
                <w:ilvl w:val="0"/>
                <w:numId w:val="7"/>
              </w:numPr>
              <w:suppressLineNumbers w:val="0"/>
              <w:spacing w:before="0" w:beforeAutospacing="0" w:after="0" w:afterAutospacing="0" w:line="360" w:lineRule="auto"/>
              <w:ind w:left="0" w:leftChars="0" w:right="0" w:firstLine="560" w:firstLineChars="0"/>
              <w:jc w:val="center"/>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 xml:space="preserve">   项目在“三线一单”生态环境分区中的位置示意图</w:t>
            </w:r>
          </w:p>
          <w:p w14:paraId="4A2D7A5B">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eastAsia="宋体" w:cs="Times New Roman"/>
                <w:color w:val="auto"/>
                <w:kern w:val="0"/>
                <w:sz w:val="24"/>
                <w:highlight w:val="none"/>
                <w:lang w:eastAsia="zh-CN"/>
              </w:rPr>
            </w:pPr>
            <w:r>
              <w:rPr>
                <w:rFonts w:hint="eastAsia" w:cs="Times New Roman"/>
                <w:b/>
                <w:bCs/>
                <w:color w:val="auto"/>
                <w:highlight w:val="none"/>
                <w:lang w:val="en-US" w:eastAsia="zh-CN"/>
              </w:rPr>
              <w:t xml:space="preserve"> </w:t>
            </w:r>
            <w:r>
              <w:rPr>
                <w:rFonts w:hint="eastAsia" w:cs="Times New Roman"/>
                <w:b/>
                <w:bCs/>
                <w:color w:val="auto"/>
                <w:highlight w:val="none"/>
              </w:rPr>
              <w:t>环境管控单元管控要求</w:t>
            </w:r>
            <w:r>
              <w:rPr>
                <w:rFonts w:hint="eastAsia" w:cs="Times New Roman"/>
                <w:b/>
                <w:bCs/>
                <w:color w:val="auto"/>
                <w:highlight w:val="none"/>
                <w:lang w:eastAsia="zh-CN"/>
              </w:rPr>
              <w:t>及符合性分析</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851"/>
              <w:gridCol w:w="4078"/>
              <w:gridCol w:w="1292"/>
              <w:gridCol w:w="336"/>
            </w:tblGrid>
            <w:tr w14:paraId="0EBB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pct"/>
                  <w:noWrap w:val="0"/>
                  <w:vAlign w:val="center"/>
                </w:tcPr>
                <w:p w14:paraId="727B206D">
                  <w:pPr>
                    <w:keepNext w:val="0"/>
                    <w:keepLines w:val="0"/>
                    <w:suppressLineNumbers w:val="0"/>
                    <w:spacing w:before="0" w:beforeAutospacing="0" w:after="0" w:afterAutospacing="0"/>
                    <w:ind w:left="0" w:right="0"/>
                    <w:jc w:val="center"/>
                    <w:rPr>
                      <w:rFonts w:hint="default" w:cs="Times New Roman"/>
                      <w:color w:val="auto"/>
                      <w:kern w:val="0"/>
                      <w:szCs w:val="21"/>
                      <w:highlight w:val="none"/>
                    </w:rPr>
                  </w:pPr>
                  <w:r>
                    <w:rPr>
                      <w:rFonts w:hint="default" w:cs="Times New Roman"/>
                      <w:color w:val="auto"/>
                      <w:kern w:val="0"/>
                      <w:szCs w:val="21"/>
                      <w:highlight w:val="none"/>
                    </w:rPr>
                    <w:t>环境管控单元编码</w:t>
                  </w:r>
                </w:p>
              </w:tc>
              <w:tc>
                <w:tcPr>
                  <w:tcW w:w="540" w:type="pct"/>
                  <w:noWrap w:val="0"/>
                  <w:vAlign w:val="center"/>
                </w:tcPr>
                <w:p w14:paraId="0879241B">
                  <w:pPr>
                    <w:keepNext w:val="0"/>
                    <w:keepLines w:val="0"/>
                    <w:suppressLineNumbers w:val="0"/>
                    <w:spacing w:before="0" w:beforeAutospacing="0" w:after="0" w:afterAutospacing="0"/>
                    <w:ind w:left="0" w:right="0"/>
                    <w:jc w:val="center"/>
                    <w:rPr>
                      <w:rFonts w:hint="eastAsia" w:cs="Times New Roman"/>
                      <w:color w:val="auto"/>
                      <w:kern w:val="0"/>
                      <w:szCs w:val="21"/>
                      <w:highlight w:val="none"/>
                    </w:rPr>
                  </w:pPr>
                  <w:r>
                    <w:rPr>
                      <w:rFonts w:hint="default" w:cs="Times New Roman"/>
                      <w:color w:val="auto"/>
                      <w:kern w:val="0"/>
                      <w:szCs w:val="21"/>
                      <w:highlight w:val="none"/>
                    </w:rPr>
                    <w:t>管控类</w:t>
                  </w:r>
                  <w:r>
                    <w:rPr>
                      <w:rFonts w:hint="eastAsia" w:cs="Times New Roman"/>
                      <w:color w:val="auto"/>
                      <w:kern w:val="0"/>
                      <w:szCs w:val="21"/>
                      <w:highlight w:val="none"/>
                    </w:rPr>
                    <w:t>别</w:t>
                  </w:r>
                </w:p>
              </w:tc>
              <w:tc>
                <w:tcPr>
                  <w:tcW w:w="2589" w:type="pct"/>
                  <w:noWrap w:val="0"/>
                  <w:vAlign w:val="center"/>
                </w:tcPr>
                <w:p w14:paraId="2679CE61">
                  <w:pPr>
                    <w:keepNext w:val="0"/>
                    <w:keepLines w:val="0"/>
                    <w:suppressLineNumbers w:val="0"/>
                    <w:spacing w:before="0" w:beforeAutospacing="0" w:after="0" w:afterAutospacing="0"/>
                    <w:ind w:left="0" w:right="0"/>
                    <w:jc w:val="center"/>
                    <w:rPr>
                      <w:rFonts w:hint="default" w:cs="Times New Roman"/>
                      <w:color w:val="auto"/>
                      <w:kern w:val="0"/>
                      <w:szCs w:val="21"/>
                      <w:highlight w:val="none"/>
                    </w:rPr>
                  </w:pPr>
                  <w:r>
                    <w:rPr>
                      <w:rFonts w:hint="default" w:cs="Times New Roman"/>
                      <w:color w:val="auto"/>
                      <w:kern w:val="0"/>
                      <w:szCs w:val="21"/>
                      <w:highlight w:val="none"/>
                    </w:rPr>
                    <w:t>管控要求</w:t>
                  </w:r>
                </w:p>
              </w:tc>
              <w:tc>
                <w:tcPr>
                  <w:tcW w:w="820" w:type="pct"/>
                  <w:noWrap w:val="0"/>
                  <w:vAlign w:val="center"/>
                </w:tcPr>
                <w:p w14:paraId="69830D94">
                  <w:pPr>
                    <w:pStyle w:val="115"/>
                    <w:keepNext w:val="0"/>
                    <w:keepLines w:val="0"/>
                    <w:suppressLineNumbers w:val="0"/>
                    <w:spacing w:before="0" w:beforeAutospacing="0" w:after="0" w:afterAutospacing="0"/>
                    <w:ind w:left="0" w:right="0" w:firstLine="0" w:firstLineChars="0"/>
                    <w:rPr>
                      <w:rFonts w:hint="default"/>
                      <w:color w:val="auto"/>
                      <w:kern w:val="0"/>
                      <w:szCs w:val="21"/>
                      <w:highlight w:val="none"/>
                    </w:rPr>
                  </w:pPr>
                  <w:r>
                    <w:rPr>
                      <w:rFonts w:hint="eastAsia"/>
                      <w:b/>
                      <w:bCs/>
                      <w:color w:val="auto"/>
                      <w:highlight w:val="none"/>
                    </w:rPr>
                    <w:t>本项目情况</w:t>
                  </w:r>
                </w:p>
              </w:tc>
              <w:tc>
                <w:tcPr>
                  <w:tcW w:w="213" w:type="pct"/>
                  <w:noWrap w:val="0"/>
                  <w:vAlign w:val="center"/>
                </w:tcPr>
                <w:p w14:paraId="2B12C669">
                  <w:pPr>
                    <w:pStyle w:val="115"/>
                    <w:keepNext w:val="0"/>
                    <w:keepLines w:val="0"/>
                    <w:suppressLineNumbers w:val="0"/>
                    <w:spacing w:before="0" w:beforeAutospacing="0" w:after="0" w:afterAutospacing="0"/>
                    <w:ind w:left="0" w:right="0"/>
                    <w:jc w:val="both"/>
                    <w:rPr>
                      <w:rFonts w:hint="eastAsia"/>
                      <w:b/>
                      <w:bCs/>
                      <w:color w:val="auto"/>
                      <w:highlight w:val="none"/>
                    </w:rPr>
                  </w:pPr>
                  <w:r>
                    <w:rPr>
                      <w:rFonts w:hint="eastAsia"/>
                      <w:b/>
                      <w:bCs/>
                      <w:color w:val="auto"/>
                      <w:highlight w:val="none"/>
                    </w:rPr>
                    <w:t>是否</w:t>
                  </w:r>
                </w:p>
                <w:p w14:paraId="0F21737F">
                  <w:pPr>
                    <w:pStyle w:val="115"/>
                    <w:keepNext w:val="0"/>
                    <w:keepLines w:val="0"/>
                    <w:suppressLineNumbers w:val="0"/>
                    <w:spacing w:before="0" w:beforeAutospacing="0" w:after="0" w:afterAutospacing="0"/>
                    <w:ind w:left="0" w:right="0" w:firstLine="0" w:firstLineChars="0"/>
                    <w:jc w:val="both"/>
                    <w:rPr>
                      <w:rFonts w:hint="default"/>
                      <w:color w:val="auto"/>
                      <w:kern w:val="0"/>
                      <w:szCs w:val="21"/>
                      <w:highlight w:val="none"/>
                    </w:rPr>
                  </w:pPr>
                  <w:r>
                    <w:rPr>
                      <w:rFonts w:hint="eastAsia"/>
                      <w:b/>
                      <w:bCs/>
                      <w:color w:val="auto"/>
                      <w:highlight w:val="none"/>
                    </w:rPr>
                    <w:t>相符</w:t>
                  </w:r>
                </w:p>
              </w:tc>
            </w:tr>
            <w:tr w14:paraId="3C77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pct"/>
                  <w:noWrap w:val="0"/>
                  <w:vAlign w:val="center"/>
                </w:tcPr>
                <w:p w14:paraId="1154823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一般管控单元6（</w:t>
                  </w:r>
                  <w:r>
                    <w:rPr>
                      <w:rFonts w:hint="eastAsia" w:ascii="Times New Roman" w:hAnsi="Times New Roman" w:eastAsia="宋体" w:cs="Times New Roman"/>
                      <w:color w:val="auto"/>
                      <w:sz w:val="21"/>
                      <w:szCs w:val="21"/>
                      <w:highlight w:val="none"/>
                      <w:lang w:eastAsia="zh-CN"/>
                    </w:rPr>
                    <w:t>ZH34042130003</w:t>
                  </w:r>
                  <w:r>
                    <w:rPr>
                      <w:rFonts w:hint="eastAsia" w:ascii="Times New Roman" w:hAnsi="Times New Roman" w:eastAsia="宋体" w:cs="Times New Roman"/>
                      <w:color w:val="auto"/>
                      <w:sz w:val="21"/>
                      <w:szCs w:val="21"/>
                      <w:highlight w:val="none"/>
                      <w:lang w:val="en-US" w:eastAsia="zh-CN"/>
                    </w:rPr>
                    <w:t>）</w:t>
                  </w:r>
                </w:p>
              </w:tc>
              <w:tc>
                <w:tcPr>
                  <w:tcW w:w="540" w:type="pct"/>
                  <w:noWrap w:val="0"/>
                  <w:vAlign w:val="center"/>
                </w:tcPr>
                <w:p w14:paraId="4AF7046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空间布局约束</w:t>
                  </w:r>
                </w:p>
              </w:tc>
              <w:tc>
                <w:tcPr>
                  <w:tcW w:w="2589" w:type="pct"/>
                  <w:noWrap w:val="0"/>
                  <w:vAlign w:val="center"/>
                </w:tcPr>
                <w:p w14:paraId="2BD1AF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禁止任何单位和个人在基本农田保护区内建窑、建房、建坟、挖砂、采石、采矿、取土、堆放固体废弃物或者进行其他破坏基本农田的活动。</w:t>
                  </w:r>
                </w:p>
                <w:p w14:paraId="10729B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禁止任何单位和个人占用基本农田发展林果业和挖塘养鱼。</w:t>
                  </w:r>
                </w:p>
                <w:p w14:paraId="76B42D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禁止生产、销售、使用国家明令禁止的农业投入品。农业投入品生产者、销售者和使用者应当及时回收农药、肥料等农业投入品的包装废弃物和农用薄膜，并将农药包装废弃物交由专门的机构或者组织进行无害化处理。</w:t>
                  </w:r>
                </w:p>
                <w:p w14:paraId="7AB3F4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在永久基本农田集中区域，不得规划新建可能造成土壤污染的建设项目。</w:t>
                  </w:r>
                </w:p>
                <w:p w14:paraId="219E07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 xml:space="preserve"> 基本农田保护区内禁止下列行为:</w:t>
                  </w:r>
                </w:p>
                <w:p w14:paraId="6F1410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(一)擅自将耕地改为非耕地;</w:t>
                  </w:r>
                </w:p>
                <w:p w14:paraId="738167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(二)闲置、荒芜耕地;</w:t>
                  </w:r>
                </w:p>
                <w:p w14:paraId="7045D3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(三)建窑、建房、建坟;</w:t>
                  </w:r>
                </w:p>
                <w:p w14:paraId="173E68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(四)擅自挖沙、采石、采矿、取土;</w:t>
                  </w:r>
                </w:p>
                <w:p w14:paraId="5A86C3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(五)排放污染性的废水、废气，堆放固体废弃物;</w:t>
                  </w:r>
                </w:p>
                <w:p w14:paraId="33C8FC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(六)向基本农田提供不符合国家有关标准的肥料、农药;</w:t>
                  </w:r>
                </w:p>
                <w:p w14:paraId="5EF747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(七)毁坏水利排灌设施;</w:t>
                  </w:r>
                </w:p>
                <w:p w14:paraId="0404B2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(八)擅自砍伐农田防护林和水土保持林;</w:t>
                  </w:r>
                </w:p>
                <w:p w14:paraId="74A6A8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(九)破坏或擅自改变基本农田保护区标志;</w:t>
                  </w:r>
                </w:p>
                <w:p w14:paraId="0BE188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(十)其他破坏基本农田的行为。</w:t>
                  </w:r>
                </w:p>
                <w:p w14:paraId="210DE6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在基本农田保护区内不得设立非农业开发区和工业小区。</w:t>
                  </w:r>
                </w:p>
                <w:p w14:paraId="401EF2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各级人民政府应当采取措施对耕地实行特殊保护，禁止违法占用耕地从事非农业建设，严格控制耕地转为林地、草地、园地等其他农用地，确保耕地优先用于粮食和蔬菜、油、棉、糖等农产品生产。实行耕地保护补偿激励制度，具体按照国家和省有关规定执行。</w:t>
                  </w:r>
                </w:p>
                <w:p w14:paraId="311137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加大优先保护类耕地保护力度，综合采取占补数量和质量平衡、高标准农田建设、周边污染企业搬迁整治等措施。</w:t>
                  </w:r>
                </w:p>
                <w:p w14:paraId="26B734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提倡和鼓励农业生产者对其经营的基本农田施用有机肥料，合理施用化肥和农药。利用基本农田从事农业生产的单位和个人应当保持和培肥地力。</w:t>
                  </w:r>
                </w:p>
                <w:p w14:paraId="2B11FE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严格控制在优先保护类耕地集中区域新建有色金属冶炼、石油加工、化工、焦化、电镀、制革等行业企业，有关环境保护主管部门依法不予审批可能造成耕地土壤污染的建设项目环境影响报告书或者报告表。优先保护类耕地集中区域现有可能造成土壤污染的相关行业企业应当按照有关规定采取措施，防止对耕地造成污染。</w:t>
                  </w:r>
                </w:p>
                <w:p w14:paraId="145EBA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设施农业用地选址应当按照保护耕地、节约集约利用土地的原则，少占或者不占耕地。确需占用耕地的，应当采取措施加强对耕地耕作层的保护；设施农业用地不再使用的，应当及时组织恢复种植条件。</w:t>
                  </w:r>
                </w:p>
                <w:p w14:paraId="27117D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在永久基本农田集中区域，已建成可能造成</w:t>
                  </w: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土壤污染的建设项目，应当限期关闭拆除。</w:t>
                  </w:r>
                </w:p>
                <w:p w14:paraId="7FDD7E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禁止任何单位和个人闲置、荒芜基本农田。</w:t>
                  </w:r>
                </w:p>
              </w:tc>
              <w:tc>
                <w:tcPr>
                  <w:tcW w:w="820" w:type="pct"/>
                  <w:noWrap w:val="0"/>
                  <w:vAlign w:val="center"/>
                </w:tcPr>
                <w:p w14:paraId="57104D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本项目选址位于顾北煤矿现有工业场地内，用地性质属于工业用地，不涉及新增占地。项目</w:t>
                  </w:r>
                  <w:r>
                    <w:rPr>
                      <w:rFonts w:hint="eastAsia" w:ascii="Times New Roman" w:hAnsi="Times New Roman" w:eastAsia="宋体" w:cs="Times New Roman"/>
                      <w:color w:val="auto"/>
                      <w:sz w:val="21"/>
                      <w:szCs w:val="21"/>
                      <w:highlight w:val="none"/>
                      <w:lang w:eastAsia="zh-CN"/>
                    </w:rPr>
                    <w:t>为</w:t>
                  </w:r>
                  <w:r>
                    <w:rPr>
                      <w:rFonts w:hint="eastAsia" w:ascii="Times New Roman" w:hAnsi="Times New Roman" w:eastAsia="宋体" w:cs="Times New Roman"/>
                      <w:color w:val="auto"/>
                      <w:sz w:val="21"/>
                      <w:szCs w:val="21"/>
                      <w:highlight w:val="none"/>
                      <w:lang w:val="en-US" w:eastAsia="zh-CN"/>
                    </w:rPr>
                    <w:t>煤矿生产配套的瓦斯抽采工程</w:t>
                  </w:r>
                  <w:r>
                    <w:rPr>
                      <w:rFonts w:hint="eastAsia" w:ascii="Times New Roman" w:hAnsi="Times New Roman" w:eastAsia="宋体" w:cs="Times New Roman"/>
                      <w:color w:val="auto"/>
                      <w:sz w:val="21"/>
                      <w:szCs w:val="21"/>
                      <w:highlight w:val="none"/>
                      <w:lang w:eastAsia="zh-CN"/>
                    </w:rPr>
                    <w:t>，不属于空间布局约束中禁止类所列项目类型。</w:t>
                  </w:r>
                </w:p>
                <w:p w14:paraId="1C07C72C">
                  <w:pPr>
                    <w:pStyle w:val="115"/>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sz w:val="21"/>
                      <w:szCs w:val="21"/>
                      <w:highlight w:val="none"/>
                      <w:lang w:eastAsia="zh-CN"/>
                    </w:rPr>
                  </w:pPr>
                </w:p>
              </w:tc>
              <w:tc>
                <w:tcPr>
                  <w:tcW w:w="213" w:type="pct"/>
                  <w:noWrap w:val="0"/>
                  <w:vAlign w:val="center"/>
                </w:tcPr>
                <w:p w14:paraId="6621FDDC">
                  <w:pPr>
                    <w:keepNext w:val="0"/>
                    <w:keepLines w:val="0"/>
                    <w:suppressLineNumbers w:val="0"/>
                    <w:spacing w:before="0" w:beforeAutospacing="0" w:after="0" w:afterAutospacing="0" w:line="276" w:lineRule="auto"/>
                    <w:ind w:left="0" w:right="0"/>
                    <w:jc w:val="both"/>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符合</w:t>
                  </w:r>
                </w:p>
              </w:tc>
            </w:tr>
            <w:tr w14:paraId="0D0D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36" w:type="pct"/>
                  <w:noWrap w:val="0"/>
                  <w:vAlign w:val="center"/>
                </w:tcPr>
                <w:p w14:paraId="0E01309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p>
              </w:tc>
              <w:tc>
                <w:tcPr>
                  <w:tcW w:w="540" w:type="pct"/>
                  <w:noWrap w:val="0"/>
                  <w:vAlign w:val="center"/>
                </w:tcPr>
                <w:p w14:paraId="5346E0B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污染物排放管控</w:t>
                  </w:r>
                </w:p>
              </w:tc>
              <w:tc>
                <w:tcPr>
                  <w:tcW w:w="2589" w:type="pct"/>
                  <w:noWrap w:val="0"/>
                  <w:vAlign w:val="center"/>
                </w:tcPr>
                <w:p w14:paraId="68EEC9A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820" w:type="pct"/>
                  <w:noWrap w:val="0"/>
                  <w:vAlign w:val="center"/>
                </w:tcPr>
                <w:p w14:paraId="6F75B3F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213" w:type="pct"/>
                  <w:noWrap w:val="0"/>
                  <w:vAlign w:val="center"/>
                </w:tcPr>
                <w:p w14:paraId="5A20EF1E">
                  <w:pPr>
                    <w:keepNext w:val="0"/>
                    <w:keepLines w:val="0"/>
                    <w:suppressLineNumbers w:val="0"/>
                    <w:spacing w:before="0" w:beforeAutospacing="0" w:after="0" w:afterAutospacing="0" w:line="276" w:lineRule="auto"/>
                    <w:ind w:left="0" w:right="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5105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pct"/>
                  <w:noWrap w:val="0"/>
                  <w:vAlign w:val="center"/>
                </w:tcPr>
                <w:p w14:paraId="01C0A5E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p>
              </w:tc>
              <w:tc>
                <w:tcPr>
                  <w:tcW w:w="540" w:type="pct"/>
                  <w:noWrap w:val="0"/>
                  <w:vAlign w:val="center"/>
                </w:tcPr>
                <w:p w14:paraId="46EEF4BF">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资源开发效率要求</w:t>
                  </w:r>
                </w:p>
              </w:tc>
              <w:tc>
                <w:tcPr>
                  <w:tcW w:w="2589" w:type="pct"/>
                  <w:noWrap w:val="0"/>
                  <w:vAlign w:val="center"/>
                </w:tcPr>
                <w:p w14:paraId="6779E9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大气环境部分部分依据《中华人民共和国大气污染防治法》《打赢蓝天保卫战三年行动计划》《安徽省打赢蓝天保卫战三年行动计划实施方案》等法律法规和规章对一般管控区实施管控。上年度PM2.5不达标城市新建、 改建和扩建项目大气污染物实施“倍量替代”</w:t>
                  </w:r>
                  <w:r>
                    <w:rPr>
                      <w:rFonts w:hint="eastAsia" w:ascii="Times New Roman" w:hAnsi="Times New Roman" w:eastAsia="宋体" w:cs="Times New Roman"/>
                      <w:color w:val="auto"/>
                      <w:sz w:val="21"/>
                      <w:szCs w:val="21"/>
                      <w:highlight w:val="none"/>
                      <w:lang w:eastAsia="zh-CN"/>
                    </w:rPr>
                    <w:t>，对</w:t>
                  </w:r>
                  <w:r>
                    <w:rPr>
                      <w:rFonts w:hint="eastAsia" w:ascii="Times New Roman" w:hAnsi="Times New Roman" w:eastAsia="宋体" w:cs="Times New Roman"/>
                      <w:color w:val="auto"/>
                      <w:sz w:val="21"/>
                      <w:szCs w:val="21"/>
                      <w:highlight w:val="none"/>
                    </w:rPr>
                    <w:t>执行特别排放标准的行业实施提标升级改造。水环境部分依据《中华人民共和国水污染防治法》《水污染防治行动计划 》《安徽省水污染防治工作方案》及各市水污染防治工作方案对一般管控 区实施管控。 土壤环境部分依据《中华人民共和国土壤污染防治法》《土壤</w:t>
                  </w: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rPr>
                    <w:t>污染防治行 动计划》《安徽省土壤污染</w:t>
                  </w:r>
                  <w:r>
                    <w:rPr>
                      <w:rFonts w:hint="eastAsia"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rPr>
                    <w:t>防治工作方案》等要求及各市土壤污染防治工 作方案对一般管控区实施管控。资源利用部分落实《安徽省煤炭消费减量替代工作方案2018-2020年）》要求。落实《国务院办公厅关于印发实行最严格水资源管理制度考核办法 的通知》等要求。落实《安徽省土地利用总体规划（2006-2020年）调整方案等要求。《中华人民共和国大气污染防治法》《打赢蓝天保卫战三年行 动计划》《安徽省打赢蓝天保卫战三年行动计划实施方案》《中华人民共和国水污染防治法》《水污染防治行动计划》《安徽省水污染防治工作方案》《安徽省淮河流域水污染防治条例》对淮河流域实施管控；依据《中华人民共和国土壤污染防治法》《土壤污染防治行动计划》《安徽省土壤 污染防治工作方案》《国务院办公厅关于印发实行最严格水资源管理制度 考核办法的通知》《安徽省土地利用总体规划（2006-2025年）调整方案》</w:t>
                  </w:r>
                </w:p>
              </w:tc>
              <w:tc>
                <w:tcPr>
                  <w:tcW w:w="820" w:type="pct"/>
                  <w:noWrap w:val="0"/>
                  <w:vAlign w:val="center"/>
                </w:tcPr>
                <w:p w14:paraId="28DEAC53">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项目建设过程中严格</w:t>
                  </w:r>
                  <w:r>
                    <w:rPr>
                      <w:rFonts w:hint="eastAsia" w:ascii="Times New Roman" w:hAnsi="Times New Roman" w:eastAsia="宋体" w:cs="Times New Roman"/>
                      <w:color w:val="auto"/>
                      <w:sz w:val="21"/>
                      <w:szCs w:val="21"/>
                      <w:highlight w:val="none"/>
                      <w:lang w:val="en-US" w:eastAsia="zh-CN"/>
                    </w:rPr>
                    <w:t>执行现行有效的法律、法规及规范要求，按照管控要求实施本项目</w:t>
                  </w:r>
                  <w:r>
                    <w:rPr>
                      <w:rFonts w:hint="eastAsia" w:ascii="Times New Roman" w:hAnsi="Times New Roman" w:eastAsia="宋体" w:cs="Times New Roman"/>
                      <w:color w:val="auto"/>
                      <w:sz w:val="21"/>
                      <w:szCs w:val="21"/>
                      <w:highlight w:val="none"/>
                      <w:lang w:eastAsia="zh-CN"/>
                    </w:rPr>
                    <w:t>。</w:t>
                  </w:r>
                </w:p>
              </w:tc>
              <w:tc>
                <w:tcPr>
                  <w:tcW w:w="213" w:type="pct"/>
                  <w:noWrap w:val="0"/>
                  <w:vAlign w:val="center"/>
                </w:tcPr>
                <w:p w14:paraId="13316F11">
                  <w:pPr>
                    <w:keepNext w:val="0"/>
                    <w:keepLines w:val="0"/>
                    <w:suppressLineNumbers w:val="0"/>
                    <w:spacing w:before="0" w:beforeAutospacing="0" w:after="0" w:afterAutospacing="0" w:line="276" w:lineRule="auto"/>
                    <w:ind w:left="0" w:right="0"/>
                    <w:jc w:val="both"/>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符合</w:t>
                  </w:r>
                </w:p>
              </w:tc>
            </w:tr>
          </w:tbl>
          <w:p w14:paraId="04B9DED6">
            <w:pPr>
              <w:pStyle w:val="89"/>
              <w:keepNext w:val="0"/>
              <w:keepLines w:val="0"/>
              <w:suppressLineNumbers w:val="0"/>
              <w:spacing w:before="0" w:beforeAutospacing="0" w:after="0" w:afterAutospacing="0"/>
              <w:ind w:left="0" w:right="0" w:firstLine="482"/>
              <w:jc w:val="both"/>
              <w:rPr>
                <w:rFonts w:hint="eastAsia" w:cs="Times New Roman"/>
                <w:b/>
                <w:bCs/>
                <w:color w:val="auto"/>
              </w:rPr>
            </w:pPr>
            <w:r>
              <w:rPr>
                <w:rFonts w:hint="eastAsia" w:cs="Times New Roman"/>
                <w:b/>
                <w:bCs/>
                <w:color w:val="auto"/>
                <w:lang w:val="en-US" w:eastAsia="zh-CN"/>
              </w:rPr>
              <w:t>4</w:t>
            </w:r>
            <w:r>
              <w:rPr>
                <w:rFonts w:hint="eastAsia" w:cs="Times New Roman"/>
                <w:b/>
                <w:bCs/>
                <w:color w:val="auto"/>
              </w:rPr>
              <w:t>、与《关于进一步加快煤层气（煤矿瓦斯）抽采利用的意见》的相符性分析</w:t>
            </w:r>
          </w:p>
          <w:p w14:paraId="4A9FD527">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360" w:lineRule="auto"/>
              <w:ind w:left="17" w:leftChars="8" w:right="0" w:firstLine="259" w:firstLineChars="108"/>
              <w:jc w:val="left"/>
              <w:textAlignment w:val="auto"/>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国务院办公厅《关于进一步加快煤层气（煤矿瓦斯）抽采利用的意见》是为适应煤矿瓦斯防治和煤层气产业化发展的新形势，进一步加大政策扶持力度，加快煤层气（煤矿瓦斯）抽采利用，促进煤矿安全生产形势持续稳定好转，经国务院同意，在财政资金支持、税费政策扶持、煤层气价格和发电上网政策等方面的意见。</w:t>
            </w:r>
          </w:p>
          <w:p w14:paraId="31FFC443">
            <w:pPr>
              <w:pStyle w:val="89"/>
              <w:keepNext w:val="0"/>
              <w:keepLines w:val="0"/>
              <w:suppressLineNumbers w:val="0"/>
              <w:spacing w:before="0" w:beforeAutospacing="0" w:after="0" w:afterAutospacing="0"/>
              <w:ind w:left="0" w:right="0" w:firstLine="482"/>
              <w:jc w:val="both"/>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kern w:val="2"/>
                <w:sz w:val="24"/>
                <w:szCs w:val="24"/>
                <w:lang w:val="en-US" w:eastAsia="zh-CN" w:bidi="ar-SA"/>
              </w:rPr>
              <w:t xml:space="preserve"> 5、</w:t>
            </w:r>
            <w:r>
              <w:rPr>
                <w:rFonts w:hint="default" w:ascii="Times New Roman" w:hAnsi="Times New Roman" w:eastAsia="宋体" w:cs="Times New Roman"/>
                <w:b/>
                <w:bCs/>
                <w:color w:val="auto"/>
                <w:kern w:val="2"/>
                <w:sz w:val="24"/>
                <w:szCs w:val="24"/>
                <w:lang w:val="en-US" w:eastAsia="zh-CN" w:bidi="ar-SA"/>
              </w:rPr>
              <w:t>与生态</w:t>
            </w:r>
            <w:r>
              <w:rPr>
                <w:rFonts w:hint="default" w:ascii="Times New Roman" w:hAnsi="Times New Roman" w:eastAsia="宋体" w:cs="Times New Roman"/>
                <w:b/>
                <w:bCs/>
                <w:color w:val="auto"/>
                <w:lang w:val="en-US" w:eastAsia="zh-CN"/>
              </w:rPr>
              <w:t>环境部等11部门印发的《甲烷排放控制行动方案》的符合性分析</w:t>
            </w:r>
          </w:p>
          <w:p w14:paraId="2E93E46D">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
              </w:rPr>
              <w:t>《甲烷排放控制行动方案》</w:t>
            </w:r>
            <w:r>
              <w:rPr>
                <w:rFonts w:hint="eastAsia" w:ascii="Times New Roman" w:hAnsi="Times New Roman" w:eastAsia="宋体" w:cs="Times New Roman"/>
                <w:b w:val="0"/>
                <w:bCs w:val="0"/>
                <w:color w:val="auto"/>
                <w:kern w:val="0"/>
                <w:sz w:val="24"/>
                <w:szCs w:val="24"/>
                <w:lang w:val="en-US" w:eastAsia="zh-CN" w:bidi="ar"/>
              </w:rPr>
              <w:t>指出：“</w:t>
            </w:r>
            <w:r>
              <w:rPr>
                <w:rFonts w:hint="eastAsia" w:ascii="Times New Roman" w:hAnsi="Times New Roman" w:eastAsia="宋体" w:cs="Times New Roman"/>
                <w:color w:val="auto"/>
                <w:kern w:val="2"/>
                <w:sz w:val="24"/>
                <w:szCs w:val="24"/>
                <w:lang w:val="en-US" w:eastAsia="zh-CN" w:bidi="ar-SA"/>
              </w:rPr>
              <w:t>十五五</w:t>
            </w:r>
            <w:r>
              <w:rPr>
                <w:rFonts w:hint="eastAsia" w:ascii="Times New Roman" w:hAnsi="Times New Roman" w:eastAsia="宋体" w:cs="Times New Roman"/>
                <w:b w:val="0"/>
                <w:bCs w:val="0"/>
                <w:color w:val="auto"/>
                <w:kern w:val="0"/>
                <w:sz w:val="24"/>
                <w:szCs w:val="24"/>
                <w:lang w:val="en-US" w:eastAsia="zh-CN" w:bidi="ar"/>
              </w:rPr>
              <w:t>”</w:t>
            </w:r>
            <w:r>
              <w:rPr>
                <w:rFonts w:hint="eastAsia" w:ascii="Times New Roman" w:hAnsi="Times New Roman" w:eastAsia="宋体" w:cs="Times New Roman"/>
                <w:color w:val="auto"/>
                <w:kern w:val="2"/>
                <w:sz w:val="24"/>
                <w:szCs w:val="24"/>
                <w:lang w:val="en-US" w:eastAsia="zh-CN" w:bidi="ar-SA"/>
              </w:rPr>
              <w:t>期间，甲烷排放控制政策、技术和标准体系进一步完善，甲烷排放统计核算、监测监管等基础能力明显提升，甲烷排放控制能力和管理水平有效提高。煤矿瓦斯利用水平进一步提高；鼓励引导煤炭企业加大煤矿瓦斯抽采利用；</w:t>
            </w:r>
          </w:p>
          <w:p w14:paraId="57EFBBA8">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强化甲烷排放控制监管。全面落实煤矿瓦斯排放限值、生活垃圾填埋场污染控制、城镇污水处理厂污染物排放等标准，加强甲烷排放数据质量监管，探索利用卫星遥感等技术开展甲烷异常排放监管。保障甲烷排放监管工作经费，持续提升专业化监管能力。</w:t>
            </w:r>
          </w:p>
          <w:p w14:paraId="79404D05">
            <w:pPr>
              <w:pStyle w:val="2"/>
              <w:keepLines w:val="0"/>
              <w:pageBreakBefore w:val="0"/>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jc w:val="left"/>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本项目实施</w:t>
            </w:r>
            <w:r>
              <w:rPr>
                <w:rFonts w:hint="eastAsia" w:eastAsia="宋体" w:cs="Times New Roman"/>
                <w:b w:val="0"/>
                <w:bCs w:val="0"/>
                <w:color w:val="auto"/>
                <w:kern w:val="2"/>
                <w:sz w:val="24"/>
                <w:szCs w:val="24"/>
                <w:lang w:val="en-US" w:eastAsia="zh-CN" w:bidi="ar-SA"/>
              </w:rPr>
              <w:t>满</w:t>
            </w:r>
            <w:r>
              <w:rPr>
                <w:rFonts w:hint="eastAsia" w:ascii="Times New Roman" w:hAnsi="Times New Roman" w:eastAsia="宋体" w:cs="Times New Roman"/>
                <w:b w:val="0"/>
                <w:bCs w:val="0"/>
                <w:color w:val="auto"/>
                <w:kern w:val="2"/>
                <w:sz w:val="24"/>
                <w:szCs w:val="24"/>
                <w:lang w:val="en-US" w:eastAsia="zh-CN" w:bidi="ar-SA"/>
              </w:rPr>
              <w:t>足了顾北煤矿瓦斯治理的需要，可增加煤矿瓦斯的抽采量，抽采的瓦斯用于长三角能源保障基地顾北煤矿超低浓度瓦斯清洁高效综合利用示范项目，实现瓦斯综合利用。因此本项目建设符合</w:t>
            </w:r>
            <w:r>
              <w:rPr>
                <w:rFonts w:hint="default" w:ascii="Times New Roman" w:hAnsi="Times New Roman" w:eastAsia="宋体" w:cs="Times New Roman"/>
                <w:b w:val="0"/>
                <w:bCs w:val="0"/>
                <w:color w:val="auto"/>
                <w:kern w:val="2"/>
                <w:sz w:val="24"/>
                <w:szCs w:val="24"/>
                <w:lang w:val="en-US" w:eastAsia="zh-CN" w:bidi="ar-SA"/>
              </w:rPr>
              <w:t>《甲烷排放控制行动方案》</w:t>
            </w:r>
            <w:r>
              <w:rPr>
                <w:rFonts w:hint="eastAsia" w:ascii="Times New Roman" w:hAnsi="Times New Roman" w:eastAsia="宋体" w:cs="Times New Roman"/>
                <w:b w:val="0"/>
                <w:bCs w:val="0"/>
                <w:color w:val="auto"/>
                <w:kern w:val="2"/>
                <w:sz w:val="24"/>
                <w:szCs w:val="24"/>
                <w:lang w:val="en-US" w:eastAsia="zh-CN" w:bidi="ar-SA"/>
              </w:rPr>
              <w:t>中相关要求，与</w:t>
            </w:r>
            <w:r>
              <w:rPr>
                <w:rFonts w:hint="default" w:ascii="Times New Roman" w:hAnsi="Times New Roman" w:eastAsia="宋体" w:cs="Times New Roman"/>
                <w:b w:val="0"/>
                <w:bCs w:val="0"/>
                <w:color w:val="auto"/>
                <w:kern w:val="2"/>
                <w:sz w:val="24"/>
                <w:szCs w:val="24"/>
                <w:lang w:val="en-US" w:eastAsia="zh-CN" w:bidi="ar-SA"/>
              </w:rPr>
              <w:t>《甲烷排放控制行动方案》</w:t>
            </w:r>
            <w:r>
              <w:rPr>
                <w:rFonts w:hint="eastAsia" w:ascii="Times New Roman" w:hAnsi="Times New Roman" w:eastAsia="宋体" w:cs="Times New Roman"/>
                <w:b w:val="0"/>
                <w:bCs w:val="0"/>
                <w:color w:val="auto"/>
                <w:kern w:val="2"/>
                <w:sz w:val="24"/>
                <w:szCs w:val="24"/>
                <w:lang w:val="en-US" w:eastAsia="zh-CN" w:bidi="ar-SA"/>
              </w:rPr>
              <w:t>是相符的。</w:t>
            </w:r>
          </w:p>
          <w:p w14:paraId="38230728">
            <w:pPr>
              <w:keepNext w:val="0"/>
              <w:keepLines w:val="0"/>
              <w:numPr>
                <w:ilvl w:val="0"/>
                <w:numId w:val="8"/>
              </w:numPr>
              <w:suppressLineNumbers w:val="0"/>
              <w:spacing w:before="0" w:beforeAutospacing="0" w:after="0" w:afterAutospacing="0" w:line="360" w:lineRule="auto"/>
              <w:ind w:left="0" w:leftChars="0" w:right="0" w:firstLine="482" w:firstLineChars="200"/>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val="en-US" w:eastAsia="zh-CN"/>
              </w:rPr>
              <w:t>与</w:t>
            </w:r>
            <w:r>
              <w:rPr>
                <w:rFonts w:hint="default" w:ascii="Times New Roman" w:hAnsi="Times New Roman" w:eastAsia="宋体" w:cs="Times New Roman"/>
                <w:b/>
                <w:bCs/>
                <w:color w:val="auto"/>
                <w:sz w:val="24"/>
                <w:szCs w:val="24"/>
                <w:lang w:eastAsia="zh-CN"/>
              </w:rPr>
              <w:t>《安徽省空气质量持续改善行动方案》（皖政〔2024〕36号）相符性分析</w:t>
            </w:r>
          </w:p>
          <w:p w14:paraId="05C10F0A">
            <w:pPr>
              <w:pStyle w:val="2"/>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安徽省空气质量持续改善行动方案》指出：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实施“高污染、高耗能”项目部门联审，源头管控低水平项目上马。制定实施安徽省加强生态环境分区管控方案。严格落实产能置换要求，不以任何名义、任何方式核准、备案产能严重过剩行业新增产能项目，被置换产能及其配套设施关停后，新建项目方可投产。</w:t>
            </w:r>
          </w:p>
          <w:p w14:paraId="1CEBE4A7">
            <w:pPr>
              <w:pStyle w:val="2"/>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本项目符合国家产业政策，项目实施满足了顾北煤矿瓦斯治理的需要，保障矿井安全生产，抽采的瓦斯用于顾北超低浓瓦斯蓄热氧化利用示范项目，实现瓦斯综合利用，充分利用了该矿区的资源，项目不属于高污染、高耗能、低水平项目。</w:t>
            </w:r>
          </w:p>
          <w:p w14:paraId="7F64C7FA">
            <w:pPr>
              <w:pStyle w:val="2"/>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安徽省空气质量持续改善行动方案》指出：加强建筑工地、道路扬尘污染和矿山综合治理。推动全省1万平方米以上规模建筑工地安装视频监控并接入监管平台，到2025年底，安装接入率达70%以上，合肥等有条件的市力争达到100%。开展道路扬尘污染治理专项行动。推动装配式建筑发展。将防治扬尘污染费用列入安全文明施工措施费等工程造价不可竞争性费用，明确施工单位扬尘污染防治责任。推动建筑业工业化、数字化、绿色化发展，提高城市道路保洁质量和效率。到2025年，装配式建筑占新建建筑面积比例40%以上，城市建成区道路机械化清扫率达90%左右，县城达70%左右。加强城市公共裸地扬尘管控，对在建工地、闲置地块等裸露土地开展排查建档，因地制宜落实抑尘措施。严格落实城市大型煤炭、矿石等干散货码头物料堆放场所主体责任，完善露天堆场防风网、喷淋装置、防尘屏障等抑尘设施建设和物料输送系统封闭改造。推动矿山综合治理，限期整改仍不达标的矿山，由矿山所在地人民政府根据安全生产、水土保持、生态环境等要求依法关闭。本项目建设工程量小，施工工期短，建设过程中将采取洒水降尘措施，对闲置裸露地块和堆场进行苫盖，有效防范扬尘污染。</w:t>
            </w:r>
          </w:p>
          <w:p w14:paraId="02272679">
            <w:pPr>
              <w:pStyle w:val="52"/>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rightChars="0" w:firstLine="578" w:firstLineChars="241"/>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本项目建设符合《安徽省空气质量持续改善行动方案》要求。</w:t>
            </w:r>
          </w:p>
          <w:p w14:paraId="1B803C80">
            <w:pPr>
              <w:pStyle w:val="52"/>
              <w:keepNext w:val="0"/>
              <w:keepLines w:val="0"/>
              <w:numPr>
                <w:ilvl w:val="0"/>
                <w:numId w:val="0"/>
              </w:numPr>
              <w:suppressLineNumbers w:val="0"/>
              <w:spacing w:before="0" w:beforeAutospacing="0" w:after="0" w:afterAutospacing="0" w:line="360" w:lineRule="auto"/>
              <w:ind w:left="15" w:leftChars="0" w:right="113" w:rightChars="0" w:firstLine="578" w:firstLineChars="241"/>
              <w:rPr>
                <w:rFonts w:hint="default" w:ascii="Times New Roman" w:hAnsi="Times New Roman" w:eastAsia="宋体" w:cs="Times New Roman"/>
                <w:color w:val="auto"/>
                <w:kern w:val="2"/>
                <w:sz w:val="24"/>
                <w:szCs w:val="24"/>
                <w:lang w:val="en-US" w:eastAsia="zh-CN" w:bidi="ar-SA"/>
              </w:rPr>
            </w:pPr>
          </w:p>
          <w:p w14:paraId="7AB1B1B0">
            <w:pPr>
              <w:pStyle w:val="52"/>
              <w:keepNext w:val="0"/>
              <w:keepLines w:val="0"/>
              <w:suppressLineNumbers w:val="0"/>
              <w:spacing w:before="0" w:beforeAutospacing="0" w:after="0" w:afterAutospacing="0"/>
              <w:rPr>
                <w:rFonts w:hint="eastAsia" w:cs="Times New Roman"/>
                <w:color w:val="auto"/>
                <w:lang w:val="en-US" w:eastAsia="zh-CN"/>
              </w:rPr>
            </w:pPr>
          </w:p>
        </w:tc>
      </w:tr>
    </w:tbl>
    <w:p w14:paraId="7916FF46">
      <w:pPr>
        <w:spacing w:line="360" w:lineRule="auto"/>
        <w:outlineLvl w:val="0"/>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6F529E1">
      <w:pPr>
        <w:pStyle w:val="24"/>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二、建设内容</w:t>
      </w:r>
    </w:p>
    <w:tbl>
      <w:tblPr>
        <w:tblStyle w:val="28"/>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48"/>
        <w:gridCol w:w="7955"/>
        <w:gridCol w:w="219"/>
      </w:tblGrid>
      <w:tr w14:paraId="657716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 w:type="pct"/>
            <w:noWrap w:val="0"/>
            <w:tcMar>
              <w:top w:w="0" w:type="dxa"/>
              <w:left w:w="108" w:type="dxa"/>
              <w:bottom w:w="0" w:type="dxa"/>
              <w:right w:w="108" w:type="dxa"/>
            </w:tcMar>
            <w:vAlign w:val="center"/>
          </w:tcPr>
          <w:p w14:paraId="03D5B88F">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地理位置</w:t>
            </w:r>
          </w:p>
        </w:tc>
        <w:tc>
          <w:tcPr>
            <w:tcW w:w="2434" w:type="pct"/>
            <w:noWrap w:val="0"/>
            <w:tcMar>
              <w:top w:w="0" w:type="dxa"/>
              <w:left w:w="108" w:type="dxa"/>
              <w:bottom w:w="0" w:type="dxa"/>
              <w:right w:w="108" w:type="dxa"/>
            </w:tcMar>
            <w:vAlign w:val="center"/>
          </w:tcPr>
          <w:p w14:paraId="0266DB42">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szCs w:val="24"/>
              </w:rPr>
            </w:pPr>
            <w:r>
              <w:rPr>
                <w:rFonts w:hint="eastAsia" w:eastAsia="宋体" w:cs="Times New Roman"/>
                <w:color w:val="auto"/>
                <w:sz w:val="24"/>
                <w:szCs w:val="24"/>
                <w:lang w:val="en-US" w:eastAsia="zh-CN"/>
              </w:rPr>
              <w:t>顾北煤矿地面瓦斯抽采泵站扩建工程项目位于</w:t>
            </w:r>
            <w:r>
              <w:rPr>
                <w:rFonts w:hint="eastAsia" w:ascii="Times New Roman" w:hAnsi="Times New Roman" w:eastAsia="宋体" w:cs="Times New Roman"/>
                <w:color w:val="auto"/>
                <w:sz w:val="24"/>
                <w:lang w:eastAsia="zh-CN"/>
              </w:rPr>
              <w:t>淮南市凤台县顾桥镇顾北煤矿矿内</w:t>
            </w:r>
            <w:r>
              <w:rPr>
                <w:rFonts w:hint="default" w:ascii="Times New Roman" w:hAnsi="Times New Roman" w:eastAsia="宋体" w:cs="Times New Roman"/>
                <w:color w:val="auto"/>
                <w:sz w:val="24"/>
                <w:szCs w:val="24"/>
                <w:lang w:val="en-US" w:eastAsia="zh-CN"/>
              </w:rPr>
              <w:t>，具体地理位置详见附图1。</w:t>
            </w:r>
          </w:p>
        </w:tc>
        <w:tc>
          <w:tcPr>
            <w:tcW w:w="2435" w:type="pct"/>
            <w:noWrap w:val="0"/>
            <w:tcMar>
              <w:top w:w="0" w:type="dxa"/>
              <w:left w:w="108" w:type="dxa"/>
              <w:bottom w:w="0" w:type="dxa"/>
              <w:right w:w="108" w:type="dxa"/>
            </w:tcMar>
            <w:vAlign w:val="center"/>
          </w:tcPr>
          <w:p w14:paraId="1166D1C3">
            <w:pPr>
              <w:keepNext w:val="0"/>
              <w:keepLines w:val="0"/>
              <w:widowControl/>
              <w:suppressLineNumbers w:val="0"/>
              <w:spacing w:before="0" w:beforeAutospacing="0" w:after="0" w:afterAutospacing="0" w:line="360" w:lineRule="auto"/>
              <w:ind w:left="0" w:right="0" w:firstLine="480" w:firstLineChars="200"/>
              <w:jc w:val="left"/>
              <w:rPr>
                <w:rFonts w:hint="eastAsia" w:eastAsia="宋体" w:cs="Times New Roman"/>
                <w:color w:val="auto"/>
                <w:sz w:val="24"/>
                <w:szCs w:val="24"/>
                <w:lang w:val="en-US" w:eastAsia="zh-CN"/>
              </w:rPr>
            </w:pPr>
          </w:p>
        </w:tc>
      </w:tr>
      <w:tr w14:paraId="1F1883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58" w:hRule="atLeast"/>
          <w:jc w:val="center"/>
        </w:trPr>
        <w:tc>
          <w:tcPr>
            <w:tcW w:w="130" w:type="pct"/>
            <w:noWrap w:val="0"/>
            <w:tcMar>
              <w:top w:w="0" w:type="dxa"/>
              <w:left w:w="108" w:type="dxa"/>
              <w:bottom w:w="0" w:type="dxa"/>
              <w:right w:w="108" w:type="dxa"/>
            </w:tcMar>
            <w:vAlign w:val="center"/>
          </w:tcPr>
          <w:p w14:paraId="3CC357A7">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项目组成及规模</w:t>
            </w:r>
          </w:p>
        </w:tc>
        <w:tc>
          <w:tcPr>
            <w:tcW w:w="2434" w:type="pct"/>
            <w:noWrap w:val="0"/>
            <w:tcMar>
              <w:top w:w="0" w:type="dxa"/>
              <w:left w:w="108" w:type="dxa"/>
              <w:bottom w:w="0" w:type="dxa"/>
              <w:right w:w="108" w:type="dxa"/>
            </w:tcMar>
            <w:vAlign w:val="center"/>
          </w:tcPr>
          <w:p w14:paraId="7D7EB4A2">
            <w:pPr>
              <w:pStyle w:val="102"/>
              <w:keepNext w:val="0"/>
              <w:keepLines w:val="0"/>
              <w:suppressLineNumbers w:val="0"/>
              <w:spacing w:before="0" w:beforeAutospacing="0" w:after="0" w:afterAutospacing="0"/>
              <w:ind w:left="0" w:leftChars="0" w:right="0" w:firstLine="482" w:firstLineChars="200"/>
              <w:rPr>
                <w:rFonts w:hint="eastAsia" w:ascii="Times New Roman" w:hAnsi="Times New Roman" w:eastAsia="宋体" w:cs="Times New Roman"/>
                <w:b w:val="0"/>
                <w:bCs w:val="0"/>
                <w:color w:val="auto"/>
                <w:kern w:val="2"/>
                <w:sz w:val="24"/>
                <w:szCs w:val="24"/>
                <w:lang w:val="en-US" w:eastAsia="zh-CN" w:bidi="ar-SA"/>
              </w:rPr>
            </w:pPr>
            <w:r>
              <w:rPr>
                <w:rFonts w:hint="default" w:cs="Times New Roman"/>
                <w:color w:val="auto"/>
                <w:kern w:val="2"/>
                <w:szCs w:val="24"/>
                <w:lang w:val="en-US" w:eastAsia="zh-CN"/>
              </w:rPr>
              <w:t>1、项目</w:t>
            </w:r>
            <w:r>
              <w:rPr>
                <w:rFonts w:hint="eastAsia" w:cs="Times New Roman"/>
                <w:color w:val="auto"/>
                <w:kern w:val="2"/>
                <w:szCs w:val="24"/>
                <w:lang w:val="en-US" w:eastAsia="zh-CN"/>
              </w:rPr>
              <w:t>背景</w:t>
            </w:r>
          </w:p>
          <w:p w14:paraId="7E6D421D">
            <w:pPr>
              <w:pStyle w:val="89"/>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淮浙煤电有限责任公司是皖浙两省为加强能源合作，实现资源优势互补的大型煤电一体化项目，是国家“皖电东送”战略规划的重要组成部分，由淮南矿业(集团)有限责任公司和浙江省能源集团有限公司</w:t>
            </w:r>
            <w:r>
              <w:rPr>
                <w:rFonts w:hint="eastAsia" w:eastAsia="宋体" w:cs="Times New Roman"/>
                <w:color w:val="auto"/>
                <w:lang w:val="en-US" w:eastAsia="zh-CN"/>
              </w:rPr>
              <w:t>控股</w:t>
            </w:r>
            <w:r>
              <w:rPr>
                <w:rFonts w:hint="default" w:ascii="Times New Roman" w:hAnsi="Times New Roman" w:eastAsia="宋体" w:cs="Times New Roman"/>
                <w:color w:val="auto"/>
                <w:lang w:eastAsia="zh-CN"/>
              </w:rPr>
              <w:t>投资兴建，公司下属顾北煤矿分公司和凤台发电分公司，煤矿所产煤炭用于电厂发电，所发电量将全部送往浙江。顾北煤矿由煤炭工业合肥设计研究院设计，设计生产能力</w:t>
            </w:r>
            <w:r>
              <w:rPr>
                <w:rFonts w:hint="default" w:ascii="Times New Roman" w:hAnsi="Times New Roman" w:eastAsia="宋体" w:cs="Times New Roman"/>
                <w:color w:val="auto"/>
                <w:lang w:val="en-US" w:eastAsia="zh-CN"/>
              </w:rPr>
              <w:t>300</w:t>
            </w:r>
            <w:r>
              <w:rPr>
                <w:rFonts w:hint="default" w:ascii="Times New Roman" w:hAnsi="Times New Roman" w:eastAsia="宋体" w:cs="Times New Roman"/>
                <w:color w:val="auto"/>
                <w:lang w:eastAsia="zh-CN"/>
              </w:rPr>
              <w:t>万吨/年，于2005年1月28日开工建设，2007年</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2月28日建成试生产，2008年8月26日通过</w:t>
            </w:r>
            <w:r>
              <w:rPr>
                <w:rFonts w:hint="eastAsia" w:eastAsia="宋体" w:cs="Times New Roman"/>
                <w:color w:val="auto"/>
                <w:lang w:eastAsia="zh-CN"/>
              </w:rPr>
              <w:t>国家发展改革委</w:t>
            </w:r>
            <w:r>
              <w:rPr>
                <w:rFonts w:hint="default" w:ascii="Times New Roman" w:hAnsi="Times New Roman" w:eastAsia="宋体" w:cs="Times New Roman"/>
                <w:color w:val="auto"/>
                <w:lang w:eastAsia="zh-CN"/>
              </w:rPr>
              <w:t>竣工验收正式投产。2013 年核定生产能力达到400万吨/年。</w:t>
            </w:r>
          </w:p>
          <w:p w14:paraId="221CD8D8">
            <w:pPr>
              <w:pStyle w:val="103"/>
              <w:keepNext w:val="0"/>
              <w:keepLines w:val="0"/>
              <w:suppressLineNumbers w:val="0"/>
              <w:spacing w:before="0" w:beforeAutospacing="0" w:after="0" w:afterAutospacing="0"/>
              <w:ind w:left="0" w:right="0" w:firstLine="583"/>
              <w:rPr>
                <w:rFonts w:hint="default" w:ascii="Times New Roman" w:hAnsi="Times New Roman" w:eastAsia="宋体" w:cs="Times New Roman"/>
                <w:color w:val="auto"/>
                <w:sz w:val="24"/>
                <w:szCs w:val="24"/>
              </w:rPr>
            </w:pPr>
            <w:bookmarkStart w:id="3" w:name="_Hlk60645536"/>
            <w:r>
              <w:rPr>
                <w:rFonts w:hint="default" w:ascii="Times New Roman" w:hAnsi="Times New Roman" w:eastAsia="宋体" w:cs="Times New Roman"/>
                <w:color w:val="auto"/>
                <w:sz w:val="24"/>
                <w:szCs w:val="24"/>
              </w:rPr>
              <w:t>顾北煤矿位于潘谢矿区西部，距凤台县县城约23km，行政区划隶属凤台县顾桥镇管辖。井田北起F</w:t>
            </w:r>
            <w:r>
              <w:rPr>
                <w:rFonts w:hint="default" w:ascii="Times New Roman" w:hAnsi="Times New Roman" w:eastAsia="宋体" w:cs="Times New Roman"/>
                <w:color w:val="auto"/>
                <w:sz w:val="24"/>
                <w:szCs w:val="24"/>
                <w:vertAlign w:val="subscript"/>
              </w:rPr>
              <w:t>86</w:t>
            </w:r>
            <w:r>
              <w:rPr>
                <w:rFonts w:hint="default" w:ascii="Times New Roman" w:hAnsi="Times New Roman" w:eastAsia="宋体" w:cs="Times New Roman"/>
                <w:color w:val="auto"/>
                <w:sz w:val="24"/>
                <w:szCs w:val="24"/>
              </w:rPr>
              <w:t>断层，南至F</w:t>
            </w:r>
            <w:r>
              <w:rPr>
                <w:rFonts w:hint="default" w:ascii="Times New Roman" w:hAnsi="Times New Roman" w:eastAsia="宋体" w:cs="Times New Roman"/>
                <w:color w:val="auto"/>
                <w:sz w:val="24"/>
                <w:szCs w:val="24"/>
                <w:vertAlign w:val="subscript"/>
              </w:rPr>
              <w:t>211</w:t>
            </w:r>
            <w:r>
              <w:rPr>
                <w:rFonts w:hint="default" w:ascii="Times New Roman" w:hAnsi="Times New Roman" w:eastAsia="宋体" w:cs="Times New Roman"/>
                <w:color w:val="auto"/>
                <w:sz w:val="24"/>
                <w:szCs w:val="24"/>
              </w:rPr>
              <w:t>断层；西起1煤层隐伏露头，东至经线39458300（北段）、F</w:t>
            </w:r>
            <w:r>
              <w:rPr>
                <w:rFonts w:hint="default" w:ascii="Times New Roman" w:hAnsi="Times New Roman" w:eastAsia="宋体" w:cs="Times New Roman"/>
                <w:color w:val="auto"/>
                <w:sz w:val="24"/>
                <w:szCs w:val="24"/>
                <w:vertAlign w:val="subscript"/>
              </w:rPr>
              <w:t>93</w:t>
            </w:r>
            <w:r>
              <w:rPr>
                <w:rFonts w:hint="default" w:ascii="Times New Roman" w:hAnsi="Times New Roman" w:eastAsia="宋体" w:cs="Times New Roman"/>
                <w:color w:val="auto"/>
                <w:sz w:val="24"/>
                <w:szCs w:val="24"/>
              </w:rPr>
              <w:t>断层（中段）和8煤层-650m底板等高线的地面垂直投影线（南段）。井田开采标高-400m～-1000m，南北走向长约7.5km，东西倾斜宽4.5km左右，面积为34.0139km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rPr>
              <w:t>。</w:t>
            </w:r>
          </w:p>
          <w:p w14:paraId="7B854487">
            <w:pPr>
              <w:pStyle w:val="89"/>
              <w:keepNext w:val="0"/>
              <w:keepLines w:val="0"/>
              <w:suppressLineNumbers w:val="0"/>
              <w:spacing w:before="0" w:beforeAutospacing="0" w:after="0" w:afterAutospacing="0"/>
              <w:ind w:left="0" w:right="0" w:firstLine="480"/>
              <w:rPr>
                <w:rFonts w:hint="default" w:ascii="Times New Roman" w:hAnsi="Times New Roman" w:eastAsia="仿宋_GB2312" w:cs="Times New Roman"/>
                <w:color w:val="auto"/>
                <w:sz w:val="24"/>
                <w:szCs w:val="24"/>
                <w:lang w:eastAsia="zh-CN"/>
              </w:rPr>
            </w:pPr>
            <w:r>
              <w:rPr>
                <w:rFonts w:hint="default" w:ascii="Times New Roman" w:hAnsi="Times New Roman" w:eastAsia="宋体" w:cs="Times New Roman"/>
                <w:color w:val="auto"/>
                <w:lang w:eastAsia="zh-CN"/>
              </w:rPr>
              <w:t>顾北煤矿</w:t>
            </w:r>
            <w:r>
              <w:rPr>
                <w:rFonts w:hint="default" w:ascii="Times New Roman" w:hAnsi="Times New Roman" w:eastAsia="宋体" w:cs="Times New Roman"/>
                <w:color w:val="auto"/>
                <w:lang w:val="en-US" w:eastAsia="zh-CN"/>
              </w:rPr>
              <w:t>现有</w:t>
            </w:r>
            <w:r>
              <w:rPr>
                <w:rFonts w:hint="default" w:ascii="Times New Roman" w:hAnsi="Times New Roman" w:eastAsia="宋体" w:cs="Times New Roman"/>
                <w:color w:val="auto"/>
                <w:lang w:eastAsia="zh-CN"/>
              </w:rPr>
              <w:t>地面永久瓦斯抽采泵站</w:t>
            </w:r>
            <w:r>
              <w:rPr>
                <w:rFonts w:hint="default" w:ascii="Times New Roman" w:hAnsi="Times New Roman" w:eastAsia="宋体" w:cs="Times New Roman"/>
                <w:color w:val="auto"/>
                <w:lang w:val="en-US" w:eastAsia="zh-CN"/>
              </w:rPr>
              <w:t>一座，</w:t>
            </w:r>
            <w:r>
              <w:rPr>
                <w:rFonts w:hint="default" w:ascii="Times New Roman" w:hAnsi="Times New Roman" w:eastAsia="宋体" w:cs="Times New Roman"/>
                <w:color w:val="auto"/>
                <w:lang w:eastAsia="zh-CN"/>
              </w:rPr>
              <w:t>位于工业广场西北部，泵站</w:t>
            </w:r>
            <w:r>
              <w:rPr>
                <w:rFonts w:hint="default" w:ascii="Times New Roman" w:hAnsi="Times New Roman" w:eastAsia="宋体" w:cs="Times New Roman"/>
                <w:color w:val="auto"/>
                <w:lang w:val="en-US" w:eastAsia="zh-CN"/>
              </w:rPr>
              <w:t>内</w:t>
            </w:r>
            <w:r>
              <w:rPr>
                <w:rFonts w:hint="default" w:ascii="Times New Roman" w:hAnsi="Times New Roman" w:eastAsia="宋体" w:cs="Times New Roman"/>
                <w:color w:val="auto"/>
                <w:lang w:eastAsia="zh-CN"/>
              </w:rPr>
              <w:t>共布置6台（</w:t>
            </w:r>
            <w:r>
              <w:rPr>
                <w:rFonts w:hint="default" w:ascii="Times New Roman" w:hAnsi="Times New Roman" w:eastAsia="宋体" w:cs="Times New Roman"/>
                <w:color w:val="auto"/>
                <w:lang w:val="en-US" w:eastAsia="zh-CN"/>
              </w:rPr>
              <w:t>1-6</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lang w:eastAsia="zh-CN"/>
              </w:rPr>
              <w:t>）瓦斯抽采泵，其中4台2BEC-72型水环式真空泵，2台SKP93型水环式真空泵，目前采用3用3备的运行模式，总额定能力2000m</w:t>
            </w:r>
            <w:r>
              <w:rPr>
                <w:rFonts w:hint="default" w:ascii="Times New Roman" w:hAnsi="Times New Roman" w:eastAsia="宋体" w:cs="Times New Roman"/>
                <w:color w:val="auto"/>
                <w:vertAlign w:val="superscript"/>
                <w:lang w:eastAsia="zh-CN"/>
              </w:rPr>
              <w:t>3</w:t>
            </w:r>
            <w:r>
              <w:rPr>
                <w:rFonts w:hint="default" w:ascii="Times New Roman" w:hAnsi="Times New Roman" w:eastAsia="宋体" w:cs="Times New Roman"/>
                <w:color w:val="auto"/>
                <w:lang w:eastAsia="zh-CN"/>
              </w:rPr>
              <w:t>/min，供电能力最多满足4用2备运行，总额定能力2600 m</w:t>
            </w:r>
            <w:r>
              <w:rPr>
                <w:rFonts w:hint="default" w:ascii="Times New Roman" w:hAnsi="Times New Roman" w:eastAsia="宋体" w:cs="Times New Roman"/>
                <w:color w:val="auto"/>
                <w:vertAlign w:val="superscript"/>
                <w:lang w:eastAsia="zh-CN"/>
              </w:rPr>
              <w:t>3</w:t>
            </w:r>
            <w:r>
              <w:rPr>
                <w:rFonts w:hint="default" w:ascii="Times New Roman" w:hAnsi="Times New Roman" w:eastAsia="宋体" w:cs="Times New Roman"/>
                <w:color w:val="auto"/>
                <w:lang w:eastAsia="zh-CN"/>
              </w:rPr>
              <w:t>/min。</w:t>
            </w:r>
          </w:p>
          <w:p w14:paraId="0A52522F">
            <w:pPr>
              <w:pStyle w:val="103"/>
              <w:keepNext w:val="0"/>
              <w:keepLines w:val="0"/>
              <w:suppressLineNumbers w:val="0"/>
              <w:spacing w:before="0" w:beforeAutospacing="0" w:after="0" w:afterAutospacing="0"/>
              <w:ind w:left="0" w:right="0" w:firstLine="583"/>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随着顾北煤矿采场逐步延深及二水平接续开采，矿井瓦斯涌出量持续增加，现有1-6#瓦斯抽采泵抽采能力已无法匹配井下瓦斯涌出需求，同时为保障长三角能源保障基地顾北煤矿超低浓度瓦斯清洁高效综合利用示范项目（项目代码：2503-340421-04-01-355373）的瓦斯稳定输送供应，顾北煤矿</w:t>
            </w:r>
            <w:r>
              <w:rPr>
                <w:rFonts w:hint="default" w:ascii="Times New Roman" w:hAnsi="Times New Roman" w:eastAsia="宋体" w:cs="Times New Roman"/>
                <w:color w:val="auto"/>
                <w:sz w:val="24"/>
                <w:szCs w:val="24"/>
                <w:lang w:val="en-US" w:eastAsia="zh-CN"/>
              </w:rPr>
              <w:t>拟</w:t>
            </w:r>
            <w:r>
              <w:rPr>
                <w:rFonts w:hint="eastAsia" w:ascii="Times New Roman" w:hAnsi="Times New Roman" w:eastAsia="宋体" w:cs="Times New Roman"/>
                <w:color w:val="auto"/>
                <w:sz w:val="24"/>
                <w:szCs w:val="24"/>
                <w:lang w:val="en-US" w:eastAsia="zh-CN"/>
              </w:rPr>
              <w:t>实施</w:t>
            </w:r>
            <w:r>
              <w:rPr>
                <w:rFonts w:hint="eastAsia" w:eastAsia="宋体" w:cs="Times New Roman"/>
                <w:color w:val="auto"/>
                <w:sz w:val="24"/>
                <w:szCs w:val="24"/>
                <w:lang w:val="en-US" w:eastAsia="zh-CN"/>
              </w:rPr>
              <w:t>顾北煤矿地面瓦斯抽采泵站扩建工程，</w:t>
            </w:r>
            <w:r>
              <w:rPr>
                <w:rFonts w:hint="default" w:ascii="Times New Roman" w:hAnsi="Times New Roman" w:eastAsia="宋体" w:cs="Times New Roman"/>
                <w:color w:val="auto"/>
                <w:sz w:val="24"/>
                <w:szCs w:val="24"/>
                <w:lang w:val="en-US" w:eastAsia="zh-CN"/>
              </w:rPr>
              <w:t>在</w:t>
            </w:r>
            <w:r>
              <w:rPr>
                <w:rFonts w:hint="eastAsia" w:ascii="Times New Roman" w:hAnsi="Times New Roman" w:eastAsia="宋体" w:cs="Times New Roman"/>
                <w:color w:val="auto"/>
                <w:sz w:val="24"/>
                <w:szCs w:val="24"/>
                <w:lang w:val="en-US" w:eastAsia="zh-CN"/>
              </w:rPr>
              <w:t>现有的</w:t>
            </w:r>
            <w:r>
              <w:rPr>
                <w:rFonts w:hint="default" w:ascii="Times New Roman" w:hAnsi="Times New Roman" w:eastAsia="宋体" w:cs="Times New Roman"/>
                <w:color w:val="auto"/>
                <w:sz w:val="24"/>
                <w:szCs w:val="24"/>
              </w:rPr>
              <w:t>地面瓦斯抽采泵站</w:t>
            </w:r>
            <w:r>
              <w:rPr>
                <w:rFonts w:hint="default" w:ascii="Times New Roman" w:hAnsi="Times New Roman" w:eastAsia="宋体" w:cs="Times New Roman"/>
                <w:color w:val="auto"/>
                <w:sz w:val="24"/>
                <w:szCs w:val="24"/>
                <w:lang w:val="en-US" w:eastAsia="zh-CN"/>
              </w:rPr>
              <w:t>西侧</w:t>
            </w:r>
            <w:r>
              <w:rPr>
                <w:rFonts w:hint="eastAsia" w:ascii="Times New Roman" w:hAnsi="Times New Roman" w:eastAsia="宋体" w:cs="Times New Roman"/>
                <w:color w:val="auto"/>
                <w:sz w:val="24"/>
                <w:szCs w:val="24"/>
              </w:rPr>
              <w:t>扩建</w:t>
            </w:r>
            <w:r>
              <w:rPr>
                <w:rFonts w:hint="default" w:ascii="Times New Roman" w:hAnsi="Times New Roman" w:eastAsia="宋体" w:cs="Times New Roman"/>
                <w:color w:val="auto"/>
                <w:sz w:val="24"/>
                <w:szCs w:val="24"/>
                <w:lang w:val="en-US" w:eastAsia="zh-CN"/>
              </w:rPr>
              <w:t>一间</w:t>
            </w:r>
            <w:r>
              <w:rPr>
                <w:rFonts w:hint="eastAsia" w:ascii="Times New Roman" w:hAnsi="Times New Roman" w:eastAsia="宋体" w:cs="Times New Roman"/>
                <w:color w:val="auto"/>
                <w:sz w:val="24"/>
                <w:szCs w:val="24"/>
              </w:rPr>
              <w:t>瓦斯泵房，</w:t>
            </w:r>
            <w:r>
              <w:rPr>
                <w:rFonts w:hint="default" w:ascii="Times New Roman" w:hAnsi="Times New Roman" w:eastAsia="宋体" w:cs="Times New Roman"/>
                <w:color w:val="auto"/>
                <w:sz w:val="24"/>
                <w:szCs w:val="24"/>
              </w:rPr>
              <w:t>平面尺寸约16m×13.5m</w:t>
            </w: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扩建泵房内新增2台高负压大流量的瓦斯抽采泵</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7#、8#</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同步</w:t>
            </w:r>
            <w:r>
              <w:rPr>
                <w:rFonts w:hint="eastAsia" w:ascii="Times New Roman" w:hAnsi="Times New Roman" w:eastAsia="宋体" w:cs="Times New Roman"/>
                <w:color w:val="auto"/>
                <w:sz w:val="24"/>
                <w:szCs w:val="24"/>
              </w:rPr>
              <w:t>改造供配电、冷却水系统、监控、防雷等系统</w:t>
            </w:r>
            <w:r>
              <w:rPr>
                <w:rFonts w:hint="default" w:ascii="Times New Roman" w:hAnsi="Times New Roman" w:eastAsia="宋体" w:cs="Times New Roman"/>
                <w:color w:val="auto"/>
                <w:sz w:val="24"/>
                <w:szCs w:val="24"/>
              </w:rPr>
              <w:t>。新增7#、8</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泵抽采的瓦斯与现有1-6#泵抽采瓦斯汇集后统一输送至顾北煤矿超低浓度瓦斯清洁高效综合利用示范项目进行综合利用。本项目新增两台泵实施后，瓦斯抽采泵站气源来源未发生改变，仍为矿井井下采掘工作面及采空区瓦斯。输送至顾北煤矿超低浓度瓦斯清洁高效综合利用示范项目的瓦斯气量没有变化，对应</w:t>
            </w:r>
            <w:r>
              <w:rPr>
                <w:rFonts w:hint="eastAsia" w:ascii="Times New Roman" w:hAnsi="Times New Roman" w:eastAsia="宋体" w:cs="Times New Roman"/>
                <w:color w:val="auto"/>
                <w:sz w:val="24"/>
                <w:szCs w:val="24"/>
                <w:lang w:val="en-US" w:eastAsia="zh-CN"/>
              </w:rPr>
              <w:t>的</w:t>
            </w:r>
            <w:r>
              <w:rPr>
                <w:rFonts w:hint="default" w:ascii="Times New Roman" w:hAnsi="Times New Roman" w:eastAsia="宋体" w:cs="Times New Roman"/>
                <w:color w:val="auto"/>
                <w:sz w:val="24"/>
                <w:szCs w:val="24"/>
              </w:rPr>
              <w:t>可利用低热值瓦斯量也无变化，产出的蒸汽及发电量无变化。</w:t>
            </w:r>
          </w:p>
          <w:bookmarkEnd w:id="3"/>
          <w:p w14:paraId="21135C79">
            <w:pPr>
              <w:pStyle w:val="89"/>
              <w:keepNext w:val="0"/>
              <w:keepLines w:val="0"/>
              <w:suppressLineNumbers w:val="0"/>
              <w:spacing w:before="0" w:beforeAutospacing="0" w:after="0" w:afterAutospacing="0"/>
              <w:ind w:left="0" w:leftChars="0" w:right="0"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1）顾北煤矿现有瓦斯抽采系统概况</w:t>
            </w:r>
          </w:p>
          <w:p w14:paraId="49EA4864">
            <w:pPr>
              <w:pStyle w:val="89"/>
              <w:keepNext w:val="0"/>
              <w:keepLines w:val="0"/>
              <w:suppressLineNumbers w:val="0"/>
              <w:spacing w:before="0" w:beforeAutospacing="0" w:after="0" w:afterAutospacing="0" w:line="360" w:lineRule="auto"/>
              <w:ind w:left="0" w:leftChars="0" w:right="0" w:firstLine="480" w:firstLineChars="200"/>
              <w:jc w:val="both"/>
              <w:rPr>
                <w:rFonts w:hint="eastAsia" w:cs="Times New Roman"/>
                <w:color w:val="auto"/>
              </w:rPr>
            </w:pPr>
            <w:r>
              <w:rPr>
                <w:rFonts w:hint="eastAsia" w:ascii="Times New Roman" w:hAnsi="Times New Roman" w:eastAsia="宋体" w:cs="Times New Roman"/>
                <w:color w:val="auto"/>
                <w:lang w:val="en-US" w:eastAsia="zh-CN"/>
              </w:rPr>
              <w:t>地面现建有一座瓦斯抽采泵站，共布置</w:t>
            </w:r>
            <w:r>
              <w:rPr>
                <w:rFonts w:hint="eastAsia" w:cs="Times New Roman"/>
                <w:color w:val="auto"/>
                <w:szCs w:val="30"/>
                <w:lang w:bidi="ar"/>
              </w:rPr>
              <w:t>6台瓦斯抽采泵，其中</w:t>
            </w:r>
            <w:r>
              <w:rPr>
                <w:rFonts w:hint="default" w:cs="Times New Roman"/>
                <w:color w:val="auto"/>
                <w:szCs w:val="30"/>
                <w:lang w:bidi="ar"/>
              </w:rPr>
              <w:t>4</w:t>
            </w:r>
            <w:r>
              <w:rPr>
                <w:rFonts w:hint="eastAsia" w:cs="Times New Roman"/>
                <w:color w:val="auto"/>
                <w:szCs w:val="30"/>
                <w:lang w:bidi="ar"/>
              </w:rPr>
              <w:t>台</w:t>
            </w:r>
            <w:r>
              <w:rPr>
                <w:rFonts w:hint="default" w:cs="Times New Roman"/>
                <w:color w:val="auto"/>
                <w:szCs w:val="30"/>
                <w:lang w:bidi="ar"/>
              </w:rPr>
              <w:t>2BE</w:t>
            </w:r>
            <w:r>
              <w:rPr>
                <w:rFonts w:hint="eastAsia" w:cs="Times New Roman"/>
                <w:color w:val="auto"/>
                <w:szCs w:val="30"/>
                <w:lang w:bidi="ar"/>
              </w:rPr>
              <w:t>C</w:t>
            </w:r>
            <w:r>
              <w:rPr>
                <w:rFonts w:hint="default" w:cs="Times New Roman"/>
                <w:color w:val="auto"/>
                <w:szCs w:val="30"/>
                <w:lang w:bidi="ar"/>
              </w:rPr>
              <w:t>-</w:t>
            </w:r>
            <w:r>
              <w:rPr>
                <w:rFonts w:hint="eastAsia" w:cs="Times New Roman"/>
                <w:color w:val="auto"/>
                <w:szCs w:val="30"/>
                <w:lang w:bidi="ar"/>
              </w:rPr>
              <w:t>72</w:t>
            </w:r>
            <w:r>
              <w:rPr>
                <w:rFonts w:hint="default" w:cs="Times New Roman"/>
                <w:color w:val="auto"/>
                <w:szCs w:val="30"/>
                <w:lang w:bidi="ar"/>
              </w:rPr>
              <w:t>型水环式真空泵</w:t>
            </w:r>
            <w:r>
              <w:rPr>
                <w:rFonts w:hint="eastAsia" w:ascii="Times New Roman" w:hAnsi="Times New Roman" w:eastAsia="宋体" w:cs="Times New Roman"/>
                <w:color w:val="auto"/>
                <w:lang w:val="en-US" w:eastAsia="zh-CN"/>
              </w:rPr>
              <w:t>额定流量均为600m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/min，配套电机功率800kW，</w:t>
            </w:r>
            <w:r>
              <w:rPr>
                <w:rFonts w:hint="eastAsia" w:cs="Times New Roman"/>
                <w:color w:val="auto"/>
                <w:szCs w:val="30"/>
                <w:lang w:bidi="ar"/>
              </w:rPr>
              <w:t>2</w:t>
            </w:r>
            <w:r>
              <w:rPr>
                <w:rFonts w:hint="default" w:cs="Times New Roman"/>
                <w:color w:val="auto"/>
                <w:szCs w:val="30"/>
                <w:lang w:bidi="ar"/>
              </w:rPr>
              <w:t>台SKP</w:t>
            </w:r>
            <w:r>
              <w:rPr>
                <w:rFonts w:hint="eastAsia" w:cs="Times New Roman"/>
                <w:color w:val="auto"/>
                <w:szCs w:val="30"/>
                <w:lang w:bidi="ar"/>
              </w:rPr>
              <w:t>93</w:t>
            </w:r>
            <w:r>
              <w:rPr>
                <w:rFonts w:hint="default" w:cs="Times New Roman"/>
                <w:color w:val="auto"/>
                <w:szCs w:val="30"/>
                <w:lang w:bidi="ar"/>
              </w:rPr>
              <w:t>型水环式真空泵</w:t>
            </w:r>
            <w:r>
              <w:rPr>
                <w:rFonts w:hint="eastAsia" w:ascii="Times New Roman" w:hAnsi="Times New Roman" w:eastAsia="宋体" w:cs="Times New Roman"/>
                <w:color w:val="auto"/>
                <w:lang w:val="en-US" w:eastAsia="zh-CN"/>
              </w:rPr>
              <w:t>额定流量均为800m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/min，配套电机功率1000kW，瓦斯抽采泵</w:t>
            </w:r>
            <w:r>
              <w:rPr>
                <w:rFonts w:hint="eastAsia" w:cs="Times New Roman"/>
                <w:color w:val="auto"/>
              </w:rPr>
              <w:t>采用3用3备的运行模式，总额定能力2</w:t>
            </w:r>
            <w:r>
              <w:rPr>
                <w:rFonts w:hint="default" w:cs="Times New Roman"/>
                <w:color w:val="auto"/>
              </w:rPr>
              <w:t>000</w:t>
            </w:r>
            <w:r>
              <w:rPr>
                <w:rFonts w:hint="eastAsia" w:cs="Times New Roman"/>
                <w:color w:val="auto"/>
              </w:rPr>
              <w:t>m</w:t>
            </w:r>
            <w:r>
              <w:rPr>
                <w:rFonts w:hint="default" w:cs="Times New Roman"/>
                <w:color w:val="auto"/>
                <w:vertAlign w:val="superscript"/>
              </w:rPr>
              <w:t>3</w:t>
            </w:r>
            <w:r>
              <w:rPr>
                <w:rFonts w:hint="default" w:cs="Times New Roman"/>
                <w:color w:val="auto"/>
              </w:rPr>
              <w:t>/</w:t>
            </w:r>
            <w:r>
              <w:rPr>
                <w:rFonts w:hint="eastAsia" w:cs="Times New Roman"/>
                <w:color w:val="auto"/>
              </w:rPr>
              <w:t>min。</w:t>
            </w:r>
          </w:p>
          <w:p w14:paraId="55A42630">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cs="Times New Roman"/>
                <w:color w:val="auto"/>
                <w:szCs w:val="30"/>
              </w:rPr>
            </w:pPr>
            <w:r>
              <w:rPr>
                <w:rFonts w:hint="eastAsia" w:ascii="宋体" w:hAnsi="宋体" w:eastAsia="宋体" w:cs="Times New Roman"/>
                <w:color w:val="auto"/>
                <w:kern w:val="0"/>
                <w:sz w:val="24"/>
                <w:szCs w:val="20"/>
                <w:highlight w:val="none"/>
                <w:lang w:val="en-US" w:eastAsia="zh-CN" w:bidi="ar-SA"/>
              </w:rPr>
              <w:t xml:space="preserve"> 顾北煤矿现有地面瓦斯抽采泵一览表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917"/>
              <w:gridCol w:w="1808"/>
              <w:gridCol w:w="1388"/>
              <w:gridCol w:w="1376"/>
              <w:gridCol w:w="1293"/>
            </w:tblGrid>
            <w:tr w14:paraId="78FD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611" w:type="pct"/>
                  <w:noWrap w:val="0"/>
                  <w:vAlign w:val="center"/>
                </w:tcPr>
                <w:p w14:paraId="52B95C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安装</w:t>
                  </w:r>
                </w:p>
                <w:p w14:paraId="66F0A5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地点</w:t>
                  </w:r>
                </w:p>
              </w:tc>
              <w:tc>
                <w:tcPr>
                  <w:tcW w:w="593" w:type="pct"/>
                  <w:noWrap w:val="0"/>
                  <w:vAlign w:val="center"/>
                </w:tcPr>
                <w:p w14:paraId="1B89BD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泵编号</w:t>
                  </w:r>
                </w:p>
              </w:tc>
              <w:tc>
                <w:tcPr>
                  <w:tcW w:w="1169" w:type="pct"/>
                  <w:noWrap w:val="0"/>
                  <w:vAlign w:val="center"/>
                </w:tcPr>
                <w:p w14:paraId="40B78F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型号</w:t>
                  </w:r>
                </w:p>
              </w:tc>
              <w:tc>
                <w:tcPr>
                  <w:tcW w:w="898" w:type="pct"/>
                  <w:noWrap w:val="0"/>
                  <w:vAlign w:val="center"/>
                </w:tcPr>
                <w:p w14:paraId="5310F6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安装时间</w:t>
                  </w:r>
                </w:p>
              </w:tc>
              <w:tc>
                <w:tcPr>
                  <w:tcW w:w="890" w:type="pct"/>
                  <w:noWrap w:val="0"/>
                  <w:vAlign w:val="center"/>
                </w:tcPr>
                <w:p w14:paraId="79B478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电机功率</w:t>
                  </w:r>
                  <w:r>
                    <w:rPr>
                      <w:rFonts w:hint="eastAsia" w:ascii="Times New Roman" w:hAnsi="Times New Roman" w:eastAsia="宋体" w:cs="Times New Roman"/>
                      <w:color w:val="auto"/>
                      <w:kern w:val="0"/>
                      <w:szCs w:val="21"/>
                      <w:highlight w:val="none"/>
                    </w:rPr>
                    <w:br w:type="textWrapping"/>
                  </w:r>
                  <w:r>
                    <w:rPr>
                      <w:rFonts w:hint="eastAsia" w:ascii="Times New Roman" w:hAnsi="Times New Roman" w:eastAsia="宋体" w:cs="Times New Roman"/>
                      <w:color w:val="auto"/>
                      <w:kern w:val="0"/>
                      <w:szCs w:val="21"/>
                      <w:highlight w:val="none"/>
                    </w:rPr>
                    <w:t>（kW）</w:t>
                  </w:r>
                </w:p>
              </w:tc>
              <w:tc>
                <w:tcPr>
                  <w:tcW w:w="836" w:type="pct"/>
                  <w:noWrap w:val="0"/>
                  <w:vAlign w:val="center"/>
                </w:tcPr>
                <w:p w14:paraId="64CD80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额定流量</w:t>
                  </w:r>
                  <w:r>
                    <w:rPr>
                      <w:rFonts w:hint="eastAsia" w:ascii="Times New Roman" w:hAnsi="Times New Roman" w:eastAsia="宋体" w:cs="Times New Roman"/>
                      <w:color w:val="auto"/>
                      <w:kern w:val="0"/>
                      <w:szCs w:val="21"/>
                      <w:highlight w:val="none"/>
                    </w:rPr>
                    <w:br w:type="textWrapping"/>
                  </w:r>
                  <w:r>
                    <w:rPr>
                      <w:rFonts w:hint="eastAsia" w:ascii="Times New Roman" w:hAnsi="Times New Roman" w:eastAsia="宋体" w:cs="Times New Roman"/>
                      <w:color w:val="auto"/>
                      <w:kern w:val="0"/>
                      <w:szCs w:val="21"/>
                      <w:highlight w:val="none"/>
                    </w:rPr>
                    <w:t>（m</w:t>
                  </w:r>
                  <w:r>
                    <w:rPr>
                      <w:rFonts w:hint="eastAsia" w:ascii="Times New Roman" w:hAnsi="Times New Roman" w:eastAsia="宋体" w:cs="Times New Roman"/>
                      <w:color w:val="auto"/>
                      <w:kern w:val="0"/>
                      <w:szCs w:val="21"/>
                      <w:highlight w:val="none"/>
                      <w:vertAlign w:val="superscript"/>
                    </w:rPr>
                    <w:t>3</w:t>
                  </w:r>
                  <w:r>
                    <w:rPr>
                      <w:rFonts w:hint="eastAsia" w:ascii="Times New Roman" w:hAnsi="Times New Roman" w:eastAsia="宋体" w:cs="Times New Roman"/>
                      <w:color w:val="auto"/>
                      <w:kern w:val="0"/>
                      <w:szCs w:val="21"/>
                      <w:highlight w:val="none"/>
                    </w:rPr>
                    <w:t>/min）</w:t>
                  </w:r>
                </w:p>
              </w:tc>
            </w:tr>
            <w:tr w14:paraId="4164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11" w:type="pct"/>
                  <w:vMerge w:val="restart"/>
                  <w:noWrap w:val="0"/>
                  <w:vAlign w:val="center"/>
                </w:tcPr>
                <w:p w14:paraId="7832D2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地面瓦斯抽采泵站</w:t>
                  </w:r>
                </w:p>
              </w:tc>
              <w:tc>
                <w:tcPr>
                  <w:tcW w:w="593" w:type="pct"/>
                  <w:noWrap w:val="0"/>
                  <w:vAlign w:val="center"/>
                </w:tcPr>
                <w:p w14:paraId="2BEF30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w:t>
                  </w:r>
                </w:p>
              </w:tc>
              <w:tc>
                <w:tcPr>
                  <w:tcW w:w="1169" w:type="pct"/>
                  <w:noWrap w:val="0"/>
                  <w:vAlign w:val="center"/>
                </w:tcPr>
                <w:p w14:paraId="799346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2BEC-72</w:t>
                  </w:r>
                </w:p>
              </w:tc>
              <w:tc>
                <w:tcPr>
                  <w:tcW w:w="898" w:type="pct"/>
                  <w:noWrap w:val="0"/>
                  <w:vAlign w:val="center"/>
                </w:tcPr>
                <w:p w14:paraId="545FA4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2020.12</w:t>
                  </w:r>
                </w:p>
              </w:tc>
              <w:tc>
                <w:tcPr>
                  <w:tcW w:w="890" w:type="pct"/>
                  <w:noWrap w:val="0"/>
                  <w:vAlign w:val="center"/>
                </w:tcPr>
                <w:p w14:paraId="72196B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800</w:t>
                  </w:r>
                </w:p>
              </w:tc>
              <w:tc>
                <w:tcPr>
                  <w:tcW w:w="836" w:type="pct"/>
                  <w:noWrap w:val="0"/>
                  <w:vAlign w:val="center"/>
                </w:tcPr>
                <w:p w14:paraId="47AD01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600</w:t>
                  </w:r>
                </w:p>
              </w:tc>
            </w:tr>
            <w:tr w14:paraId="7161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11" w:type="pct"/>
                  <w:vMerge w:val="continue"/>
                  <w:noWrap w:val="0"/>
                  <w:vAlign w:val="center"/>
                </w:tcPr>
                <w:p w14:paraId="60D5EA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593" w:type="pct"/>
                  <w:noWrap w:val="0"/>
                  <w:vAlign w:val="center"/>
                </w:tcPr>
                <w:p w14:paraId="272F38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w:t>
                  </w:r>
                </w:p>
              </w:tc>
              <w:tc>
                <w:tcPr>
                  <w:tcW w:w="1169" w:type="pct"/>
                  <w:noWrap w:val="0"/>
                  <w:vAlign w:val="center"/>
                </w:tcPr>
                <w:p w14:paraId="099E93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2BEC-72</w:t>
                  </w:r>
                </w:p>
              </w:tc>
              <w:tc>
                <w:tcPr>
                  <w:tcW w:w="898" w:type="pct"/>
                  <w:noWrap w:val="0"/>
                  <w:vAlign w:val="center"/>
                </w:tcPr>
                <w:p w14:paraId="255B40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2020.12</w:t>
                  </w:r>
                </w:p>
              </w:tc>
              <w:tc>
                <w:tcPr>
                  <w:tcW w:w="890" w:type="pct"/>
                  <w:noWrap w:val="0"/>
                  <w:vAlign w:val="center"/>
                </w:tcPr>
                <w:p w14:paraId="37EA95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800</w:t>
                  </w:r>
                </w:p>
              </w:tc>
              <w:tc>
                <w:tcPr>
                  <w:tcW w:w="836" w:type="pct"/>
                  <w:noWrap w:val="0"/>
                  <w:vAlign w:val="center"/>
                </w:tcPr>
                <w:p w14:paraId="2838E0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600</w:t>
                  </w:r>
                </w:p>
              </w:tc>
            </w:tr>
            <w:tr w14:paraId="28F4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11" w:type="pct"/>
                  <w:vMerge w:val="continue"/>
                  <w:noWrap w:val="0"/>
                  <w:vAlign w:val="center"/>
                </w:tcPr>
                <w:p w14:paraId="630F89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593" w:type="pct"/>
                  <w:noWrap w:val="0"/>
                  <w:vAlign w:val="center"/>
                </w:tcPr>
                <w:p w14:paraId="360AF7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3#</w:t>
                  </w:r>
                </w:p>
              </w:tc>
              <w:tc>
                <w:tcPr>
                  <w:tcW w:w="1169" w:type="pct"/>
                  <w:noWrap w:val="0"/>
                  <w:vAlign w:val="center"/>
                </w:tcPr>
                <w:p w14:paraId="622F79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2BEC-72</w:t>
                  </w:r>
                </w:p>
              </w:tc>
              <w:tc>
                <w:tcPr>
                  <w:tcW w:w="898" w:type="pct"/>
                  <w:noWrap w:val="0"/>
                  <w:vAlign w:val="center"/>
                </w:tcPr>
                <w:p w14:paraId="4D65D0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2020.12</w:t>
                  </w:r>
                </w:p>
              </w:tc>
              <w:tc>
                <w:tcPr>
                  <w:tcW w:w="890" w:type="pct"/>
                  <w:noWrap w:val="0"/>
                  <w:vAlign w:val="center"/>
                </w:tcPr>
                <w:p w14:paraId="4159B1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800</w:t>
                  </w:r>
                </w:p>
              </w:tc>
              <w:tc>
                <w:tcPr>
                  <w:tcW w:w="836" w:type="pct"/>
                  <w:noWrap w:val="0"/>
                  <w:vAlign w:val="center"/>
                </w:tcPr>
                <w:p w14:paraId="29AC6D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600</w:t>
                  </w:r>
                </w:p>
              </w:tc>
            </w:tr>
            <w:tr w14:paraId="1087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11" w:type="pct"/>
                  <w:vMerge w:val="continue"/>
                  <w:noWrap w:val="0"/>
                  <w:vAlign w:val="center"/>
                </w:tcPr>
                <w:p w14:paraId="0D9B30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593" w:type="pct"/>
                  <w:noWrap w:val="0"/>
                  <w:vAlign w:val="center"/>
                </w:tcPr>
                <w:p w14:paraId="5D74AC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4#</w:t>
                  </w:r>
                </w:p>
              </w:tc>
              <w:tc>
                <w:tcPr>
                  <w:tcW w:w="1169" w:type="pct"/>
                  <w:noWrap w:val="0"/>
                  <w:vAlign w:val="center"/>
                </w:tcPr>
                <w:p w14:paraId="4C4C50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2BEC-72</w:t>
                  </w:r>
                </w:p>
              </w:tc>
              <w:tc>
                <w:tcPr>
                  <w:tcW w:w="898" w:type="pct"/>
                  <w:noWrap w:val="0"/>
                  <w:vAlign w:val="center"/>
                </w:tcPr>
                <w:p w14:paraId="7A44B2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2020.12</w:t>
                  </w:r>
                </w:p>
              </w:tc>
              <w:tc>
                <w:tcPr>
                  <w:tcW w:w="890" w:type="pct"/>
                  <w:noWrap w:val="0"/>
                  <w:vAlign w:val="center"/>
                </w:tcPr>
                <w:p w14:paraId="10AA9F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800</w:t>
                  </w:r>
                </w:p>
              </w:tc>
              <w:tc>
                <w:tcPr>
                  <w:tcW w:w="836" w:type="pct"/>
                  <w:noWrap w:val="0"/>
                  <w:vAlign w:val="center"/>
                </w:tcPr>
                <w:p w14:paraId="20DF55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600</w:t>
                  </w:r>
                </w:p>
              </w:tc>
            </w:tr>
            <w:tr w14:paraId="7C92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11" w:type="pct"/>
                  <w:vMerge w:val="continue"/>
                  <w:noWrap w:val="0"/>
                  <w:vAlign w:val="center"/>
                </w:tcPr>
                <w:p w14:paraId="490BAF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593" w:type="pct"/>
                  <w:noWrap w:val="0"/>
                  <w:vAlign w:val="center"/>
                </w:tcPr>
                <w:p w14:paraId="659CF5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5#</w:t>
                  </w:r>
                </w:p>
              </w:tc>
              <w:tc>
                <w:tcPr>
                  <w:tcW w:w="1169" w:type="pct"/>
                  <w:noWrap w:val="0"/>
                  <w:vAlign w:val="center"/>
                </w:tcPr>
                <w:p w14:paraId="0D0AEE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SKP93</w:t>
                  </w:r>
                </w:p>
              </w:tc>
              <w:tc>
                <w:tcPr>
                  <w:tcW w:w="898" w:type="pct"/>
                  <w:noWrap w:val="0"/>
                  <w:vAlign w:val="center"/>
                </w:tcPr>
                <w:p w14:paraId="14E897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2023.11</w:t>
                  </w:r>
                </w:p>
              </w:tc>
              <w:tc>
                <w:tcPr>
                  <w:tcW w:w="890" w:type="pct"/>
                  <w:noWrap w:val="0"/>
                  <w:vAlign w:val="center"/>
                </w:tcPr>
                <w:p w14:paraId="2E5148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1000</w:t>
                  </w:r>
                </w:p>
              </w:tc>
              <w:tc>
                <w:tcPr>
                  <w:tcW w:w="836" w:type="pct"/>
                  <w:noWrap w:val="0"/>
                  <w:vAlign w:val="center"/>
                </w:tcPr>
                <w:p w14:paraId="56D694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800</w:t>
                  </w:r>
                </w:p>
              </w:tc>
            </w:tr>
            <w:tr w14:paraId="64DB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11" w:type="pct"/>
                  <w:vMerge w:val="continue"/>
                  <w:noWrap w:val="0"/>
                  <w:vAlign w:val="center"/>
                </w:tcPr>
                <w:p w14:paraId="44CA1A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593" w:type="pct"/>
                  <w:noWrap w:val="0"/>
                  <w:vAlign w:val="center"/>
                </w:tcPr>
                <w:p w14:paraId="0D45D0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6#</w:t>
                  </w:r>
                </w:p>
              </w:tc>
              <w:tc>
                <w:tcPr>
                  <w:tcW w:w="1169" w:type="pct"/>
                  <w:noWrap w:val="0"/>
                  <w:vAlign w:val="center"/>
                </w:tcPr>
                <w:p w14:paraId="3AEAB7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SKP93</w:t>
                  </w:r>
                </w:p>
              </w:tc>
              <w:tc>
                <w:tcPr>
                  <w:tcW w:w="898" w:type="pct"/>
                  <w:noWrap w:val="0"/>
                  <w:vAlign w:val="center"/>
                </w:tcPr>
                <w:p w14:paraId="3C3552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2023.11</w:t>
                  </w:r>
                </w:p>
              </w:tc>
              <w:tc>
                <w:tcPr>
                  <w:tcW w:w="890" w:type="pct"/>
                  <w:noWrap w:val="0"/>
                  <w:vAlign w:val="center"/>
                </w:tcPr>
                <w:p w14:paraId="72A9FB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1000</w:t>
                  </w:r>
                </w:p>
              </w:tc>
              <w:tc>
                <w:tcPr>
                  <w:tcW w:w="836" w:type="pct"/>
                  <w:noWrap w:val="0"/>
                  <w:vAlign w:val="center"/>
                </w:tcPr>
                <w:p w14:paraId="65046E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800</w:t>
                  </w:r>
                </w:p>
              </w:tc>
            </w:tr>
          </w:tbl>
          <w:p w14:paraId="43208843">
            <w:pPr>
              <w:pStyle w:val="89"/>
              <w:keepNext w:val="0"/>
              <w:keepLines w:val="0"/>
              <w:suppressLineNumbers w:val="0"/>
              <w:spacing w:before="0" w:beforeAutospacing="0" w:after="0" w:afterAutospacing="0" w:line="360" w:lineRule="auto"/>
              <w:ind w:left="0" w:leftChars="0" w:right="0" w:firstLine="480" w:firstLineChars="200"/>
              <w:jc w:val="both"/>
              <w:rPr>
                <w:rFonts w:hint="eastAsia" w:cs="Times New Roman"/>
                <w:color w:val="auto"/>
              </w:rPr>
            </w:pPr>
            <w:r>
              <w:rPr>
                <w:rFonts w:hint="eastAsia" w:cs="Times New Roman"/>
                <w:color w:val="auto"/>
              </w:rPr>
              <w:t>地面瓦斯泵站建有一座冷水池，一座热水池，配备2台热水泵、4台冷水泵及2台冷却塔，构成闭式循环水系统。</w:t>
            </w:r>
          </w:p>
          <w:p w14:paraId="73297F32">
            <w:pPr>
              <w:pStyle w:val="89"/>
              <w:keepNext w:val="0"/>
              <w:keepLines w:val="0"/>
              <w:suppressLineNumbers w:val="0"/>
              <w:spacing w:before="0" w:beforeAutospacing="0" w:after="0" w:afterAutospacing="0" w:line="360" w:lineRule="auto"/>
              <w:ind w:left="0" w:leftChars="0" w:right="0" w:firstLine="480" w:firstLineChars="200"/>
              <w:jc w:val="both"/>
              <w:rPr>
                <w:rFonts w:hint="eastAsia" w:cs="Times New Roman"/>
                <w:color w:val="auto"/>
              </w:rPr>
            </w:pPr>
            <w:r>
              <w:rPr>
                <w:rFonts w:hint="eastAsia" w:cs="Times New Roman"/>
                <w:color w:val="auto"/>
              </w:rPr>
              <w:t>2台热水泵（单台流量240m</w:t>
            </w:r>
            <w:r>
              <w:rPr>
                <w:rFonts w:hint="eastAsia" w:cs="Times New Roman"/>
                <w:color w:val="auto"/>
                <w:vertAlign w:val="superscript"/>
              </w:rPr>
              <w:t>3</w:t>
            </w:r>
            <w:r>
              <w:rPr>
                <w:rFonts w:hint="eastAsia" w:cs="Times New Roman"/>
                <w:color w:val="auto"/>
              </w:rPr>
              <w:t>/h、扬程32m、功率15kW），2台小流量冷水泵（单台流量100m</w:t>
            </w:r>
            <w:r>
              <w:rPr>
                <w:rFonts w:hint="eastAsia" w:cs="Times New Roman"/>
                <w:color w:val="auto"/>
                <w:vertAlign w:val="superscript"/>
              </w:rPr>
              <w:t>3</w:t>
            </w:r>
            <w:r>
              <w:rPr>
                <w:rFonts w:hint="eastAsia" w:cs="Times New Roman"/>
                <w:color w:val="auto"/>
              </w:rPr>
              <w:t>/h、扬程32m、功率15kW），2台大流量冷水泵（单台流量200m3/h、扬程28m、功率22kW）；2台处理能力360m</w:t>
            </w:r>
            <w:r>
              <w:rPr>
                <w:rFonts w:hint="eastAsia" w:cs="Times New Roman"/>
                <w:color w:val="auto"/>
                <w:vertAlign w:val="superscript"/>
              </w:rPr>
              <w:t>3</w:t>
            </w:r>
            <w:r>
              <w:rPr>
                <w:rFonts w:hint="eastAsia" w:cs="Times New Roman"/>
                <w:color w:val="auto"/>
              </w:rPr>
              <w:t>/h玻璃钢低温冷却塔。</w:t>
            </w:r>
          </w:p>
          <w:p w14:paraId="0DC09CBC">
            <w:pPr>
              <w:pStyle w:val="89"/>
              <w:keepNext w:val="0"/>
              <w:keepLines w:val="0"/>
              <w:suppressLineNumbers w:val="0"/>
              <w:spacing w:before="0" w:beforeAutospacing="0" w:after="0" w:afterAutospacing="0" w:line="360" w:lineRule="auto"/>
              <w:ind w:left="0" w:leftChars="0" w:right="0" w:firstLine="480" w:firstLineChars="200"/>
              <w:jc w:val="both"/>
              <w:rPr>
                <w:rFonts w:hint="eastAsia" w:cs="Times New Roman"/>
                <w:color w:val="auto"/>
              </w:rPr>
            </w:pPr>
            <w:r>
              <w:rPr>
                <w:rFonts w:hint="eastAsia" w:cs="Times New Roman"/>
                <w:color w:val="auto"/>
              </w:rPr>
              <w:t>地面瓦斯抽采及入井管路共设3趟，其中2趟管径为DN600，1趟管径为DN800。1趟DN600抽采管路、1趟DN800抽采管路经入井钻孔敷设至-648m北一回风石门，另一趟DN600抽采管路从风井敷设至-648m水平。地面及入井抽采管路通过能力为768.8m</w:t>
            </w:r>
            <w:r>
              <w:rPr>
                <w:rFonts w:hint="default" w:cs="Times New Roman"/>
                <w:color w:val="auto"/>
                <w:vertAlign w:val="superscript"/>
              </w:rPr>
              <w:t>3</w:t>
            </w:r>
            <w:r>
              <w:rPr>
                <w:rFonts w:hint="default" w:cs="Times New Roman"/>
                <w:color w:val="auto"/>
              </w:rPr>
              <w:t>/</w:t>
            </w:r>
            <w:r>
              <w:rPr>
                <w:rFonts w:hint="eastAsia" w:cs="Times New Roman"/>
                <w:color w:val="auto"/>
              </w:rPr>
              <w:t>min。</w:t>
            </w:r>
          </w:p>
          <w:p w14:paraId="63BF7FFE">
            <w:pPr>
              <w:pStyle w:val="89"/>
              <w:keepNext w:val="0"/>
              <w:keepLines w:val="0"/>
              <w:suppressLineNumbers w:val="0"/>
              <w:spacing w:before="0" w:beforeAutospacing="0" w:after="0" w:afterAutospacing="0" w:line="360" w:lineRule="auto"/>
              <w:ind w:left="0" w:leftChars="0" w:right="0" w:firstLine="480" w:firstLineChars="200"/>
              <w:jc w:val="both"/>
              <w:rPr>
                <w:rFonts w:hint="eastAsia" w:cs="Times New Roman"/>
                <w:color w:val="auto"/>
              </w:rPr>
            </w:pPr>
          </w:p>
          <w:p w14:paraId="012AD87D">
            <w:pPr>
              <w:pStyle w:val="89"/>
              <w:keepNext w:val="0"/>
              <w:keepLines w:val="0"/>
              <w:suppressLineNumbers w:val="0"/>
              <w:spacing w:before="0" w:beforeAutospacing="0" w:after="0" w:afterAutospacing="0" w:line="360" w:lineRule="auto"/>
              <w:ind w:left="0" w:leftChars="0" w:right="0" w:firstLine="480" w:firstLineChars="200"/>
              <w:jc w:val="both"/>
              <w:rPr>
                <w:rFonts w:hint="eastAsia" w:cs="Times New Roman"/>
                <w:color w:val="auto"/>
              </w:rPr>
            </w:pPr>
          </w:p>
          <w:p w14:paraId="580C7489">
            <w:pPr>
              <w:pStyle w:val="71"/>
              <w:keepNext w:val="0"/>
              <w:keepLines w:val="0"/>
              <w:numPr>
                <w:ilvl w:val="1"/>
                <w:numId w:val="4"/>
              </w:numPr>
              <w:suppressLineNumbers w:val="0"/>
              <w:tabs>
                <w:tab w:val="left" w:pos="1680"/>
                <w:tab w:val="clear" w:pos="1440"/>
              </w:tabs>
              <w:spacing w:before="0" w:beforeAutospacing="0" w:afterAutospacing="0" w:line="240" w:lineRule="auto"/>
              <w:ind w:left="2530" w:leftChars="0" w:right="0" w:hanging="860" w:firstLineChars="0"/>
              <w:jc w:val="both"/>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 xml:space="preserve"> 顾北煤矿地面及入井抽采管路能力一览表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51"/>
              <w:gridCol w:w="2660"/>
              <w:gridCol w:w="2166"/>
              <w:gridCol w:w="1849"/>
            </w:tblGrid>
            <w:tr w14:paraId="705B0D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3" w:hRule="exact"/>
                <w:jc w:val="center"/>
              </w:trPr>
              <w:tc>
                <w:tcPr>
                  <w:tcW w:w="680" w:type="pct"/>
                  <w:vMerge w:val="restart"/>
                  <w:tcBorders>
                    <w:top w:val="single" w:color="auto" w:sz="6" w:space="0"/>
                    <w:left w:val="single" w:color="auto" w:sz="4" w:space="0"/>
                    <w:right w:val="single" w:color="auto" w:sz="6" w:space="0"/>
                  </w:tcBorders>
                  <w:noWrap w:val="0"/>
                  <w:vAlign w:val="center"/>
                </w:tcPr>
                <w:p w14:paraId="4338D6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现有入井管路</w:t>
                  </w:r>
                </w:p>
              </w:tc>
              <w:tc>
                <w:tcPr>
                  <w:tcW w:w="1721" w:type="pct"/>
                  <w:tcBorders>
                    <w:top w:val="single" w:color="auto" w:sz="6" w:space="0"/>
                    <w:left w:val="single" w:color="auto" w:sz="6" w:space="0"/>
                    <w:bottom w:val="single" w:color="auto" w:sz="6" w:space="0"/>
                    <w:right w:val="single" w:color="auto" w:sz="6" w:space="0"/>
                  </w:tcBorders>
                  <w:noWrap w:val="0"/>
                  <w:vAlign w:val="center"/>
                </w:tcPr>
                <w:p w14:paraId="716FFB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管路管径</w:t>
                  </w:r>
                </w:p>
                <w:p w14:paraId="024BE4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mm</w:t>
                  </w:r>
                </w:p>
              </w:tc>
              <w:tc>
                <w:tcPr>
                  <w:tcW w:w="1401" w:type="pct"/>
                  <w:tcBorders>
                    <w:top w:val="single" w:color="auto" w:sz="6" w:space="0"/>
                    <w:left w:val="single" w:color="auto" w:sz="6" w:space="0"/>
                    <w:bottom w:val="single" w:color="auto" w:sz="6" w:space="0"/>
                    <w:right w:val="single" w:color="auto" w:sz="6" w:space="0"/>
                  </w:tcBorders>
                  <w:noWrap w:val="0"/>
                  <w:vAlign w:val="center"/>
                </w:tcPr>
                <w:p w14:paraId="277043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管道流速</w:t>
                  </w:r>
                </w:p>
                <w:p w14:paraId="706159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m/s</w:t>
                  </w:r>
                </w:p>
              </w:tc>
              <w:tc>
                <w:tcPr>
                  <w:tcW w:w="1196" w:type="pct"/>
                  <w:tcBorders>
                    <w:top w:val="single" w:color="auto" w:sz="6" w:space="0"/>
                    <w:left w:val="single" w:color="auto" w:sz="6" w:space="0"/>
                    <w:bottom w:val="single" w:color="auto" w:sz="6" w:space="0"/>
                    <w:right w:val="single" w:color="auto" w:sz="6" w:space="0"/>
                  </w:tcBorders>
                  <w:noWrap w:val="0"/>
                  <w:vAlign w:val="center"/>
                </w:tcPr>
                <w:p w14:paraId="25D4F4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通过能力</w:t>
                  </w:r>
                </w:p>
                <w:p w14:paraId="19A7F9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m</w:t>
                  </w:r>
                  <w:r>
                    <w:rPr>
                      <w:rFonts w:hint="eastAsia" w:ascii="Times New Roman" w:hAnsi="Times New Roman" w:eastAsia="宋体" w:cs="Times New Roman"/>
                      <w:color w:val="auto"/>
                      <w:kern w:val="0"/>
                      <w:szCs w:val="21"/>
                      <w:highlight w:val="none"/>
                      <w:vertAlign w:val="superscript"/>
                    </w:rPr>
                    <w:t>3</w:t>
                  </w:r>
                  <w:r>
                    <w:rPr>
                      <w:rFonts w:hint="eastAsia" w:ascii="Times New Roman" w:hAnsi="Times New Roman" w:eastAsia="宋体" w:cs="Times New Roman"/>
                      <w:color w:val="auto"/>
                      <w:kern w:val="0"/>
                      <w:szCs w:val="21"/>
                      <w:highlight w:val="none"/>
                    </w:rPr>
                    <w:t>/min</w:t>
                  </w:r>
                </w:p>
              </w:tc>
            </w:tr>
            <w:tr w14:paraId="4F574E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80" w:type="pct"/>
                  <w:vMerge w:val="continue"/>
                  <w:tcBorders>
                    <w:left w:val="single" w:color="auto" w:sz="4" w:space="0"/>
                    <w:right w:val="single" w:color="auto" w:sz="6" w:space="0"/>
                  </w:tcBorders>
                  <w:noWrap w:val="0"/>
                  <w:vAlign w:val="center"/>
                </w:tcPr>
                <w:p w14:paraId="0FD314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1721" w:type="pct"/>
                  <w:tcBorders>
                    <w:top w:val="single" w:color="auto" w:sz="6" w:space="0"/>
                    <w:left w:val="single" w:color="auto" w:sz="6" w:space="0"/>
                    <w:bottom w:val="single" w:color="auto" w:sz="6" w:space="0"/>
                    <w:right w:val="single" w:color="auto" w:sz="6" w:space="0"/>
                  </w:tcBorders>
                  <w:noWrap w:val="0"/>
                  <w:vAlign w:val="center"/>
                </w:tcPr>
                <w:p w14:paraId="153CDA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DN600(1#)</w:t>
                  </w:r>
                </w:p>
              </w:tc>
              <w:tc>
                <w:tcPr>
                  <w:tcW w:w="1401" w:type="pct"/>
                  <w:tcBorders>
                    <w:top w:val="single" w:color="auto" w:sz="6" w:space="0"/>
                    <w:left w:val="single" w:color="auto" w:sz="6" w:space="0"/>
                    <w:bottom w:val="single" w:color="auto" w:sz="6" w:space="0"/>
                    <w:right w:val="single" w:color="auto" w:sz="6" w:space="0"/>
                  </w:tcBorders>
                  <w:noWrap w:val="0"/>
                  <w:vAlign w:val="center"/>
                </w:tcPr>
                <w:p w14:paraId="44D405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12</w:t>
                  </w:r>
                </w:p>
              </w:tc>
              <w:tc>
                <w:tcPr>
                  <w:tcW w:w="1196" w:type="pct"/>
                  <w:tcBorders>
                    <w:top w:val="single" w:color="auto" w:sz="6" w:space="0"/>
                    <w:left w:val="single" w:color="auto" w:sz="6" w:space="0"/>
                    <w:bottom w:val="single" w:color="auto" w:sz="6" w:space="0"/>
                    <w:right w:val="single" w:color="auto" w:sz="6" w:space="0"/>
                  </w:tcBorders>
                  <w:noWrap w:val="0"/>
                  <w:vAlign w:val="center"/>
                </w:tcPr>
                <w:p w14:paraId="060C69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203.5</w:t>
                  </w:r>
                </w:p>
              </w:tc>
            </w:tr>
            <w:tr w14:paraId="41B937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80" w:type="pct"/>
                  <w:vMerge w:val="continue"/>
                  <w:tcBorders>
                    <w:left w:val="single" w:color="auto" w:sz="4" w:space="0"/>
                    <w:right w:val="single" w:color="auto" w:sz="6" w:space="0"/>
                  </w:tcBorders>
                  <w:noWrap w:val="0"/>
                  <w:vAlign w:val="center"/>
                </w:tcPr>
                <w:p w14:paraId="5AE17D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1721" w:type="pct"/>
                  <w:tcBorders>
                    <w:top w:val="single" w:color="auto" w:sz="6" w:space="0"/>
                    <w:left w:val="single" w:color="auto" w:sz="6" w:space="0"/>
                    <w:bottom w:val="single" w:color="auto" w:sz="6" w:space="0"/>
                    <w:right w:val="single" w:color="auto" w:sz="6" w:space="0"/>
                  </w:tcBorders>
                  <w:noWrap w:val="0"/>
                  <w:vAlign w:val="center"/>
                </w:tcPr>
                <w:p w14:paraId="21213B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DN600(2#)</w:t>
                  </w:r>
                </w:p>
              </w:tc>
              <w:tc>
                <w:tcPr>
                  <w:tcW w:w="1401" w:type="pct"/>
                  <w:tcBorders>
                    <w:top w:val="single" w:color="auto" w:sz="6" w:space="0"/>
                    <w:left w:val="single" w:color="auto" w:sz="6" w:space="0"/>
                    <w:bottom w:val="single" w:color="auto" w:sz="6" w:space="0"/>
                    <w:right w:val="single" w:color="auto" w:sz="6" w:space="0"/>
                  </w:tcBorders>
                  <w:noWrap w:val="0"/>
                  <w:vAlign w:val="center"/>
                </w:tcPr>
                <w:p w14:paraId="066FEC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12</w:t>
                  </w:r>
                </w:p>
              </w:tc>
              <w:tc>
                <w:tcPr>
                  <w:tcW w:w="1196" w:type="pct"/>
                  <w:tcBorders>
                    <w:top w:val="single" w:color="auto" w:sz="6" w:space="0"/>
                    <w:left w:val="single" w:color="auto" w:sz="6" w:space="0"/>
                    <w:bottom w:val="single" w:color="auto" w:sz="6" w:space="0"/>
                    <w:right w:val="single" w:color="auto" w:sz="6" w:space="0"/>
                  </w:tcBorders>
                  <w:noWrap w:val="0"/>
                  <w:vAlign w:val="center"/>
                </w:tcPr>
                <w:p w14:paraId="37D1AB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203.5</w:t>
                  </w:r>
                </w:p>
              </w:tc>
            </w:tr>
            <w:tr w14:paraId="691990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80" w:type="pct"/>
                  <w:vMerge w:val="continue"/>
                  <w:tcBorders>
                    <w:left w:val="single" w:color="auto" w:sz="4" w:space="0"/>
                    <w:right w:val="single" w:color="auto" w:sz="6" w:space="0"/>
                  </w:tcBorders>
                  <w:noWrap w:val="0"/>
                  <w:vAlign w:val="center"/>
                </w:tcPr>
                <w:p w14:paraId="50B312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1721" w:type="pct"/>
                  <w:tcBorders>
                    <w:top w:val="single" w:color="auto" w:sz="6" w:space="0"/>
                    <w:left w:val="single" w:color="auto" w:sz="6" w:space="0"/>
                    <w:bottom w:val="single" w:color="auto" w:sz="6" w:space="0"/>
                    <w:right w:val="single" w:color="auto" w:sz="6" w:space="0"/>
                  </w:tcBorders>
                  <w:noWrap w:val="0"/>
                  <w:vAlign w:val="center"/>
                </w:tcPr>
                <w:p w14:paraId="03A3B5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DN800(3#)</w:t>
                  </w:r>
                </w:p>
              </w:tc>
              <w:tc>
                <w:tcPr>
                  <w:tcW w:w="1401" w:type="pct"/>
                  <w:tcBorders>
                    <w:top w:val="single" w:color="auto" w:sz="6" w:space="0"/>
                    <w:left w:val="single" w:color="auto" w:sz="6" w:space="0"/>
                    <w:bottom w:val="single" w:color="auto" w:sz="6" w:space="0"/>
                    <w:right w:val="single" w:color="auto" w:sz="6" w:space="0"/>
                  </w:tcBorders>
                  <w:noWrap w:val="0"/>
                  <w:vAlign w:val="center"/>
                </w:tcPr>
                <w:p w14:paraId="353598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12</w:t>
                  </w:r>
                </w:p>
              </w:tc>
              <w:tc>
                <w:tcPr>
                  <w:tcW w:w="1196" w:type="pct"/>
                  <w:tcBorders>
                    <w:top w:val="single" w:color="auto" w:sz="6" w:space="0"/>
                    <w:left w:val="single" w:color="auto" w:sz="6" w:space="0"/>
                    <w:bottom w:val="single" w:color="auto" w:sz="6" w:space="0"/>
                    <w:right w:val="single" w:color="auto" w:sz="6" w:space="0"/>
                  </w:tcBorders>
                  <w:noWrap w:val="0"/>
                  <w:vAlign w:val="center"/>
                </w:tcPr>
                <w:p w14:paraId="3579BB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361.8</w:t>
                  </w:r>
                </w:p>
              </w:tc>
            </w:tr>
            <w:tr w14:paraId="3D01C9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680" w:type="pct"/>
                  <w:vMerge w:val="continue"/>
                  <w:tcBorders>
                    <w:left w:val="single" w:color="auto" w:sz="4" w:space="0"/>
                    <w:right w:val="single" w:color="auto" w:sz="6" w:space="0"/>
                  </w:tcBorders>
                  <w:noWrap w:val="0"/>
                  <w:vAlign w:val="center"/>
                </w:tcPr>
                <w:p w14:paraId="5C02B5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1721" w:type="pct"/>
                  <w:tcBorders>
                    <w:top w:val="single" w:color="auto" w:sz="6" w:space="0"/>
                    <w:left w:val="single" w:color="auto" w:sz="6" w:space="0"/>
                    <w:bottom w:val="single" w:color="auto" w:sz="6" w:space="0"/>
                    <w:right w:val="single" w:color="auto" w:sz="6" w:space="0"/>
                  </w:tcBorders>
                  <w:noWrap w:val="0"/>
                  <w:vAlign w:val="center"/>
                </w:tcPr>
                <w:p w14:paraId="13165E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总计</w:t>
                  </w:r>
                </w:p>
              </w:tc>
              <w:tc>
                <w:tcPr>
                  <w:tcW w:w="1401" w:type="pct"/>
                  <w:tcBorders>
                    <w:top w:val="single" w:color="auto" w:sz="6" w:space="0"/>
                    <w:left w:val="single" w:color="auto" w:sz="6" w:space="0"/>
                    <w:bottom w:val="single" w:color="auto" w:sz="6" w:space="0"/>
                    <w:right w:val="single" w:color="auto" w:sz="6" w:space="0"/>
                  </w:tcBorders>
                  <w:noWrap w:val="0"/>
                  <w:vAlign w:val="center"/>
                </w:tcPr>
                <w:p w14:paraId="0C233B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p>
              </w:tc>
              <w:tc>
                <w:tcPr>
                  <w:tcW w:w="1196" w:type="pct"/>
                  <w:tcBorders>
                    <w:top w:val="single" w:color="auto" w:sz="6" w:space="0"/>
                    <w:left w:val="single" w:color="auto" w:sz="6" w:space="0"/>
                    <w:bottom w:val="single" w:color="auto" w:sz="6" w:space="0"/>
                    <w:right w:val="single" w:color="auto" w:sz="6" w:space="0"/>
                  </w:tcBorders>
                  <w:noWrap w:val="0"/>
                  <w:vAlign w:val="center"/>
                </w:tcPr>
                <w:p w14:paraId="0B3801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768.8</w:t>
                  </w:r>
                </w:p>
              </w:tc>
            </w:tr>
          </w:tbl>
          <w:p w14:paraId="4A4B44E7">
            <w:pPr>
              <w:pStyle w:val="103"/>
              <w:keepNext w:val="0"/>
              <w:keepLines w:val="0"/>
              <w:suppressLineNumbers w:val="0"/>
              <w:spacing w:before="0" w:beforeAutospacing="0" w:after="0" w:afterAutospacing="0"/>
              <w:ind w:left="0" w:right="0" w:firstLine="583"/>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地面及入井抽采管路通过能力为768.8m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/min。顾北煤矿正在实施入井管路工程，在二副井西北侧新增一个DN800入井钻孔，经一、二水平措施联巷进入-648m水平，施工完毕后矿井入井抽采管路通过能力将达到1130.6m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/min。</w:t>
            </w:r>
          </w:p>
          <w:p w14:paraId="1953BCAB">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bCs/>
                <w:color w:val="auto"/>
                <w:kern w:val="2"/>
                <w:sz w:val="24"/>
                <w:szCs w:val="24"/>
                <w:lang w:val="en-US" w:eastAsia="zh-CN" w:bidi="ar-SA"/>
              </w:rPr>
            </w:pPr>
            <w:r>
              <w:rPr>
                <w:rFonts w:hint="eastAsia" w:ascii="Times New Roman" w:hAnsi="Times New Roman" w:eastAsia="宋体" w:cs="Times New Roman"/>
                <w:bCs/>
                <w:color w:val="auto"/>
                <w:kern w:val="2"/>
                <w:sz w:val="24"/>
                <w:szCs w:val="24"/>
                <w:lang w:val="en-US" w:eastAsia="zh-CN" w:bidi="ar-SA"/>
              </w:rPr>
              <w:t>顾北煤矿瓦斯泵站抽采的瓦斯为低浓度瓦斯，甲烷含量30%以下，目前暂无瓦斯利用设施，采用高空放空管直接排放。</w:t>
            </w:r>
          </w:p>
          <w:p w14:paraId="7C69E218">
            <w:pPr>
              <w:pStyle w:val="89"/>
              <w:keepNext w:val="0"/>
              <w:keepLines w:val="0"/>
              <w:suppressLineNumbers w:val="0"/>
              <w:spacing w:before="0" w:beforeAutospacing="0" w:after="0" w:afterAutospacing="0" w:line="360" w:lineRule="auto"/>
              <w:ind w:left="0" w:leftChars="0" w:right="0" w:firstLine="480" w:firstLineChars="200"/>
              <w:jc w:val="both"/>
              <w:rPr>
                <w:rFonts w:hint="eastAsia" w:ascii="Times New Roman" w:hAnsi="Times New Roman" w:eastAsia="宋体" w:cs="Times New Roman"/>
                <w:bCs/>
                <w:color w:val="auto"/>
                <w:kern w:val="2"/>
                <w:sz w:val="24"/>
                <w:szCs w:val="24"/>
                <w:lang w:val="en-US" w:eastAsia="zh-CN" w:bidi="ar-SA"/>
              </w:rPr>
            </w:pPr>
            <w:r>
              <w:rPr>
                <w:rFonts w:hint="eastAsia" w:ascii="Times New Roman" w:hAnsi="Times New Roman" w:eastAsia="宋体" w:cs="Times New Roman"/>
                <w:bCs/>
                <w:color w:val="auto"/>
                <w:kern w:val="2"/>
                <w:sz w:val="24"/>
                <w:szCs w:val="24"/>
                <w:lang w:val="en-US" w:eastAsia="zh-CN" w:bidi="ar-SA"/>
              </w:rPr>
              <w:t>2）顾北煤矿</w:t>
            </w:r>
            <w:bookmarkStart w:id="4" w:name="OLE_LINK79"/>
            <w:bookmarkStart w:id="5" w:name="OLE_LINK80"/>
            <w:r>
              <w:rPr>
                <w:rFonts w:hint="eastAsia" w:ascii="Times New Roman" w:hAnsi="Times New Roman" w:eastAsia="宋体" w:cs="Times New Roman"/>
                <w:bCs/>
                <w:color w:val="auto"/>
                <w:kern w:val="2"/>
                <w:sz w:val="24"/>
                <w:szCs w:val="24"/>
                <w:lang w:val="en-US" w:eastAsia="zh-CN" w:bidi="ar-SA"/>
              </w:rPr>
              <w:t>地面瓦斯抽采泵站扩建的必要性</w:t>
            </w:r>
            <w:bookmarkEnd w:id="4"/>
            <w:bookmarkEnd w:id="5"/>
            <w:r>
              <w:rPr>
                <w:rFonts w:hint="eastAsia" w:ascii="Times New Roman" w:hAnsi="Times New Roman" w:eastAsia="宋体" w:cs="Times New Roman"/>
                <w:bCs/>
                <w:color w:val="auto"/>
                <w:kern w:val="2"/>
                <w:sz w:val="24"/>
                <w:szCs w:val="24"/>
                <w:lang w:val="en-US" w:eastAsia="zh-CN" w:bidi="ar-SA"/>
              </w:rPr>
              <w:t xml:space="preserve"> </w:t>
            </w:r>
          </w:p>
          <w:p w14:paraId="560BB991">
            <w:pPr>
              <w:pStyle w:val="103"/>
              <w:keepNext w:val="0"/>
              <w:keepLines w:val="0"/>
              <w:suppressLineNumbers w:val="0"/>
              <w:spacing w:before="0" w:beforeAutospacing="0" w:after="0" w:afterAutospacing="0"/>
              <w:ind w:left="0" w:right="0" w:firstLine="583"/>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①采掘工作面瓦斯治理的需要</w:t>
            </w:r>
          </w:p>
          <w:p w14:paraId="31E75900">
            <w:pPr>
              <w:pStyle w:val="103"/>
              <w:keepNext w:val="0"/>
              <w:keepLines w:val="0"/>
              <w:suppressLineNumbers w:val="0"/>
              <w:spacing w:before="0" w:beforeAutospacing="0" w:after="0" w:afterAutospacing="0"/>
              <w:ind w:left="0" w:right="0" w:firstLine="583"/>
              <w:rPr>
                <w:rFonts w:hint="eastAsia" w:ascii="宋体" w:hAnsi="宋体" w:eastAsia="宋体" w:cs="宋体"/>
                <w:color w:val="auto"/>
                <w:sz w:val="24"/>
                <w:szCs w:val="24"/>
              </w:rPr>
            </w:pPr>
            <w:r>
              <w:rPr>
                <w:rFonts w:hint="eastAsia" w:ascii="Times New Roman" w:hAnsi="Times New Roman" w:eastAsia="宋体" w:cs="Times New Roman"/>
                <w:color w:val="auto"/>
                <w:kern w:val="2"/>
                <w:sz w:val="24"/>
                <w:szCs w:val="24"/>
                <w:lang w:val="en-US" w:eastAsia="zh-CN" w:bidi="ar-SA"/>
              </w:rPr>
              <w:t>根据建设单位分析，矿井抽采系统能力目前难以满足矿井</w:t>
            </w:r>
            <w:bookmarkStart w:id="6" w:name="OLE_LINK73"/>
            <w:bookmarkStart w:id="7" w:name="OLE_LINK64"/>
            <w:r>
              <w:rPr>
                <w:rFonts w:hint="eastAsia" w:ascii="Times New Roman" w:hAnsi="Times New Roman" w:eastAsia="宋体" w:cs="Times New Roman"/>
                <w:color w:val="auto"/>
                <w:kern w:val="2"/>
                <w:sz w:val="24"/>
                <w:szCs w:val="24"/>
                <w:lang w:val="en-US" w:eastAsia="zh-CN" w:bidi="ar-SA"/>
              </w:rPr>
              <w:t>采场延深</w:t>
            </w:r>
            <w:bookmarkEnd w:id="6"/>
            <w:bookmarkEnd w:id="7"/>
            <w:r>
              <w:rPr>
                <w:rFonts w:hint="eastAsia" w:ascii="Times New Roman" w:hAnsi="Times New Roman" w:eastAsia="宋体" w:cs="Times New Roman"/>
                <w:color w:val="auto"/>
                <w:kern w:val="2"/>
                <w:sz w:val="24"/>
                <w:szCs w:val="24"/>
                <w:lang w:val="en-US" w:eastAsia="zh-CN" w:bidi="ar-SA"/>
              </w:rPr>
              <w:t>和二水平开采的需要，地面抽采泵站按“4用2备”运行方式额定流量为</w:t>
            </w:r>
            <w:r>
              <w:rPr>
                <w:rFonts w:hint="eastAsia" w:ascii="宋体" w:hAnsi="宋体" w:eastAsia="宋体" w:cs="宋体"/>
                <w:color w:val="auto"/>
                <w:sz w:val="24"/>
                <w:szCs w:val="24"/>
              </w:rPr>
              <w:t>2600m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/min、地面及入井抽采管路抽采能力为1130.6m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/min（新增DN800入井管路、地面管路施工完毕后）、井下抽采干管抽采能力为1153.2m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/min。</w:t>
            </w:r>
          </w:p>
          <w:p w14:paraId="312B5947">
            <w:pPr>
              <w:pStyle w:val="104"/>
              <w:keepNext w:val="0"/>
              <w:keepLines w:val="0"/>
              <w:suppressLineNumbers w:val="0"/>
              <w:spacing w:before="0" w:beforeAutospacing="0" w:after="0" w:afterAutospacing="0"/>
              <w:ind w:left="0" w:right="0" w:firstLine="583"/>
              <w:rPr>
                <w:rFonts w:hint="eastAsia" w:ascii="宋体" w:hAnsi="宋体" w:eastAsia="宋体" w:cs="宋体"/>
                <w:color w:val="auto"/>
                <w:sz w:val="24"/>
                <w:szCs w:val="24"/>
              </w:rPr>
            </w:pPr>
            <w:bookmarkStart w:id="8" w:name="OLE_LINK63"/>
            <w:bookmarkStart w:id="9" w:name="OLE_LINK62"/>
            <w:r>
              <w:rPr>
                <w:rFonts w:hint="eastAsia" w:ascii="宋体" w:hAnsi="宋体" w:eastAsia="宋体" w:cs="宋体"/>
                <w:color w:val="auto"/>
                <w:sz w:val="24"/>
                <w:szCs w:val="24"/>
              </w:rPr>
              <w:t>顾北煤矿</w:t>
            </w:r>
            <w:bookmarkStart w:id="10" w:name="OLE_LINK55"/>
            <w:bookmarkStart w:id="11" w:name="OLE_LINK58"/>
            <w:r>
              <w:rPr>
                <w:rFonts w:hint="eastAsia" w:ascii="宋体" w:hAnsi="宋体" w:eastAsia="宋体" w:cs="宋体"/>
                <w:color w:val="auto"/>
                <w:sz w:val="24"/>
                <w:szCs w:val="24"/>
              </w:rPr>
              <w:t>1煤采场进入突出危险区和二水平生产时</w:t>
            </w:r>
            <w:bookmarkEnd w:id="10"/>
            <w:bookmarkEnd w:id="11"/>
            <w:r>
              <w:rPr>
                <w:rFonts w:hint="eastAsia" w:ascii="宋体" w:hAnsi="宋体" w:eastAsia="宋体" w:cs="宋体"/>
                <w:color w:val="auto"/>
                <w:sz w:val="24"/>
                <w:szCs w:val="24"/>
              </w:rPr>
              <w:t>，井下瓦斯抽采混合量为717～748.29m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/min，需要管路抽采能力为1075.5～1122.4m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/min，需要抽采泵额定流量3177.4～3316.0m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/min。现有瓦斯抽采泵能力不能满足要求，有必要对现有抽采系统实施扩建工程。</w:t>
            </w:r>
          </w:p>
          <w:bookmarkEnd w:id="8"/>
          <w:bookmarkEnd w:id="9"/>
          <w:p w14:paraId="063B8827">
            <w:pPr>
              <w:pStyle w:val="103"/>
              <w:keepNext w:val="0"/>
              <w:keepLines w:val="0"/>
              <w:suppressLineNumbers w:val="0"/>
              <w:spacing w:before="0" w:beforeAutospacing="0" w:after="0" w:afterAutospacing="0"/>
              <w:ind w:left="0" w:right="0" w:firstLine="585"/>
              <w:rPr>
                <w:rFonts w:hint="eastAsia" w:ascii="宋体" w:hAnsi="宋体" w:eastAsia="宋体" w:cs="宋体"/>
                <w:b/>
                <w:color w:val="auto"/>
                <w:sz w:val="24"/>
                <w:szCs w:val="24"/>
                <w:lang w:bidi="ar"/>
              </w:rPr>
            </w:pPr>
            <w:r>
              <w:rPr>
                <w:rFonts w:hint="eastAsia" w:ascii="宋体" w:hAnsi="宋体" w:eastAsia="宋体" w:cs="宋体"/>
                <w:b w:val="0"/>
                <w:bCs w:val="0"/>
                <w:color w:val="auto"/>
                <w:sz w:val="24"/>
                <w:szCs w:val="24"/>
                <w:lang w:bidi="ar"/>
              </w:rPr>
              <w:t>②满足瓦斯抽采</w:t>
            </w:r>
            <w:r>
              <w:rPr>
                <w:rFonts w:hint="eastAsia" w:ascii="宋体" w:hAnsi="宋体" w:eastAsia="宋体" w:cs="宋体"/>
                <w:b w:val="0"/>
                <w:bCs w:val="0"/>
                <w:color w:val="auto"/>
                <w:sz w:val="24"/>
                <w:szCs w:val="24"/>
                <w:lang w:val="en-US" w:eastAsia="zh-CN" w:bidi="ar"/>
              </w:rPr>
              <w:t>综合</w:t>
            </w:r>
            <w:r>
              <w:rPr>
                <w:rFonts w:hint="eastAsia" w:ascii="宋体" w:hAnsi="宋体" w:eastAsia="宋体" w:cs="宋体"/>
                <w:b w:val="0"/>
                <w:bCs w:val="0"/>
                <w:color w:val="auto"/>
                <w:sz w:val="24"/>
                <w:szCs w:val="24"/>
                <w:lang w:bidi="ar"/>
              </w:rPr>
              <w:t>利用的需要</w:t>
            </w:r>
          </w:p>
          <w:p w14:paraId="179E1362">
            <w:pPr>
              <w:pStyle w:val="103"/>
              <w:keepNext w:val="0"/>
              <w:keepLines w:val="0"/>
              <w:suppressLineNumbers w:val="0"/>
              <w:spacing w:before="0" w:beforeAutospacing="0" w:after="0" w:afterAutospacing="0"/>
              <w:ind w:left="0" w:right="0" w:firstLine="583"/>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本项目实施后可</w:t>
            </w:r>
            <w:r>
              <w:rPr>
                <w:rFonts w:hint="eastAsia" w:ascii="宋体" w:hAnsi="宋体" w:eastAsia="宋体" w:cs="宋体"/>
                <w:color w:val="auto"/>
                <w:sz w:val="24"/>
                <w:szCs w:val="24"/>
              </w:rPr>
              <w:t>增强</w:t>
            </w:r>
            <w:r>
              <w:rPr>
                <w:rFonts w:hint="eastAsia" w:ascii="宋体" w:hAnsi="宋体" w:eastAsia="宋体" w:cs="宋体"/>
                <w:color w:val="auto"/>
                <w:sz w:val="24"/>
                <w:szCs w:val="24"/>
                <w:lang w:val="en-US" w:eastAsia="zh-CN"/>
              </w:rPr>
              <w:t>瓦斯</w:t>
            </w:r>
            <w:r>
              <w:rPr>
                <w:rFonts w:hint="eastAsia" w:ascii="宋体" w:hAnsi="宋体" w:eastAsia="宋体" w:cs="宋体"/>
                <w:color w:val="auto"/>
                <w:sz w:val="24"/>
                <w:szCs w:val="24"/>
              </w:rPr>
              <w:t>抽采系统能力，有助于</w:t>
            </w:r>
            <w:r>
              <w:rPr>
                <w:rFonts w:hint="eastAsia" w:ascii="宋体" w:hAnsi="宋体" w:eastAsia="宋体" w:cs="宋体"/>
                <w:color w:val="auto"/>
                <w:sz w:val="24"/>
                <w:szCs w:val="24"/>
                <w:lang w:val="en-US" w:eastAsia="zh-CN"/>
              </w:rPr>
              <w:t>稳定</w:t>
            </w:r>
            <w:r>
              <w:rPr>
                <w:rFonts w:hint="eastAsia" w:ascii="宋体" w:hAnsi="宋体" w:eastAsia="宋体" w:cs="宋体"/>
                <w:color w:val="auto"/>
                <w:sz w:val="24"/>
                <w:szCs w:val="24"/>
              </w:rPr>
              <w:t>保障长三角能源保障基地顾北煤矿超低浓度瓦斯清洁高效综合利用示范项目气源供应，发挥瓦斯利用设施效能。</w:t>
            </w:r>
          </w:p>
          <w:p w14:paraId="1491AA02">
            <w:pPr>
              <w:pStyle w:val="89"/>
              <w:keepNext w:val="0"/>
              <w:keepLines w:val="0"/>
              <w:suppressLineNumbers w:val="0"/>
              <w:spacing w:before="0" w:beforeAutospacing="0" w:after="0" w:afterAutospacing="0" w:line="360" w:lineRule="auto"/>
              <w:ind w:left="0" w:leftChars="0" w:right="0" w:firstLine="480" w:firstLineChars="200"/>
              <w:jc w:val="both"/>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 3）抽采瓦斯系统改扩建的可行性</w:t>
            </w:r>
          </w:p>
          <w:p w14:paraId="011DD6B9">
            <w:pPr>
              <w:pStyle w:val="103"/>
              <w:keepNext w:val="0"/>
              <w:keepLines w:val="0"/>
              <w:suppressLineNumbers w:val="0"/>
              <w:spacing w:before="0" w:beforeAutospacing="0" w:after="0" w:afterAutospacing="0"/>
              <w:ind w:left="0" w:right="0" w:firstLine="583"/>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①建设单位经详细调研踏勘，现有</w:t>
            </w:r>
            <w:r>
              <w:rPr>
                <w:rFonts w:hint="eastAsia" w:ascii="宋体" w:hAnsi="宋体" w:eastAsia="宋体" w:cs="宋体"/>
                <w:color w:val="auto"/>
                <w:sz w:val="24"/>
                <w:szCs w:val="24"/>
              </w:rPr>
              <w:t>地面条件满足工程实施需要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具备扩建的空间，配套系统具备改造条件，方案具备可行性。</w:t>
            </w:r>
          </w:p>
          <w:p w14:paraId="4CEFB028">
            <w:pPr>
              <w:pStyle w:val="103"/>
              <w:keepNext w:val="0"/>
              <w:keepLines w:val="0"/>
              <w:suppressLineNumbers w:val="0"/>
              <w:spacing w:before="0" w:beforeAutospacing="0" w:after="0" w:afterAutospacing="0"/>
              <w:ind w:left="0" w:right="0" w:firstLine="583"/>
              <w:rPr>
                <w:rFonts w:hint="eastAsia" w:ascii="宋体" w:hAnsi="宋体" w:eastAsia="宋体" w:cs="宋体"/>
                <w:color w:val="auto"/>
                <w:sz w:val="24"/>
                <w:szCs w:val="24"/>
              </w:rPr>
            </w:pPr>
            <w:r>
              <w:rPr>
                <w:rFonts w:hint="eastAsia" w:ascii="宋体" w:hAnsi="宋体" w:eastAsia="宋体" w:cs="宋体"/>
                <w:color w:val="auto"/>
                <w:sz w:val="24"/>
                <w:szCs w:val="24"/>
              </w:rPr>
              <w:t>②工程实施期间不影响矿井正常生产</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实施扩建工程时，不影响现有抽采系统正常使用，不影响矿井正常生产。</w:t>
            </w:r>
          </w:p>
          <w:p w14:paraId="561F6EF9">
            <w:pPr>
              <w:pStyle w:val="89"/>
              <w:keepNext w:val="0"/>
              <w:keepLines w:val="0"/>
              <w:suppressLineNumbers w:val="0"/>
              <w:spacing w:before="0" w:beforeAutospacing="0" w:after="0" w:afterAutospacing="0"/>
              <w:ind w:left="0" w:leftChars="0" w:right="0" w:firstLine="480" w:firstLineChars="200"/>
              <w:jc w:val="both"/>
              <w:rPr>
                <w:rFonts w:hint="eastAsia" w:cs="Times New Roman"/>
                <w:bCs/>
                <w:color w:val="auto"/>
                <w:sz w:val="24"/>
                <w:szCs w:val="24"/>
                <w:lang w:val="en-US" w:eastAsia="zh-CN"/>
              </w:rPr>
            </w:pPr>
            <w:r>
              <w:rPr>
                <w:rFonts w:hint="eastAsia" w:ascii="Times New Roman" w:hAnsi="Times New Roman" w:eastAsia="宋体" w:cs="Times New Roman"/>
                <w:color w:val="auto"/>
                <w:sz w:val="24"/>
                <w:szCs w:val="24"/>
                <w:lang w:val="en-US" w:eastAsia="zh-CN"/>
              </w:rPr>
              <w:t>综上所述，</w:t>
            </w:r>
            <w:r>
              <w:rPr>
                <w:rFonts w:hint="eastAsia" w:cs="Times New Roman"/>
                <w:bCs/>
                <w:color w:val="auto"/>
                <w:sz w:val="24"/>
                <w:szCs w:val="24"/>
                <w:lang w:val="en-US" w:eastAsia="zh-CN"/>
              </w:rPr>
              <w:t>淮浙煤电有限责任公司顾北煤矿</w:t>
            </w:r>
            <w:r>
              <w:rPr>
                <w:rFonts w:hint="eastAsia" w:ascii="Times New Roman" w:hAnsi="Times New Roman" w:eastAsia="宋体" w:cs="Times New Roman"/>
                <w:color w:val="auto"/>
                <w:sz w:val="24"/>
                <w:szCs w:val="24"/>
                <w:lang w:val="en-US" w:eastAsia="zh-CN"/>
              </w:rPr>
              <w:t>为</w:t>
            </w:r>
            <w:r>
              <w:rPr>
                <w:rFonts w:hint="eastAsia" w:cs="仿宋_GB2312"/>
                <w:color w:val="auto"/>
                <w:sz w:val="24"/>
                <w:szCs w:val="24"/>
                <w:lang w:bidi="ar"/>
              </w:rPr>
              <w:t>满足矿井采场延深和二水平开采</w:t>
            </w:r>
            <w:r>
              <w:rPr>
                <w:rFonts w:hint="eastAsia" w:ascii="Times New Roman" w:hAnsi="Times New Roman" w:eastAsia="宋体" w:cs="Times New Roman"/>
                <w:color w:val="auto"/>
                <w:sz w:val="24"/>
                <w:szCs w:val="24"/>
                <w:lang w:val="en-US" w:eastAsia="zh-CN"/>
              </w:rPr>
              <w:t>需要，保障矿井安全生产，</w:t>
            </w:r>
            <w:r>
              <w:rPr>
                <w:rFonts w:hint="eastAsia" w:cs="Times New Roman"/>
                <w:bCs/>
                <w:color w:val="auto"/>
                <w:sz w:val="24"/>
                <w:szCs w:val="24"/>
                <w:lang w:val="en-US" w:eastAsia="zh-CN"/>
              </w:rPr>
              <w:t>拟实施顾北煤矿地面瓦斯抽采泵站扩建工程项目。</w:t>
            </w:r>
          </w:p>
          <w:p w14:paraId="0DED45E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根据《中华人民共和国环境保护法》、《中华人民共和国环境影响评价法》、《建设项目环境影响评价分类管理名录（2021 年版）》中有关规定，确定本项目需要进行环境影响评价，本项目属于“四、煤炭开采和洗选业06--烟煤和无烟煤开采洗选061--瓦斯抽放站</w:t>
            </w:r>
            <w:r>
              <w:rPr>
                <w:rFonts w:hint="eastAsia" w:cs="Times New Roman"/>
                <w:color w:val="auto"/>
                <w:sz w:val="24"/>
                <w:szCs w:val="24"/>
                <w:lang w:eastAsia="zh-CN"/>
              </w:rPr>
              <w:t>”，</w:t>
            </w:r>
            <w:r>
              <w:rPr>
                <w:rFonts w:hint="eastAsia" w:ascii="Times New Roman" w:hAnsi="Times New Roman" w:eastAsia="宋体" w:cs="Times New Roman"/>
                <w:color w:val="auto"/>
                <w:kern w:val="2"/>
                <w:sz w:val="24"/>
                <w:szCs w:val="24"/>
                <w:lang w:val="en-US" w:eastAsia="zh-CN" w:bidi="ar-SA"/>
              </w:rPr>
              <w:t>需编制环境影响报告表。2026年7月，淮浙煤电有限责任公司顾北煤矿委托我公司对本项目进行环境影响评价工作。我单位接受委托后，组织评价人员赴现场勘察、调研，编制了该项目环境影响评价报告表，呈报生态环境行政主管部门审批。</w:t>
            </w:r>
          </w:p>
          <w:p w14:paraId="6CE2B95A">
            <w:pPr>
              <w:pStyle w:val="102"/>
              <w:keepNext w:val="0"/>
              <w:keepLines w:val="0"/>
              <w:suppressLineNumbers w:val="0"/>
              <w:spacing w:before="0" w:beforeAutospacing="0" w:after="0" w:afterAutospacing="0" w:line="360" w:lineRule="auto"/>
              <w:ind w:left="0" w:right="0" w:firstLine="482"/>
              <w:rPr>
                <w:rFonts w:hint="default" w:cs="Times New Roman"/>
                <w:color w:val="auto"/>
                <w:kern w:val="2"/>
                <w:sz w:val="24"/>
                <w:szCs w:val="24"/>
                <w:lang w:val="en-US" w:eastAsia="zh-CN"/>
              </w:rPr>
            </w:pPr>
            <w:r>
              <w:rPr>
                <w:rFonts w:hint="eastAsia" w:cs="Times New Roman"/>
                <w:color w:val="auto"/>
                <w:kern w:val="2"/>
                <w:sz w:val="24"/>
                <w:szCs w:val="24"/>
                <w:lang w:val="en-US" w:eastAsia="zh-CN"/>
              </w:rPr>
              <w:t>2</w:t>
            </w:r>
            <w:r>
              <w:rPr>
                <w:rFonts w:hint="default" w:cs="Times New Roman"/>
                <w:color w:val="auto"/>
                <w:kern w:val="2"/>
                <w:sz w:val="24"/>
                <w:szCs w:val="24"/>
                <w:lang w:val="en-US" w:eastAsia="zh-CN"/>
              </w:rPr>
              <w:t>、</w:t>
            </w:r>
            <w:r>
              <w:rPr>
                <w:rFonts w:hint="eastAsia" w:cs="Times New Roman"/>
                <w:color w:val="auto"/>
                <w:kern w:val="2"/>
                <w:sz w:val="24"/>
                <w:szCs w:val="24"/>
                <w:lang w:val="en-US" w:eastAsia="zh-CN"/>
              </w:rPr>
              <w:t>本</w:t>
            </w:r>
            <w:r>
              <w:rPr>
                <w:rFonts w:hint="default" w:cs="Times New Roman"/>
                <w:color w:val="auto"/>
                <w:kern w:val="2"/>
                <w:sz w:val="24"/>
                <w:szCs w:val="24"/>
                <w:lang w:val="en-US" w:eastAsia="zh-CN"/>
              </w:rPr>
              <w:t>项目建设内容及规模</w:t>
            </w:r>
          </w:p>
          <w:p w14:paraId="6640614B">
            <w:pPr>
              <w:pStyle w:val="89"/>
              <w:keepNext w:val="0"/>
              <w:keepLines w:val="0"/>
              <w:suppressLineNumbers w:val="0"/>
              <w:spacing w:before="0" w:beforeAutospacing="0" w:after="0" w:afterAutospacing="0" w:line="360" w:lineRule="auto"/>
              <w:ind w:left="0" w:right="0" w:firstLine="480"/>
              <w:rPr>
                <w:rFonts w:hint="default" w:cs="Times New Roman"/>
                <w:color w:val="auto"/>
                <w:sz w:val="24"/>
                <w:szCs w:val="24"/>
              </w:rPr>
            </w:pPr>
            <w:r>
              <w:rPr>
                <w:rFonts w:hint="default" w:cs="Times New Roman"/>
                <w:color w:val="auto"/>
                <w:sz w:val="24"/>
                <w:szCs w:val="24"/>
              </w:rPr>
              <w:t>项目名称：</w:t>
            </w:r>
            <w:r>
              <w:rPr>
                <w:rFonts w:hint="eastAsia" w:cs="Times New Roman"/>
                <w:color w:val="auto"/>
                <w:sz w:val="24"/>
                <w:szCs w:val="24"/>
                <w:lang w:eastAsia="zh-CN"/>
              </w:rPr>
              <w:t>顾北煤矿地面瓦斯抽采泵站扩建工程项目</w:t>
            </w:r>
            <w:r>
              <w:rPr>
                <w:rFonts w:hint="default" w:cs="Times New Roman"/>
                <w:color w:val="auto"/>
                <w:sz w:val="24"/>
                <w:szCs w:val="24"/>
              </w:rPr>
              <w:t>；</w:t>
            </w:r>
          </w:p>
          <w:p w14:paraId="56F9D6AD">
            <w:pPr>
              <w:pStyle w:val="89"/>
              <w:keepNext w:val="0"/>
              <w:keepLines w:val="0"/>
              <w:suppressLineNumbers w:val="0"/>
              <w:spacing w:before="0" w:beforeAutospacing="0" w:after="0" w:afterAutospacing="0" w:line="360" w:lineRule="auto"/>
              <w:ind w:left="0" w:right="0" w:firstLine="480"/>
              <w:rPr>
                <w:rFonts w:hint="default" w:cs="Times New Roman"/>
                <w:color w:val="auto"/>
                <w:sz w:val="24"/>
                <w:szCs w:val="24"/>
              </w:rPr>
            </w:pPr>
            <w:r>
              <w:rPr>
                <w:rFonts w:hint="eastAsia" w:cs="Times New Roman"/>
                <w:color w:val="auto"/>
                <w:sz w:val="24"/>
                <w:szCs w:val="24"/>
              </w:rPr>
              <w:t>建设单位</w:t>
            </w:r>
            <w:r>
              <w:rPr>
                <w:rFonts w:hint="default" w:cs="Times New Roman"/>
                <w:color w:val="auto"/>
                <w:sz w:val="24"/>
                <w:szCs w:val="24"/>
              </w:rPr>
              <w:t>：</w:t>
            </w:r>
            <w:r>
              <w:rPr>
                <w:rFonts w:hint="eastAsia" w:cs="Times New Roman"/>
                <w:color w:val="auto"/>
                <w:sz w:val="24"/>
                <w:szCs w:val="24"/>
                <w:lang w:eastAsia="zh-CN"/>
              </w:rPr>
              <w:t>淮浙煤电有限责任公司顾北煤矿</w:t>
            </w:r>
            <w:r>
              <w:rPr>
                <w:rFonts w:hint="default" w:cs="Times New Roman"/>
                <w:color w:val="auto"/>
                <w:sz w:val="24"/>
                <w:szCs w:val="24"/>
              </w:rPr>
              <w:t>；</w:t>
            </w:r>
          </w:p>
          <w:p w14:paraId="1A407B44">
            <w:pPr>
              <w:pStyle w:val="89"/>
              <w:keepNext w:val="0"/>
              <w:keepLines w:val="0"/>
              <w:suppressLineNumbers w:val="0"/>
              <w:spacing w:before="0" w:beforeAutospacing="0" w:after="0" w:afterAutospacing="0"/>
              <w:ind w:left="0" w:right="0" w:firstLine="480"/>
              <w:rPr>
                <w:rFonts w:hint="default" w:cs="Times New Roman"/>
                <w:color w:val="auto"/>
                <w:sz w:val="24"/>
                <w:szCs w:val="24"/>
              </w:rPr>
            </w:pPr>
            <w:r>
              <w:rPr>
                <w:rFonts w:hint="default" w:cs="Times New Roman"/>
                <w:color w:val="auto"/>
                <w:sz w:val="24"/>
                <w:szCs w:val="24"/>
              </w:rPr>
              <w:t>建设性质：</w:t>
            </w:r>
            <w:r>
              <w:rPr>
                <w:rFonts w:hint="eastAsia" w:cs="Times New Roman"/>
                <w:color w:val="auto"/>
                <w:sz w:val="24"/>
                <w:szCs w:val="24"/>
                <w:lang w:eastAsia="zh-CN"/>
              </w:rPr>
              <w:t>扩建</w:t>
            </w:r>
            <w:r>
              <w:rPr>
                <w:rFonts w:hint="default" w:cs="Times New Roman"/>
                <w:color w:val="auto"/>
                <w:sz w:val="24"/>
                <w:szCs w:val="24"/>
              </w:rPr>
              <w:t>；</w:t>
            </w:r>
          </w:p>
          <w:p w14:paraId="4064C2D2">
            <w:pPr>
              <w:pStyle w:val="89"/>
              <w:keepNext w:val="0"/>
              <w:keepLines w:val="0"/>
              <w:suppressLineNumbers w:val="0"/>
              <w:spacing w:before="0" w:beforeAutospacing="0" w:after="0" w:afterAutospacing="0"/>
              <w:ind w:left="0" w:right="0" w:firstLine="480"/>
              <w:rPr>
                <w:rFonts w:hint="default" w:cs="Times New Roman"/>
                <w:color w:val="auto"/>
                <w:sz w:val="24"/>
                <w:szCs w:val="24"/>
              </w:rPr>
            </w:pPr>
            <w:r>
              <w:rPr>
                <w:rFonts w:hint="default" w:cs="Times New Roman"/>
                <w:color w:val="auto"/>
                <w:sz w:val="24"/>
                <w:szCs w:val="24"/>
              </w:rPr>
              <w:t>项目地点：</w:t>
            </w:r>
            <w:r>
              <w:rPr>
                <w:rFonts w:hint="eastAsia" w:ascii="Times New Roman" w:hAnsi="Times New Roman" w:eastAsia="宋体" w:cs="Times New Roman"/>
                <w:color w:val="auto"/>
                <w:sz w:val="24"/>
                <w:szCs w:val="24"/>
                <w:lang w:eastAsia="zh-CN"/>
              </w:rPr>
              <w:t>淮南市凤台县顾桥镇顾北煤矿矿内</w:t>
            </w:r>
            <w:r>
              <w:rPr>
                <w:rFonts w:hint="default" w:cs="Times New Roman"/>
                <w:color w:val="auto"/>
                <w:sz w:val="24"/>
                <w:szCs w:val="24"/>
              </w:rPr>
              <w:t>，具体位置见附图1；</w:t>
            </w:r>
          </w:p>
          <w:p w14:paraId="7CF811BA">
            <w:pPr>
              <w:pStyle w:val="89"/>
              <w:keepNext w:val="0"/>
              <w:keepLines w:val="0"/>
              <w:suppressLineNumbers w:val="0"/>
              <w:spacing w:before="0" w:beforeAutospacing="0" w:after="0" w:afterAutospacing="0"/>
              <w:ind w:left="0" w:right="0" w:firstLine="480"/>
              <w:rPr>
                <w:rFonts w:hint="default" w:cs="Times New Roman"/>
                <w:color w:val="auto"/>
                <w:sz w:val="24"/>
                <w:szCs w:val="24"/>
                <w:highlight w:val="none"/>
              </w:rPr>
            </w:pPr>
            <w:r>
              <w:rPr>
                <w:rFonts w:hint="default" w:cs="Times New Roman"/>
                <w:color w:val="auto"/>
                <w:sz w:val="24"/>
                <w:szCs w:val="24"/>
              </w:rPr>
              <w:t>项目投资：</w:t>
            </w:r>
            <w:r>
              <w:rPr>
                <w:rFonts w:hint="eastAsia" w:cs="Times New Roman"/>
                <w:color w:val="auto"/>
                <w:sz w:val="24"/>
                <w:szCs w:val="24"/>
              </w:rPr>
              <w:t>本项目总</w:t>
            </w:r>
            <w:r>
              <w:rPr>
                <w:rFonts w:hint="default" w:cs="Times New Roman"/>
                <w:color w:val="auto"/>
                <w:sz w:val="24"/>
                <w:szCs w:val="24"/>
              </w:rPr>
              <w:t>投资</w:t>
            </w:r>
            <w:r>
              <w:rPr>
                <w:rFonts w:hint="eastAsia" w:cs="Times New Roman"/>
                <w:color w:val="auto"/>
                <w:sz w:val="24"/>
                <w:szCs w:val="24"/>
                <w:lang w:val="en-US" w:eastAsia="zh-CN"/>
              </w:rPr>
              <w:t>1257.</w:t>
            </w:r>
            <w:r>
              <w:rPr>
                <w:rFonts w:hint="eastAsia" w:cs="Times New Roman"/>
                <w:color w:val="auto"/>
                <w:sz w:val="24"/>
                <w:szCs w:val="24"/>
                <w:highlight w:val="none"/>
                <w:lang w:val="en-US" w:eastAsia="zh-CN"/>
              </w:rPr>
              <w:t>1</w:t>
            </w:r>
            <w:r>
              <w:rPr>
                <w:rFonts w:hint="default" w:cs="Times New Roman"/>
                <w:color w:val="auto"/>
                <w:sz w:val="24"/>
                <w:szCs w:val="24"/>
                <w:highlight w:val="none"/>
              </w:rPr>
              <w:t>万元，其中环保投资</w:t>
            </w:r>
            <w:r>
              <w:rPr>
                <w:rFonts w:hint="eastAsia" w:cs="Times New Roman"/>
                <w:color w:val="auto"/>
                <w:sz w:val="24"/>
                <w:szCs w:val="24"/>
                <w:highlight w:val="none"/>
                <w:lang w:val="en-US" w:eastAsia="zh-CN"/>
              </w:rPr>
              <w:t>11</w:t>
            </w:r>
            <w:r>
              <w:rPr>
                <w:rFonts w:hint="default" w:cs="Times New Roman"/>
                <w:color w:val="auto"/>
                <w:sz w:val="24"/>
                <w:szCs w:val="24"/>
                <w:highlight w:val="none"/>
              </w:rPr>
              <w:t>万元，占总投资的</w:t>
            </w:r>
            <w:r>
              <w:rPr>
                <w:rFonts w:hint="eastAsia" w:cs="Times New Roman"/>
                <w:color w:val="auto"/>
                <w:sz w:val="24"/>
                <w:szCs w:val="24"/>
                <w:highlight w:val="none"/>
                <w:lang w:val="en-US" w:eastAsia="zh-CN"/>
              </w:rPr>
              <w:t>0.87</w:t>
            </w:r>
            <w:r>
              <w:rPr>
                <w:rFonts w:hint="default" w:cs="Times New Roman"/>
                <w:color w:val="auto"/>
                <w:sz w:val="24"/>
                <w:szCs w:val="24"/>
                <w:highlight w:val="none"/>
              </w:rPr>
              <w:t>%；</w:t>
            </w:r>
          </w:p>
          <w:p w14:paraId="523884F4">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本项目建设内容主要包括：新建瓦斯抽采泵房</w:t>
            </w:r>
            <w:r>
              <w:rPr>
                <w:rFonts w:hint="eastAsia" w:ascii="Times New Roman" w:hAnsi="Times New Roman" w:eastAsia="宋体" w:cs="Times New Roman"/>
                <w:color w:val="auto"/>
                <w:sz w:val="24"/>
                <w:szCs w:val="24"/>
                <w:lang w:val="en-US" w:eastAsia="zh-CN"/>
              </w:rPr>
              <w:t>一座</w:t>
            </w:r>
            <w:r>
              <w:rPr>
                <w:rFonts w:hint="eastAsia" w:ascii="Times New Roman" w:hAnsi="Times New Roman" w:eastAsia="宋体" w:cs="Times New Roman"/>
                <w:color w:val="auto"/>
                <w:sz w:val="24"/>
                <w:szCs w:val="24"/>
                <w:lang w:eastAsia="zh-CN"/>
              </w:rPr>
              <w:t>并新增2台高负压大流量的瓦斯抽采泵（</w:t>
            </w:r>
            <w:r>
              <w:rPr>
                <w:rFonts w:hint="eastAsia" w:ascii="Times New Roman" w:hAnsi="Times New Roman" w:eastAsia="宋体" w:cs="Times New Roman"/>
                <w:color w:val="auto"/>
                <w:sz w:val="24"/>
                <w:szCs w:val="24"/>
                <w:lang w:val="en-US" w:eastAsia="zh-CN"/>
              </w:rPr>
              <w:t>7#、8#</w:t>
            </w:r>
            <w:r>
              <w:rPr>
                <w:rFonts w:hint="eastAsia" w:ascii="Times New Roman" w:hAnsi="Times New Roman" w:eastAsia="宋体" w:cs="Times New Roman"/>
                <w:color w:val="auto"/>
                <w:sz w:val="24"/>
                <w:szCs w:val="24"/>
                <w:lang w:eastAsia="zh-CN"/>
              </w:rPr>
              <w:t>），改造供配电、冷却水系统、监控、防雷等系统，本次</w:t>
            </w:r>
            <w:r>
              <w:rPr>
                <w:rFonts w:hint="eastAsia" w:ascii="Times New Roman" w:hAnsi="Times New Roman" w:eastAsia="宋体" w:cs="Times New Roman"/>
                <w:color w:val="auto"/>
                <w:sz w:val="24"/>
                <w:szCs w:val="24"/>
                <w:lang w:val="en-US" w:eastAsia="zh-CN"/>
              </w:rPr>
              <w:t>扩建</w:t>
            </w:r>
            <w:r>
              <w:rPr>
                <w:rFonts w:hint="eastAsia" w:ascii="Times New Roman" w:hAnsi="Times New Roman" w:eastAsia="宋体" w:cs="Times New Roman"/>
                <w:color w:val="auto"/>
                <w:sz w:val="24"/>
                <w:szCs w:val="24"/>
                <w:lang w:eastAsia="zh-CN"/>
              </w:rPr>
              <w:t>改造后，泵站总的瓦斯抽采能力最大可达4000m</w:t>
            </w:r>
            <w:r>
              <w:rPr>
                <w:rFonts w:hint="eastAsia" w:ascii="Times New Roman" w:hAnsi="Times New Roman" w:eastAsia="宋体" w:cs="Times New Roman"/>
                <w:color w:val="auto"/>
                <w:sz w:val="24"/>
                <w:szCs w:val="24"/>
                <w:vertAlign w:val="superscript"/>
                <w:lang w:eastAsia="zh-CN"/>
              </w:rPr>
              <w:t>3</w:t>
            </w:r>
            <w:r>
              <w:rPr>
                <w:rFonts w:hint="eastAsia" w:ascii="Times New Roman" w:hAnsi="Times New Roman" w:eastAsia="宋体" w:cs="Times New Roman"/>
                <w:color w:val="auto"/>
                <w:sz w:val="24"/>
                <w:szCs w:val="24"/>
                <w:lang w:eastAsia="zh-CN"/>
              </w:rPr>
              <w:t>/min（6用2备）。</w:t>
            </w:r>
          </w:p>
          <w:p w14:paraId="68029D12">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①</w:t>
            </w:r>
            <w:r>
              <w:rPr>
                <w:rFonts w:hint="eastAsia" w:ascii="Times New Roman" w:hAnsi="Times New Roman" w:eastAsia="宋体" w:cs="Times New Roman"/>
                <w:color w:val="auto"/>
                <w:lang w:eastAsia="zh-CN"/>
              </w:rPr>
              <w:t>瓦斯抽采泵房扩建</w:t>
            </w:r>
          </w:p>
          <w:p w14:paraId="385AF6BC">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在原抽采泵房西侧新建泵房，平面尺寸约16m×13.5m，混凝土框架结构，主体一层，建筑面积约216m</w:t>
            </w:r>
            <w:r>
              <w:rPr>
                <w:rFonts w:hint="eastAsia" w:ascii="Times New Roman" w:hAnsi="Times New Roman" w:eastAsia="宋体" w:cs="Times New Roman"/>
                <w:color w:val="auto"/>
                <w:vertAlign w:val="superscript"/>
                <w:lang w:eastAsia="zh-CN"/>
              </w:rPr>
              <w:t>2</w:t>
            </w:r>
            <w:r>
              <w:rPr>
                <w:rFonts w:hint="eastAsia" w:ascii="Times New Roman" w:hAnsi="Times New Roman" w:eastAsia="宋体" w:cs="Times New Roman"/>
                <w:color w:val="auto"/>
                <w:lang w:eastAsia="zh-CN"/>
              </w:rPr>
              <w:t>。屋顶为彩钢岩棉夹芯板双坡屋面，屋脊高约12m。</w:t>
            </w:r>
          </w:p>
          <w:p w14:paraId="03F65880">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②新增瓦斯抽采泵</w:t>
            </w:r>
          </w:p>
          <w:p w14:paraId="64495D8F">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在新建的抽采泵房内，新增2台额定流量不低于800m³/min的水环式真空泵；新增设备基础2座，总计C30钢筋混凝土50m</w:t>
            </w:r>
            <w:r>
              <w:rPr>
                <w:rFonts w:hint="eastAsia" w:ascii="Times New Roman" w:hAnsi="Times New Roman" w:eastAsia="宋体" w:cs="Times New Roman"/>
                <w:color w:val="auto"/>
                <w:vertAlign w:val="superscript"/>
                <w:lang w:eastAsia="zh-CN"/>
              </w:rPr>
              <w:t>3</w:t>
            </w:r>
            <w:r>
              <w:rPr>
                <w:rFonts w:hint="eastAsia" w:ascii="Times New Roman" w:hAnsi="Times New Roman" w:eastAsia="宋体" w:cs="Times New Roman"/>
                <w:color w:val="auto"/>
                <w:lang w:eastAsia="zh-CN"/>
              </w:rPr>
              <w:t>。</w:t>
            </w:r>
          </w:p>
          <w:p w14:paraId="6F964CB2">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③循环水系统改造</w:t>
            </w:r>
          </w:p>
          <w:p w14:paraId="7AECEC2A">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更换2台冷水泵和2台热水泵；新增瓦斯抽采泵DN200进水管150m，DN250回水管150m，配套安装防爆电动蝶阀。</w:t>
            </w:r>
          </w:p>
          <w:p w14:paraId="0EFBA737">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④新增地面瓦斯抽采管路</w:t>
            </w:r>
          </w:p>
          <w:p w14:paraId="01D4A19E">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站内新增DN800进气管路、出气管路各1趟，长约300m；进、出气管路配套各安装自动喷粉抑爆装置、水封阻火泄爆装置、放空管；进气管路新增孔板流量计、排渣器、防回火装置1套；出气管路新增防回气装置1套；</w:t>
            </w:r>
            <w:bookmarkStart w:id="12" w:name="OLE_LINK13"/>
            <w:bookmarkStart w:id="13" w:name="OLE_LINK12"/>
            <w:r>
              <w:rPr>
                <w:rFonts w:hint="eastAsia" w:ascii="Times New Roman" w:hAnsi="Times New Roman" w:eastAsia="宋体" w:cs="Times New Roman"/>
                <w:color w:val="auto"/>
                <w:lang w:eastAsia="zh-CN"/>
              </w:rPr>
              <w:t>对站内管网进行改造，改造后每台泵至少连接两趟进气管</w:t>
            </w:r>
            <w:bookmarkEnd w:id="12"/>
            <w:bookmarkEnd w:id="13"/>
            <w:r>
              <w:rPr>
                <w:rFonts w:hint="eastAsia" w:ascii="Times New Roman" w:hAnsi="Times New Roman" w:eastAsia="宋体" w:cs="Times New Roman"/>
                <w:color w:val="auto"/>
                <w:lang w:eastAsia="zh-CN"/>
              </w:rPr>
              <w:t>；管路配套安装防爆电动蝶阀</w:t>
            </w:r>
            <w:bookmarkStart w:id="14" w:name="OLE_LINK61"/>
            <w:bookmarkStart w:id="15" w:name="OLE_LINK35"/>
            <w:bookmarkStart w:id="16" w:name="OLE_LINK46"/>
            <w:bookmarkStart w:id="17" w:name="OLE_LINK41"/>
            <w:r>
              <w:rPr>
                <w:rFonts w:hint="eastAsia" w:ascii="Times New Roman" w:hAnsi="Times New Roman" w:eastAsia="宋体" w:cs="Times New Roman"/>
                <w:color w:val="auto"/>
                <w:lang w:eastAsia="zh-CN"/>
              </w:rPr>
              <w:t>。</w:t>
            </w:r>
          </w:p>
          <w:bookmarkEnd w:id="14"/>
          <w:bookmarkEnd w:id="15"/>
          <w:bookmarkEnd w:id="16"/>
          <w:bookmarkEnd w:id="17"/>
          <w:p w14:paraId="77F2DA13">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⑤配电系统</w:t>
            </w:r>
          </w:p>
          <w:p w14:paraId="298BFFD7">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在现有配电室增加高压开关柜2台，抽出式低压开关柜1台；增加矿用电力电缆250m，高压电力电缆1400m。</w:t>
            </w:r>
          </w:p>
          <w:p w14:paraId="222EB70B">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⑥监控系统</w:t>
            </w:r>
          </w:p>
          <w:p w14:paraId="5EA37C2E">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bookmarkStart w:id="18" w:name="OLE_LINK57"/>
            <w:bookmarkStart w:id="19" w:name="OLE_LINK56"/>
            <w:r>
              <w:rPr>
                <w:rFonts w:hint="eastAsia" w:ascii="Times New Roman" w:hAnsi="Times New Roman" w:eastAsia="宋体" w:cs="Times New Roman"/>
                <w:color w:val="auto"/>
                <w:lang w:eastAsia="zh-CN"/>
              </w:rPr>
              <w:t>新建瓦斯抽采泵房内安装视频监控系统；对现有瓦斯抽采安全监控系统进行升级扩容，增加1台PLC柜和各类传感器，并对控制软件进行升级；完善站内低浓瓦斯氧化利用CCER开发所需计量器具的安装。</w:t>
            </w:r>
          </w:p>
          <w:bookmarkEnd w:id="18"/>
          <w:bookmarkEnd w:id="19"/>
          <w:p w14:paraId="27CF217E">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⑦防雷系统</w:t>
            </w:r>
          </w:p>
          <w:p w14:paraId="39DEECA1">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拆除1座接闪线塔，新增2座GFW1系列钢结构接闪线塔，共6座接闪线塔，新增Φ7.8镀锌钢绞线160m。</w:t>
            </w:r>
          </w:p>
          <w:p w14:paraId="333BF363">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⑧现有瓦斯抽采泵房更换彩钢板屋面</w:t>
            </w:r>
          </w:p>
          <w:p w14:paraId="78C39BC7">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现有瓦斯抽采泵房原屋面彩钢板有多处损坏漏雨，本次工程采用50厚彩钢岩棉夹芯板进行整体更换，更换总面积约405.5m</w:t>
            </w:r>
            <w:r>
              <w:rPr>
                <w:rFonts w:hint="eastAsia" w:ascii="Times New Roman" w:hAnsi="Times New Roman" w:eastAsia="宋体" w:cs="Times New Roman"/>
                <w:color w:val="auto"/>
                <w:sz w:val="24"/>
                <w:vertAlign w:val="superscript"/>
                <w:lang w:eastAsia="zh-CN"/>
              </w:rPr>
              <w:t>2</w:t>
            </w:r>
            <w:r>
              <w:rPr>
                <w:rFonts w:hint="eastAsia" w:ascii="Times New Roman" w:hAnsi="Times New Roman" w:eastAsia="宋体" w:cs="Times New Roman"/>
                <w:color w:val="auto"/>
                <w:lang w:eastAsia="zh-CN"/>
              </w:rPr>
              <w:t>。同时在屋顶加设无动力风机。</w:t>
            </w:r>
          </w:p>
          <w:p w14:paraId="46087B91">
            <w:pPr>
              <w:pStyle w:val="89"/>
              <w:keepNext w:val="0"/>
              <w:keepLines w:val="0"/>
              <w:suppressLineNumbers w:val="0"/>
              <w:spacing w:before="0" w:beforeAutospacing="0" w:after="0" w:afterAutospacing="0"/>
              <w:ind w:left="0" w:right="0" w:firstLine="480"/>
              <w:rPr>
                <w:rFonts w:hint="default" w:cs="Times New Roman"/>
                <w:color w:val="auto"/>
              </w:rPr>
            </w:pPr>
            <w:r>
              <w:rPr>
                <w:rFonts w:hint="default" w:cs="Times New Roman"/>
                <w:color w:val="auto"/>
              </w:rPr>
              <w:t>项目的组成一览表如</w:t>
            </w:r>
            <w:r>
              <w:rPr>
                <w:rFonts w:hint="eastAsia" w:cs="Times New Roman"/>
                <w:color w:val="auto"/>
                <w:lang w:val="en-US" w:eastAsia="zh-CN"/>
              </w:rPr>
              <w:t>下表</w:t>
            </w:r>
            <w:r>
              <w:rPr>
                <w:rFonts w:hint="default" w:cs="Times New Roman"/>
                <w:color w:val="auto"/>
              </w:rPr>
              <w:t>。</w:t>
            </w:r>
          </w:p>
          <w:p w14:paraId="16AD2ECE">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cs="Times New Roman"/>
                <w:b/>
                <w:bCs/>
                <w:color w:val="auto"/>
                <w:sz w:val="24"/>
                <w:szCs w:val="24"/>
              </w:rPr>
            </w:pPr>
            <w:r>
              <w:rPr>
                <w:rFonts w:hint="eastAsia" w:cs="Times New Roman"/>
                <w:b/>
                <w:bCs/>
                <w:color w:val="auto"/>
                <w:sz w:val="24"/>
                <w:szCs w:val="24"/>
                <w:lang w:val="en-US" w:eastAsia="zh-CN"/>
              </w:rPr>
              <w:t xml:space="preserve">  </w:t>
            </w:r>
            <w:r>
              <w:rPr>
                <w:rFonts w:hint="eastAsia" w:cs="Times New Roman"/>
                <w:b/>
                <w:bCs/>
                <w:color w:val="auto"/>
                <w:sz w:val="24"/>
                <w:szCs w:val="24"/>
              </w:rPr>
              <w:t>本</w:t>
            </w:r>
            <w:r>
              <w:rPr>
                <w:rFonts w:hint="default" w:cs="Times New Roman"/>
                <w:b/>
                <w:bCs/>
                <w:color w:val="auto"/>
                <w:sz w:val="24"/>
                <w:szCs w:val="24"/>
              </w:rPr>
              <w:t>项目组成</w:t>
            </w:r>
            <w:r>
              <w:rPr>
                <w:rFonts w:hint="eastAsia" w:cs="Times New Roman"/>
                <w:b/>
                <w:bCs/>
                <w:color w:val="auto"/>
                <w:sz w:val="24"/>
                <w:szCs w:val="24"/>
              </w:rPr>
              <w:t>及工程内容</w:t>
            </w:r>
            <w:r>
              <w:rPr>
                <w:rFonts w:hint="default" w:cs="Times New Roman"/>
                <w:b/>
                <w:bCs/>
                <w:color w:val="auto"/>
                <w:sz w:val="24"/>
                <w:szCs w:val="24"/>
              </w:rPr>
              <w:t>一览表</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28" w:type="dxa"/>
                <w:bottom w:w="0" w:type="dxa"/>
                <w:right w:w="28" w:type="dxa"/>
              </w:tblCellMar>
            </w:tblPr>
            <w:tblGrid>
              <w:gridCol w:w="475"/>
              <w:gridCol w:w="804"/>
              <w:gridCol w:w="2924"/>
              <w:gridCol w:w="2665"/>
              <w:gridCol w:w="858"/>
            </w:tblGrid>
            <w:tr w14:paraId="4D07D51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90" w:hRule="atLeast"/>
                <w:tblHeader/>
              </w:trPr>
              <w:tc>
                <w:tcPr>
                  <w:tcW w:w="308" w:type="pct"/>
                  <w:noWrap w:val="0"/>
                  <w:vAlign w:val="center"/>
                </w:tcPr>
                <w:p w14:paraId="10B3CFE7">
                  <w:pPr>
                    <w:keepNext w:val="0"/>
                    <w:keepLines w:val="0"/>
                    <w:suppressLineNumbers w:val="0"/>
                    <w:adjustRightInd w:val="0"/>
                    <w:snapToGrid w:val="0"/>
                    <w:spacing w:before="0" w:beforeAutospacing="0" w:after="0" w:afterAutospacing="0"/>
                    <w:ind w:left="0" w:right="0"/>
                    <w:jc w:val="center"/>
                    <w:rPr>
                      <w:rFonts w:hint="default" w:cs="Times New Roman"/>
                      <w:b/>
                      <w:color w:val="auto"/>
                      <w:sz w:val="21"/>
                      <w:szCs w:val="21"/>
                    </w:rPr>
                  </w:pPr>
                  <w:r>
                    <w:rPr>
                      <w:rFonts w:hint="default" w:cs="Times New Roman"/>
                      <w:b/>
                      <w:color w:val="auto"/>
                      <w:sz w:val="21"/>
                      <w:szCs w:val="21"/>
                    </w:rPr>
                    <w:t>工程类别</w:t>
                  </w:r>
                </w:p>
              </w:tc>
              <w:tc>
                <w:tcPr>
                  <w:tcW w:w="520" w:type="pct"/>
                  <w:noWrap w:val="0"/>
                  <w:vAlign w:val="center"/>
                </w:tcPr>
                <w:p w14:paraId="66E7EF5C">
                  <w:pPr>
                    <w:keepNext w:val="0"/>
                    <w:keepLines w:val="0"/>
                    <w:suppressLineNumbers w:val="0"/>
                    <w:adjustRightInd w:val="0"/>
                    <w:snapToGrid w:val="0"/>
                    <w:spacing w:before="0" w:beforeAutospacing="0" w:after="0" w:afterAutospacing="0"/>
                    <w:ind w:left="0" w:right="0"/>
                    <w:jc w:val="center"/>
                    <w:rPr>
                      <w:rFonts w:hint="default" w:cs="Times New Roman"/>
                      <w:b/>
                      <w:color w:val="auto"/>
                      <w:sz w:val="21"/>
                      <w:szCs w:val="21"/>
                    </w:rPr>
                  </w:pPr>
                  <w:r>
                    <w:rPr>
                      <w:rFonts w:hint="default" w:cs="Times New Roman"/>
                      <w:b/>
                      <w:color w:val="auto"/>
                      <w:sz w:val="21"/>
                      <w:szCs w:val="21"/>
                    </w:rPr>
                    <w:t>工程名称</w:t>
                  </w:r>
                </w:p>
              </w:tc>
              <w:tc>
                <w:tcPr>
                  <w:tcW w:w="1892" w:type="pct"/>
                  <w:noWrap w:val="0"/>
                  <w:vAlign w:val="center"/>
                </w:tcPr>
                <w:p w14:paraId="4D6CB44D">
                  <w:pPr>
                    <w:keepNext w:val="0"/>
                    <w:keepLines w:val="0"/>
                    <w:suppressLineNumbers w:val="0"/>
                    <w:adjustRightInd w:val="0"/>
                    <w:snapToGrid w:val="0"/>
                    <w:spacing w:before="0" w:beforeAutospacing="0" w:after="0" w:afterAutospacing="0"/>
                    <w:ind w:left="0" w:right="0"/>
                    <w:jc w:val="center"/>
                    <w:rPr>
                      <w:rFonts w:hint="eastAsia" w:eastAsia="宋体" w:cs="Times New Roman"/>
                      <w:b/>
                      <w:color w:val="auto"/>
                      <w:sz w:val="21"/>
                      <w:szCs w:val="21"/>
                      <w:lang w:eastAsia="zh-CN"/>
                    </w:rPr>
                  </w:pPr>
                  <w:r>
                    <w:rPr>
                      <w:rFonts w:hint="eastAsia" w:cs="Times New Roman"/>
                      <w:b/>
                      <w:color w:val="auto"/>
                      <w:sz w:val="21"/>
                      <w:szCs w:val="21"/>
                      <w:lang w:eastAsia="zh-CN"/>
                    </w:rPr>
                    <w:t>现有工程</w:t>
                  </w:r>
                  <w:r>
                    <w:rPr>
                      <w:rFonts w:hint="default" w:cs="Times New Roman"/>
                      <w:b/>
                      <w:color w:val="auto"/>
                      <w:sz w:val="21"/>
                      <w:szCs w:val="21"/>
                    </w:rPr>
                    <w:t>内容</w:t>
                  </w:r>
                  <w:r>
                    <w:rPr>
                      <w:rFonts w:hint="eastAsia" w:cs="Times New Roman"/>
                      <w:b/>
                      <w:color w:val="auto"/>
                      <w:sz w:val="21"/>
                      <w:szCs w:val="21"/>
                      <w:lang w:eastAsia="zh-CN"/>
                    </w:rPr>
                    <w:t>及规模</w:t>
                  </w:r>
                </w:p>
              </w:tc>
              <w:tc>
                <w:tcPr>
                  <w:tcW w:w="1723" w:type="pct"/>
                  <w:noWrap w:val="0"/>
                  <w:vAlign w:val="center"/>
                </w:tcPr>
                <w:p w14:paraId="2E3B449B">
                  <w:pPr>
                    <w:keepNext w:val="0"/>
                    <w:keepLines w:val="0"/>
                    <w:suppressLineNumbers w:val="0"/>
                    <w:adjustRightInd w:val="0"/>
                    <w:snapToGrid w:val="0"/>
                    <w:spacing w:before="0" w:beforeAutospacing="0" w:after="0" w:afterAutospacing="0"/>
                    <w:ind w:left="0" w:right="0"/>
                    <w:jc w:val="center"/>
                    <w:rPr>
                      <w:rFonts w:hint="eastAsia" w:cs="Times New Roman"/>
                      <w:b/>
                      <w:color w:val="auto"/>
                      <w:sz w:val="21"/>
                      <w:szCs w:val="21"/>
                      <w:lang w:eastAsia="zh-CN"/>
                    </w:rPr>
                  </w:pPr>
                  <w:r>
                    <w:rPr>
                      <w:rFonts w:hint="eastAsia" w:cs="Times New Roman"/>
                      <w:b/>
                      <w:color w:val="auto"/>
                      <w:sz w:val="21"/>
                      <w:szCs w:val="21"/>
                      <w:lang w:eastAsia="zh-CN"/>
                    </w:rPr>
                    <w:t>扩建工程内容及规模</w:t>
                  </w:r>
                </w:p>
              </w:tc>
              <w:tc>
                <w:tcPr>
                  <w:tcW w:w="555" w:type="pct"/>
                  <w:noWrap w:val="0"/>
                  <w:vAlign w:val="center"/>
                </w:tcPr>
                <w:p w14:paraId="172B7935">
                  <w:pPr>
                    <w:keepNext w:val="0"/>
                    <w:keepLines w:val="0"/>
                    <w:suppressLineNumbers w:val="0"/>
                    <w:adjustRightInd w:val="0"/>
                    <w:snapToGrid w:val="0"/>
                    <w:spacing w:before="0" w:beforeAutospacing="0" w:after="0" w:afterAutospacing="0"/>
                    <w:ind w:left="0" w:right="0"/>
                    <w:jc w:val="center"/>
                    <w:rPr>
                      <w:rFonts w:hint="eastAsia" w:eastAsia="宋体" w:cs="Times New Roman"/>
                      <w:b/>
                      <w:color w:val="auto"/>
                      <w:sz w:val="21"/>
                      <w:szCs w:val="21"/>
                      <w:lang w:val="en-US" w:eastAsia="zh-CN"/>
                    </w:rPr>
                  </w:pPr>
                  <w:r>
                    <w:rPr>
                      <w:rFonts w:hint="eastAsia" w:cs="Times New Roman"/>
                      <w:b/>
                      <w:color w:val="auto"/>
                      <w:sz w:val="21"/>
                      <w:szCs w:val="21"/>
                      <w:lang w:eastAsia="zh-CN"/>
                    </w:rPr>
                    <w:t>备注</w:t>
                  </w:r>
                </w:p>
              </w:tc>
            </w:tr>
            <w:tr w14:paraId="2508DDD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774" w:hRule="atLeast"/>
                <w:tblHeader/>
              </w:trPr>
              <w:tc>
                <w:tcPr>
                  <w:tcW w:w="308" w:type="pct"/>
                  <w:vMerge w:val="restart"/>
                  <w:noWrap w:val="0"/>
                  <w:vAlign w:val="center"/>
                </w:tcPr>
                <w:p w14:paraId="7406CE5C">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highlight w:val="none"/>
                    </w:rPr>
                  </w:pPr>
                  <w:r>
                    <w:rPr>
                      <w:rFonts w:hint="default" w:cs="Times New Roman"/>
                      <w:bCs/>
                      <w:color w:val="auto"/>
                      <w:sz w:val="21"/>
                      <w:szCs w:val="21"/>
                      <w:highlight w:val="none"/>
                    </w:rPr>
                    <w:t>主体工程</w:t>
                  </w:r>
                </w:p>
              </w:tc>
              <w:tc>
                <w:tcPr>
                  <w:tcW w:w="520" w:type="pct"/>
                  <w:noWrap w:val="0"/>
                  <w:vAlign w:val="center"/>
                </w:tcPr>
                <w:p w14:paraId="408111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瓦斯抽采泵房</w:t>
                  </w:r>
                </w:p>
              </w:tc>
              <w:tc>
                <w:tcPr>
                  <w:tcW w:w="1892" w:type="pct"/>
                  <w:noWrap w:val="0"/>
                  <w:vAlign w:val="center"/>
                </w:tcPr>
                <w:p w14:paraId="14F52A6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地面瓦斯抽采泵房1座，内</w:t>
                  </w:r>
                  <w:r>
                    <w:rPr>
                      <w:rFonts w:hint="eastAsia" w:ascii="Times New Roman" w:hAnsi="Times New Roman" w:eastAsia="宋体" w:cs="Times New Roman"/>
                      <w:color w:val="auto"/>
                      <w:sz w:val="21"/>
                      <w:szCs w:val="21"/>
                      <w:lang w:val="en-US" w:eastAsia="zh-CN"/>
                    </w:rPr>
                    <w:t>置</w:t>
                  </w:r>
                  <w:r>
                    <w:rPr>
                      <w:rFonts w:hint="eastAsia" w:cs="Times New Roman"/>
                      <w:color w:val="auto"/>
                      <w:sz w:val="21"/>
                      <w:szCs w:val="21"/>
                      <w:lang w:bidi="ar"/>
                    </w:rPr>
                    <w:t>6台瓦斯抽采泵</w:t>
                  </w:r>
                  <w:r>
                    <w:rPr>
                      <w:rFonts w:hint="eastAsia" w:cs="Times New Roman"/>
                      <w:color w:val="auto"/>
                      <w:sz w:val="21"/>
                      <w:szCs w:val="21"/>
                      <w:lang w:eastAsia="zh-CN" w:bidi="ar"/>
                    </w:rPr>
                    <w:t>（</w:t>
                  </w:r>
                  <w:r>
                    <w:rPr>
                      <w:rFonts w:hint="eastAsia" w:cs="Times New Roman"/>
                      <w:color w:val="auto"/>
                      <w:sz w:val="21"/>
                      <w:szCs w:val="21"/>
                      <w:lang w:val="en-US" w:eastAsia="zh-CN" w:bidi="ar"/>
                    </w:rPr>
                    <w:t>1#-6#</w:t>
                  </w:r>
                  <w:r>
                    <w:rPr>
                      <w:rFonts w:hint="eastAsia" w:cs="Times New Roman"/>
                      <w:color w:val="auto"/>
                      <w:sz w:val="21"/>
                      <w:szCs w:val="21"/>
                      <w:lang w:eastAsia="zh-CN" w:bidi="ar"/>
                    </w:rPr>
                    <w:t>）</w:t>
                  </w:r>
                  <w:r>
                    <w:rPr>
                      <w:rFonts w:hint="eastAsia" w:cs="Times New Roman"/>
                      <w:color w:val="auto"/>
                      <w:sz w:val="21"/>
                      <w:szCs w:val="21"/>
                      <w:lang w:bidi="ar"/>
                    </w:rPr>
                    <w:t>，其中</w:t>
                  </w:r>
                  <w:r>
                    <w:rPr>
                      <w:rFonts w:hint="default" w:cs="Times New Roman"/>
                      <w:color w:val="auto"/>
                      <w:sz w:val="21"/>
                      <w:szCs w:val="21"/>
                      <w:lang w:bidi="ar"/>
                    </w:rPr>
                    <w:t>4</w:t>
                  </w:r>
                  <w:r>
                    <w:rPr>
                      <w:rFonts w:hint="eastAsia" w:cs="Times New Roman"/>
                      <w:color w:val="auto"/>
                      <w:sz w:val="21"/>
                      <w:szCs w:val="21"/>
                      <w:lang w:bidi="ar"/>
                    </w:rPr>
                    <w:t>台</w:t>
                  </w:r>
                  <w:r>
                    <w:rPr>
                      <w:rFonts w:hint="default" w:cs="Times New Roman"/>
                      <w:color w:val="auto"/>
                      <w:sz w:val="21"/>
                      <w:szCs w:val="21"/>
                      <w:lang w:bidi="ar"/>
                    </w:rPr>
                    <w:t>2BE</w:t>
                  </w:r>
                  <w:r>
                    <w:rPr>
                      <w:rFonts w:hint="eastAsia" w:cs="Times New Roman"/>
                      <w:color w:val="auto"/>
                      <w:sz w:val="21"/>
                      <w:szCs w:val="21"/>
                      <w:lang w:bidi="ar"/>
                    </w:rPr>
                    <w:t>C</w:t>
                  </w:r>
                  <w:r>
                    <w:rPr>
                      <w:rFonts w:hint="default" w:cs="Times New Roman"/>
                      <w:color w:val="auto"/>
                      <w:sz w:val="21"/>
                      <w:szCs w:val="21"/>
                      <w:lang w:bidi="ar"/>
                    </w:rPr>
                    <w:t>-</w:t>
                  </w:r>
                  <w:r>
                    <w:rPr>
                      <w:rFonts w:hint="eastAsia" w:cs="Times New Roman"/>
                      <w:color w:val="auto"/>
                      <w:sz w:val="21"/>
                      <w:szCs w:val="21"/>
                      <w:lang w:bidi="ar"/>
                    </w:rPr>
                    <w:t>72</w:t>
                  </w:r>
                  <w:r>
                    <w:rPr>
                      <w:rFonts w:hint="default" w:cs="Times New Roman"/>
                      <w:color w:val="auto"/>
                      <w:sz w:val="21"/>
                      <w:szCs w:val="21"/>
                      <w:lang w:bidi="ar"/>
                    </w:rPr>
                    <w:t>型水环式真空泵</w:t>
                  </w:r>
                  <w:r>
                    <w:rPr>
                      <w:rFonts w:hint="eastAsia" w:ascii="Times New Roman" w:hAnsi="Times New Roman" w:eastAsia="宋体" w:cs="Times New Roman"/>
                      <w:color w:val="auto"/>
                      <w:sz w:val="21"/>
                      <w:szCs w:val="21"/>
                      <w:lang w:val="en-US" w:eastAsia="zh-CN"/>
                    </w:rPr>
                    <w:t>和</w:t>
                  </w:r>
                  <w:r>
                    <w:rPr>
                      <w:rFonts w:hint="eastAsia" w:cs="Times New Roman"/>
                      <w:color w:val="auto"/>
                      <w:sz w:val="21"/>
                      <w:szCs w:val="21"/>
                      <w:lang w:bidi="ar"/>
                    </w:rPr>
                    <w:t>2</w:t>
                  </w:r>
                  <w:r>
                    <w:rPr>
                      <w:rFonts w:hint="default" w:cs="Times New Roman"/>
                      <w:color w:val="auto"/>
                      <w:sz w:val="21"/>
                      <w:szCs w:val="21"/>
                      <w:lang w:bidi="ar"/>
                    </w:rPr>
                    <w:t>台SKP</w:t>
                  </w:r>
                  <w:r>
                    <w:rPr>
                      <w:rFonts w:hint="eastAsia" w:cs="Times New Roman"/>
                      <w:color w:val="auto"/>
                      <w:sz w:val="21"/>
                      <w:szCs w:val="21"/>
                      <w:lang w:bidi="ar"/>
                    </w:rPr>
                    <w:t>93</w:t>
                  </w:r>
                  <w:r>
                    <w:rPr>
                      <w:rFonts w:hint="default" w:cs="Times New Roman"/>
                      <w:color w:val="auto"/>
                      <w:sz w:val="21"/>
                      <w:szCs w:val="21"/>
                      <w:lang w:bidi="ar"/>
                    </w:rPr>
                    <w:t>型水环式真空泵</w:t>
                  </w:r>
                  <w:r>
                    <w:rPr>
                      <w:rFonts w:hint="eastAsia" w:ascii="Times New Roman" w:hAnsi="Times New Roman" w:eastAsia="宋体" w:cs="Times New Roman"/>
                      <w:color w:val="auto"/>
                      <w:sz w:val="21"/>
                      <w:szCs w:val="21"/>
                      <w:lang w:val="en-US" w:eastAsia="zh-CN"/>
                    </w:rPr>
                    <w:t>，瓦斯抽采泵</w:t>
                  </w:r>
                  <w:r>
                    <w:rPr>
                      <w:rFonts w:hint="eastAsia" w:cs="Times New Roman"/>
                      <w:color w:val="auto"/>
                      <w:sz w:val="21"/>
                      <w:szCs w:val="21"/>
                    </w:rPr>
                    <w:t>采用3用3备的运行模式，总额定能力2</w:t>
                  </w:r>
                  <w:r>
                    <w:rPr>
                      <w:rFonts w:hint="default" w:cs="Times New Roman"/>
                      <w:color w:val="auto"/>
                      <w:sz w:val="21"/>
                      <w:szCs w:val="21"/>
                    </w:rPr>
                    <w:t>000</w:t>
                  </w:r>
                  <w:r>
                    <w:rPr>
                      <w:rFonts w:hint="eastAsia" w:cs="Times New Roman"/>
                      <w:color w:val="auto"/>
                      <w:sz w:val="21"/>
                      <w:szCs w:val="21"/>
                    </w:rPr>
                    <w:t>m</w:t>
                  </w:r>
                  <w:r>
                    <w:rPr>
                      <w:rFonts w:hint="default" w:cs="Times New Roman"/>
                      <w:color w:val="auto"/>
                      <w:sz w:val="21"/>
                      <w:szCs w:val="21"/>
                      <w:vertAlign w:val="superscript"/>
                    </w:rPr>
                    <w:t>3</w:t>
                  </w:r>
                  <w:r>
                    <w:rPr>
                      <w:rFonts w:hint="default" w:cs="Times New Roman"/>
                      <w:color w:val="auto"/>
                      <w:sz w:val="21"/>
                      <w:szCs w:val="21"/>
                    </w:rPr>
                    <w:t>/</w:t>
                  </w:r>
                  <w:r>
                    <w:rPr>
                      <w:rFonts w:hint="eastAsia" w:cs="Times New Roman"/>
                      <w:color w:val="auto"/>
                      <w:sz w:val="21"/>
                      <w:szCs w:val="21"/>
                    </w:rPr>
                    <w:t>min</w:t>
                  </w:r>
                  <w:r>
                    <w:rPr>
                      <w:rFonts w:hint="eastAsia" w:ascii="Times New Roman" w:hAnsi="Times New Roman" w:eastAsia="宋体" w:cs="Times New Roman"/>
                      <w:color w:val="auto"/>
                      <w:sz w:val="21"/>
                      <w:szCs w:val="21"/>
                      <w:highlight w:val="none"/>
                      <w:lang w:val="en-US" w:eastAsia="zh-CN"/>
                    </w:rPr>
                    <w:t>。</w:t>
                  </w:r>
                </w:p>
                <w:p w14:paraId="3DA7F8BB">
                  <w:pPr>
                    <w:pStyle w:val="2"/>
                    <w:keepLines w:val="0"/>
                    <w:suppressLineNumbers w:val="0"/>
                    <w:spacing w:beforeAutospacing="0" w:afterAutospacing="0"/>
                    <w:ind w:left="0" w:leftChars="0" w:right="0" w:firstLine="0" w:firstLineChars="0"/>
                    <w:rPr>
                      <w:rFonts w:hint="eastAsia" w:cs="Times New Roman"/>
                      <w:color w:val="auto"/>
                      <w:sz w:val="21"/>
                      <w:szCs w:val="21"/>
                      <w:lang w:val="en-US" w:eastAsia="zh-CN"/>
                    </w:rPr>
                  </w:pPr>
                </w:p>
              </w:tc>
              <w:tc>
                <w:tcPr>
                  <w:tcW w:w="1723" w:type="pct"/>
                  <w:noWrap w:val="0"/>
                  <w:vAlign w:val="center"/>
                </w:tcPr>
                <w:p w14:paraId="64D3A2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在原抽采泵房西侧新建1间瓦斯泵房，平面尺寸约16m×13.5m，混凝土框架结构，主体一层，建筑面积约216m</w:t>
                  </w:r>
                  <w:r>
                    <w:rPr>
                      <w:rFonts w:hint="eastAsia" w:eastAsia="宋体" w:cs="Times New Roman"/>
                      <w:color w:val="auto"/>
                      <w:sz w:val="21"/>
                      <w:szCs w:val="21"/>
                      <w:highlight w:val="none"/>
                      <w:vertAlign w:val="superscript"/>
                      <w:lang w:val="en-US" w:eastAsia="zh-CN"/>
                    </w:rPr>
                    <w:t>2</w:t>
                  </w:r>
                  <w:r>
                    <w:rPr>
                      <w:rFonts w:hint="eastAsia" w:eastAsia="宋体" w:cs="Times New Roman"/>
                      <w:color w:val="auto"/>
                      <w:sz w:val="21"/>
                      <w:szCs w:val="21"/>
                      <w:highlight w:val="none"/>
                      <w:lang w:val="en-US" w:eastAsia="zh-CN"/>
                    </w:rPr>
                    <w:t>。屋顶为彩钢岩棉夹芯板双坡屋面，屋脊高约12m。</w:t>
                  </w:r>
                </w:p>
                <w:p w14:paraId="5831589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泵房内</w:t>
                  </w:r>
                  <w:r>
                    <w:rPr>
                      <w:rFonts w:hint="eastAsia" w:ascii="Times New Roman" w:hAnsi="Times New Roman" w:eastAsia="宋体" w:cs="Times New Roman"/>
                      <w:color w:val="auto"/>
                      <w:sz w:val="21"/>
                      <w:szCs w:val="21"/>
                      <w:highlight w:val="none"/>
                      <w:lang w:val="en-US" w:eastAsia="zh-CN"/>
                    </w:rPr>
                    <w:t>新增2台额定流量不低于800m³/min的水环式真空泵（7#、8#）</w:t>
                  </w:r>
                  <w:r>
                    <w:rPr>
                      <w:rFonts w:hint="eastAsia" w:eastAsia="宋体" w:cs="Times New Roman"/>
                      <w:color w:val="auto"/>
                      <w:sz w:val="21"/>
                      <w:szCs w:val="21"/>
                      <w:highlight w:val="none"/>
                      <w:lang w:val="en-US" w:eastAsia="zh-CN"/>
                    </w:rPr>
                    <w:t>。</w:t>
                  </w:r>
                </w:p>
              </w:tc>
              <w:tc>
                <w:tcPr>
                  <w:tcW w:w="555" w:type="pct"/>
                  <w:noWrap w:val="0"/>
                  <w:vAlign w:val="center"/>
                </w:tcPr>
                <w:p w14:paraId="4E89F4C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扩建</w:t>
                  </w:r>
                </w:p>
              </w:tc>
            </w:tr>
            <w:tr w14:paraId="5ED5DCF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523" w:hRule="atLeast"/>
                <w:tblHeader/>
              </w:trPr>
              <w:tc>
                <w:tcPr>
                  <w:tcW w:w="308" w:type="pct"/>
                  <w:vMerge w:val="continue"/>
                  <w:noWrap w:val="0"/>
                  <w:vAlign w:val="center"/>
                </w:tcPr>
                <w:p w14:paraId="2D08F7B0">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p>
              </w:tc>
              <w:tc>
                <w:tcPr>
                  <w:tcW w:w="520" w:type="pct"/>
                  <w:noWrap w:val="0"/>
                  <w:vAlign w:val="center"/>
                </w:tcPr>
                <w:p w14:paraId="649C4BA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lang w:val="en-US" w:eastAsia="zh-CN"/>
                    </w:rPr>
                    <w:t>地面</w:t>
                  </w:r>
                  <w:r>
                    <w:rPr>
                      <w:rFonts w:hint="eastAsia" w:cs="Times New Roman"/>
                      <w:color w:val="auto"/>
                      <w:sz w:val="21"/>
                      <w:szCs w:val="21"/>
                    </w:rPr>
                    <w:t>瓦斯抽采管路</w:t>
                  </w:r>
                </w:p>
              </w:tc>
              <w:tc>
                <w:tcPr>
                  <w:tcW w:w="1892" w:type="pct"/>
                  <w:noWrap w:val="0"/>
                  <w:vAlign w:val="center"/>
                </w:tcPr>
                <w:p w14:paraId="5256DF8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地面瓦斯抽采及入井管路共设3趟，其中2趟管径为DN600，1趟管径为DN800。1趟DN600抽采管路、1趟DN800抽采管路经入井钻孔敷设至-648m北一回风石门，另一趟DN600抽采管路从风井敷设至-648m水平。</w:t>
                  </w:r>
                </w:p>
                <w:p w14:paraId="023C30D4">
                  <w:pPr>
                    <w:pStyle w:val="2"/>
                    <w:keepLines w:val="0"/>
                    <w:suppressLineNumbers w:val="0"/>
                    <w:spacing w:beforeAutospacing="0" w:afterAutospacing="0"/>
                    <w:ind w:left="0" w:leftChars="0" w:right="0" w:firstLine="0" w:firstLineChars="0"/>
                    <w:jc w:val="left"/>
                    <w:rPr>
                      <w:rFonts w:hint="eastAsia" w:cs="Times New Roman"/>
                      <w:color w:val="auto"/>
                      <w:sz w:val="21"/>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在二副井西北侧正在实施一趟DN800入井管路工程，经一、二水平措施联巷进入-648m水平，施工完毕后矿井入井抽采管路通过能力将达到1130.6m</w:t>
                  </w:r>
                  <w:r>
                    <w:rPr>
                      <w:rFonts w:hint="eastAsia" w:ascii="Times New Roman" w:hAnsi="Times New Roman" w:eastAsia="宋体" w:cs="Times New Roman"/>
                      <w:b w:val="0"/>
                      <w:bCs w:val="0"/>
                      <w:color w:val="auto"/>
                      <w:kern w:val="2"/>
                      <w:sz w:val="21"/>
                      <w:szCs w:val="21"/>
                      <w:vertAlign w:val="superscript"/>
                      <w:lang w:val="en-US" w:eastAsia="zh-CN" w:bidi="ar-SA"/>
                    </w:rPr>
                    <w:t>3</w:t>
                  </w:r>
                  <w:r>
                    <w:rPr>
                      <w:rFonts w:hint="eastAsia" w:ascii="Times New Roman" w:hAnsi="Times New Roman" w:eastAsia="宋体" w:cs="Times New Roman"/>
                      <w:b w:val="0"/>
                      <w:bCs w:val="0"/>
                      <w:color w:val="auto"/>
                      <w:kern w:val="2"/>
                      <w:sz w:val="21"/>
                      <w:szCs w:val="21"/>
                      <w:lang w:val="en-US" w:eastAsia="zh-CN" w:bidi="ar-SA"/>
                    </w:rPr>
                    <w:t>/min。</w:t>
                  </w:r>
                </w:p>
              </w:tc>
              <w:tc>
                <w:tcPr>
                  <w:tcW w:w="1723" w:type="pct"/>
                  <w:noWrap w:val="0"/>
                  <w:vAlign w:val="center"/>
                </w:tcPr>
                <w:p w14:paraId="25896AD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新增DN800进气管路、出气管路各1趟，长约300m；进、出气管路配套各安装自动喷粉抑爆装置、水封阻火泄爆装置、</w:t>
                  </w:r>
                  <w:r>
                    <w:rPr>
                      <w:rFonts w:hint="default" w:ascii="Times New Roman" w:hAnsi="Times New Roman" w:eastAsia="宋体" w:cs="Times New Roman"/>
                      <w:color w:val="auto"/>
                      <w:sz w:val="21"/>
                      <w:szCs w:val="21"/>
                      <w:highlight w:val="none"/>
                      <w:lang w:val="en-US" w:eastAsia="zh-CN"/>
                    </w:rPr>
                    <w:t>放空管</w:t>
                  </w:r>
                  <w:r>
                    <w:rPr>
                      <w:rFonts w:hint="default" w:ascii="Times New Roman" w:hAnsi="Times New Roman" w:eastAsia="宋体" w:cs="Times New Roman"/>
                      <w:color w:val="auto"/>
                      <w:sz w:val="21"/>
                      <w:szCs w:val="21"/>
                      <w:lang w:val="en-US" w:eastAsia="zh-CN"/>
                    </w:rPr>
                    <w:t>；进气管路新增孔板流量计、防回火装置1套；出气管路新增防回气装置1套；对站内管网进行改造，改造后每台泵至少连接两趟进气管；管路配套安装防爆电动蝶阀。</w:t>
                  </w:r>
                </w:p>
              </w:tc>
              <w:tc>
                <w:tcPr>
                  <w:tcW w:w="555" w:type="pct"/>
                  <w:noWrap w:val="0"/>
                  <w:vAlign w:val="center"/>
                </w:tcPr>
                <w:p w14:paraId="3539460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扩建</w:t>
                  </w:r>
                </w:p>
              </w:tc>
            </w:tr>
            <w:tr w14:paraId="60872D3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1839" w:hRule="atLeast"/>
                <w:tblHeader/>
              </w:trPr>
              <w:tc>
                <w:tcPr>
                  <w:tcW w:w="308" w:type="pct"/>
                  <w:vMerge w:val="restart"/>
                  <w:noWrap w:val="0"/>
                  <w:vAlign w:val="center"/>
                </w:tcPr>
                <w:p w14:paraId="464E34C0">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r>
                    <w:rPr>
                      <w:rFonts w:hint="default" w:cs="Times New Roman"/>
                      <w:bCs/>
                      <w:color w:val="auto"/>
                      <w:sz w:val="21"/>
                      <w:szCs w:val="21"/>
                    </w:rPr>
                    <w:t>辅助工程</w:t>
                  </w:r>
                </w:p>
              </w:tc>
              <w:tc>
                <w:tcPr>
                  <w:tcW w:w="520" w:type="pct"/>
                  <w:noWrap w:val="0"/>
                  <w:vAlign w:val="center"/>
                </w:tcPr>
                <w:p w14:paraId="6DE6CE71">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color w:val="auto"/>
                      <w:sz w:val="21"/>
                      <w:szCs w:val="21"/>
                      <w:highlight w:val="none"/>
                      <w:lang w:eastAsia="zh-CN"/>
                    </w:rPr>
                  </w:pPr>
                  <w:r>
                    <w:rPr>
                      <w:rFonts w:hint="eastAsia" w:eastAsia="宋体" w:cs="Times New Roman"/>
                      <w:color w:val="auto"/>
                      <w:sz w:val="21"/>
                      <w:szCs w:val="21"/>
                      <w:highlight w:val="none"/>
                      <w:lang w:eastAsia="zh-CN"/>
                    </w:rPr>
                    <w:t>循环水系统</w:t>
                  </w:r>
                </w:p>
              </w:tc>
              <w:tc>
                <w:tcPr>
                  <w:tcW w:w="1892" w:type="pct"/>
                  <w:noWrap w:val="0"/>
                  <w:vAlign w:val="center"/>
                </w:tcPr>
                <w:p w14:paraId="6A3D6C71">
                  <w:pPr>
                    <w:keepNext w:val="0"/>
                    <w:keepLines w:val="0"/>
                    <w:suppressLineNumbers w:val="0"/>
                    <w:spacing w:before="0" w:beforeAutospacing="0" w:after="0" w:afterAutospacing="0" w:line="320" w:lineRule="exact"/>
                    <w:ind w:left="0" w:right="0"/>
                    <w:jc w:val="left"/>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地面瓦斯泵站建有一座冷水池，</w:t>
                  </w:r>
                  <w:r>
                    <w:rPr>
                      <w:rFonts w:hint="eastAsia" w:ascii="Times New Roman" w:hAnsi="Times New Roman" w:eastAsia="宋体" w:cs="Times New Roman"/>
                      <w:color w:val="auto"/>
                      <w:sz w:val="21"/>
                      <w:szCs w:val="21"/>
                      <w:highlight w:val="none"/>
                      <w:lang w:val="en-US" w:eastAsia="zh-CN"/>
                    </w:rPr>
                    <w:t>250</w:t>
                  </w:r>
                  <w:r>
                    <w:rPr>
                      <w:rFonts w:hint="eastAsia" w:ascii="Times New Roman" w:hAnsi="Times New Roman" w:eastAsia="宋体" w:cs="Times New Roman"/>
                      <w:b w:val="0"/>
                      <w:bCs w:val="0"/>
                      <w:color w:val="auto"/>
                      <w:kern w:val="2"/>
                      <w:sz w:val="21"/>
                      <w:szCs w:val="21"/>
                      <w:lang w:val="en-US" w:eastAsia="zh-CN" w:bidi="ar-SA"/>
                    </w:rPr>
                    <w:t>m</w:t>
                  </w:r>
                  <w:r>
                    <w:rPr>
                      <w:rFonts w:hint="eastAsia" w:ascii="Times New Roman" w:hAnsi="Times New Roman" w:eastAsia="宋体" w:cs="Times New Roman"/>
                      <w:b w:val="0"/>
                      <w:bCs w:val="0"/>
                      <w:color w:val="auto"/>
                      <w:kern w:val="2"/>
                      <w:sz w:val="21"/>
                      <w:szCs w:val="21"/>
                      <w:vertAlign w:val="superscript"/>
                      <w:lang w:val="en-US" w:eastAsia="zh-CN" w:bidi="ar-SA"/>
                    </w:rPr>
                    <w:t>3</w:t>
                  </w:r>
                  <w:r>
                    <w:rPr>
                      <w:rFonts w:hint="eastAsia" w:ascii="Times New Roman" w:hAnsi="Times New Roman" w:eastAsia="宋体" w:cs="Times New Roman"/>
                      <w:b w:val="0"/>
                      <w:bCs w:val="0"/>
                      <w:color w:val="auto"/>
                      <w:kern w:val="2"/>
                      <w:sz w:val="21"/>
                      <w:szCs w:val="21"/>
                      <w:vertAlign w:val="baseline"/>
                      <w:lang w:val="en-US" w:eastAsia="zh-CN" w:bidi="ar-SA"/>
                    </w:rPr>
                    <w:t>，</w:t>
                  </w:r>
                  <w:r>
                    <w:rPr>
                      <w:rFonts w:hint="eastAsia" w:ascii="Times New Roman" w:hAnsi="Times New Roman" w:eastAsia="宋体" w:cs="Times New Roman"/>
                      <w:color w:val="auto"/>
                      <w:sz w:val="21"/>
                      <w:szCs w:val="21"/>
                      <w:highlight w:val="none"/>
                      <w:lang w:eastAsia="zh-CN"/>
                    </w:rPr>
                    <w:t>一座热水池，</w:t>
                  </w:r>
                  <w:r>
                    <w:rPr>
                      <w:rFonts w:hint="eastAsia" w:ascii="Times New Roman" w:hAnsi="Times New Roman" w:eastAsia="宋体" w:cs="Times New Roman"/>
                      <w:color w:val="auto"/>
                      <w:sz w:val="21"/>
                      <w:szCs w:val="21"/>
                      <w:highlight w:val="none"/>
                      <w:lang w:val="en-US" w:eastAsia="zh-CN"/>
                    </w:rPr>
                    <w:t>400</w:t>
                  </w:r>
                  <w:r>
                    <w:rPr>
                      <w:rFonts w:hint="eastAsia" w:ascii="Times New Roman" w:hAnsi="Times New Roman" w:eastAsia="宋体" w:cs="Times New Roman"/>
                      <w:b w:val="0"/>
                      <w:bCs w:val="0"/>
                      <w:color w:val="auto"/>
                      <w:kern w:val="2"/>
                      <w:sz w:val="21"/>
                      <w:szCs w:val="21"/>
                      <w:lang w:val="en-US" w:eastAsia="zh-CN" w:bidi="ar-SA"/>
                    </w:rPr>
                    <w:t>m</w:t>
                  </w:r>
                  <w:r>
                    <w:rPr>
                      <w:rFonts w:hint="eastAsia" w:ascii="Times New Roman" w:hAnsi="Times New Roman" w:eastAsia="宋体" w:cs="Times New Roman"/>
                      <w:b w:val="0"/>
                      <w:bCs w:val="0"/>
                      <w:color w:val="auto"/>
                      <w:kern w:val="2"/>
                      <w:sz w:val="21"/>
                      <w:szCs w:val="21"/>
                      <w:vertAlign w:val="superscript"/>
                      <w:lang w:val="en-US" w:eastAsia="zh-CN" w:bidi="ar-SA"/>
                    </w:rPr>
                    <w:t>3</w:t>
                  </w:r>
                  <w:r>
                    <w:rPr>
                      <w:rFonts w:hint="eastAsia" w:ascii="Times New Roman" w:hAnsi="Times New Roman" w:eastAsia="宋体" w:cs="Times New Roman"/>
                      <w:b w:val="0"/>
                      <w:bCs w:val="0"/>
                      <w:color w:val="auto"/>
                      <w:kern w:val="2"/>
                      <w:sz w:val="21"/>
                      <w:szCs w:val="21"/>
                      <w:vertAlign w:val="baseline"/>
                      <w:lang w:val="en-US" w:eastAsia="zh-CN" w:bidi="ar-SA"/>
                    </w:rPr>
                    <w:t>，</w:t>
                  </w:r>
                  <w:r>
                    <w:rPr>
                      <w:rFonts w:hint="eastAsia" w:ascii="Times New Roman" w:hAnsi="Times New Roman" w:eastAsia="宋体" w:cs="Times New Roman"/>
                      <w:color w:val="auto"/>
                      <w:sz w:val="21"/>
                      <w:szCs w:val="21"/>
                      <w:highlight w:val="none"/>
                      <w:lang w:eastAsia="zh-CN"/>
                    </w:rPr>
                    <w:t>配备2台热水泵、4台冷水泵及2台冷却塔，构成闭式循环水系统。</w:t>
                  </w:r>
                </w:p>
              </w:tc>
              <w:tc>
                <w:tcPr>
                  <w:tcW w:w="1723" w:type="pct"/>
                  <w:noWrap w:val="0"/>
                  <w:vAlign w:val="center"/>
                </w:tcPr>
                <w:p w14:paraId="39D878A0">
                  <w:pPr>
                    <w:keepNext w:val="0"/>
                    <w:keepLines w:val="0"/>
                    <w:suppressLineNumbers w:val="0"/>
                    <w:spacing w:before="0" w:beforeAutospacing="0" w:after="0" w:afterAutospacing="0" w:line="320" w:lineRule="exact"/>
                    <w:ind w:left="0" w:right="0"/>
                    <w:jc w:val="left"/>
                    <w:rPr>
                      <w:rFonts w:hint="eastAsia" w:eastAsia="仿宋_GB2312"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水池保持不变，</w:t>
                  </w:r>
                  <w:r>
                    <w:rPr>
                      <w:rFonts w:hint="eastAsia" w:ascii="Times New Roman" w:hAnsi="Times New Roman" w:eastAsia="宋体" w:cs="Times New Roman"/>
                      <w:color w:val="auto"/>
                      <w:sz w:val="21"/>
                      <w:szCs w:val="21"/>
                      <w:highlight w:val="none"/>
                      <w:lang w:eastAsia="zh-CN"/>
                    </w:rPr>
                    <w:t>更换2台冷水泵和2台热水泵；新增瓦斯抽采泵DN200进水管150m，DN250回水管150m，配套安装防爆电动蝶阀。</w:t>
                  </w:r>
                </w:p>
              </w:tc>
              <w:tc>
                <w:tcPr>
                  <w:tcW w:w="555" w:type="pct"/>
                  <w:noWrap w:val="0"/>
                  <w:vAlign w:val="center"/>
                </w:tcPr>
                <w:p w14:paraId="242A1EE6">
                  <w:pPr>
                    <w:keepNext w:val="0"/>
                    <w:keepLines w:val="0"/>
                    <w:suppressLineNumbers w:val="0"/>
                    <w:spacing w:before="0" w:beforeAutospacing="0" w:after="0" w:afterAutospacing="0"/>
                    <w:ind w:left="0" w:right="0"/>
                    <w:jc w:val="center"/>
                    <w:rPr>
                      <w:rFonts w:hint="eastAsia" w:ascii="仿宋_GB2312" w:hAnsi="华文仿宋" w:eastAsia="仿宋_GB2312" w:cs="宋体"/>
                      <w:color w:val="auto"/>
                      <w:sz w:val="21"/>
                      <w:szCs w:val="21"/>
                      <w:highlight w:val="none"/>
                      <w:lang w:eastAsia="zh-CN" w:bidi="ar"/>
                    </w:rPr>
                  </w:pPr>
                  <w:r>
                    <w:rPr>
                      <w:rFonts w:hint="eastAsia" w:ascii="Times New Roman" w:hAnsi="Times New Roman" w:eastAsia="宋体" w:cs="Times New Roman"/>
                      <w:color w:val="auto"/>
                      <w:sz w:val="21"/>
                      <w:szCs w:val="21"/>
                      <w:lang w:val="en-US" w:eastAsia="zh-CN"/>
                    </w:rPr>
                    <w:t>改建、扩建</w:t>
                  </w:r>
                </w:p>
              </w:tc>
            </w:tr>
            <w:tr w14:paraId="7FA3170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1839" w:hRule="atLeast"/>
                <w:tblHeader/>
              </w:trPr>
              <w:tc>
                <w:tcPr>
                  <w:tcW w:w="308" w:type="pct"/>
                  <w:vMerge w:val="continue"/>
                  <w:noWrap w:val="0"/>
                  <w:vAlign w:val="center"/>
                </w:tcPr>
                <w:p w14:paraId="2B10A80F">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p>
              </w:tc>
              <w:tc>
                <w:tcPr>
                  <w:tcW w:w="520" w:type="pct"/>
                  <w:noWrap w:val="0"/>
                  <w:vAlign w:val="center"/>
                </w:tcPr>
                <w:p w14:paraId="2E638D99">
                  <w:pPr>
                    <w:keepNext w:val="0"/>
                    <w:keepLines w:val="0"/>
                    <w:suppressLineNumbers w:val="0"/>
                    <w:spacing w:before="0" w:beforeAutospacing="0" w:after="0" w:afterAutospacing="0" w:line="320" w:lineRule="exact"/>
                    <w:ind w:left="0" w:right="0"/>
                    <w:jc w:val="center"/>
                    <w:rPr>
                      <w:rFonts w:hint="eastAsia"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软化水装置</w:t>
                  </w:r>
                </w:p>
              </w:tc>
              <w:tc>
                <w:tcPr>
                  <w:tcW w:w="1892" w:type="pct"/>
                  <w:noWrap w:val="0"/>
                  <w:vAlign w:val="center"/>
                </w:tcPr>
                <w:p w14:paraId="36DB3C0D">
                  <w:pPr>
                    <w:pStyle w:val="2"/>
                    <w:keepLines w:val="0"/>
                    <w:suppressLineNumbers w:val="0"/>
                    <w:spacing w:beforeAutospacing="0" w:afterAutospacing="0"/>
                    <w:ind w:left="12" w:leftChars="0" w:right="0" w:hanging="12" w:firstLineChar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b w:val="0"/>
                      <w:bCs w:val="0"/>
                      <w:color w:val="auto"/>
                      <w:kern w:val="2"/>
                      <w:sz w:val="21"/>
                      <w:szCs w:val="21"/>
                      <w:highlight w:val="none"/>
                      <w:lang w:val="en-US" w:eastAsia="zh-CN" w:bidi="ar-SA"/>
                    </w:rPr>
                    <w:t>防止瓦斯抽采泵结垢影响抽采效率，循环水必须是除硬软化水，现水泵房安装有2套软化水装置，1用1备，处理能力20m</w:t>
                  </w:r>
                  <w:r>
                    <w:rPr>
                      <w:rFonts w:hint="eastAsia" w:ascii="Times New Roman" w:hAnsi="Times New Roman" w:eastAsia="宋体" w:cs="Times New Roman"/>
                      <w:b w:val="0"/>
                      <w:bCs w:val="0"/>
                      <w:color w:val="auto"/>
                      <w:kern w:val="2"/>
                      <w:sz w:val="21"/>
                      <w:szCs w:val="21"/>
                      <w:highlight w:val="none"/>
                      <w:vertAlign w:val="superscript"/>
                      <w:lang w:val="en-US" w:eastAsia="zh-CN" w:bidi="ar-SA"/>
                    </w:rPr>
                    <w:t>3</w:t>
                  </w:r>
                  <w:r>
                    <w:rPr>
                      <w:rFonts w:hint="eastAsia" w:ascii="Times New Roman" w:hAnsi="Times New Roman" w:eastAsia="宋体" w:cs="Times New Roman"/>
                      <w:b w:val="0"/>
                      <w:bCs w:val="0"/>
                      <w:color w:val="auto"/>
                      <w:kern w:val="2"/>
                      <w:sz w:val="21"/>
                      <w:szCs w:val="21"/>
                      <w:highlight w:val="none"/>
                      <w:lang w:val="en-US" w:eastAsia="zh-CN" w:bidi="ar-SA"/>
                    </w:rPr>
                    <w:t>/h</w:t>
                  </w:r>
                </w:p>
              </w:tc>
              <w:tc>
                <w:tcPr>
                  <w:tcW w:w="1723" w:type="pct"/>
                  <w:noWrap w:val="0"/>
                  <w:vAlign w:val="center"/>
                </w:tcPr>
                <w:p w14:paraId="766461E9">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w:t>
                  </w:r>
                </w:p>
              </w:tc>
              <w:tc>
                <w:tcPr>
                  <w:tcW w:w="555" w:type="pct"/>
                  <w:noWrap w:val="0"/>
                  <w:vAlign w:val="center"/>
                </w:tcPr>
                <w:p w14:paraId="019DAAB2">
                  <w:pPr>
                    <w:keepNext w:val="0"/>
                    <w:keepLines w:val="0"/>
                    <w:suppressLineNumbers w:val="0"/>
                    <w:spacing w:before="0" w:beforeAutospacing="0" w:after="0" w:afterAutospacing="0"/>
                    <w:ind w:left="0" w:right="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依托现有</w:t>
                  </w:r>
                </w:p>
              </w:tc>
            </w:tr>
            <w:tr w14:paraId="7A1EC5E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699" w:hRule="atLeast"/>
                <w:tblHeader/>
              </w:trPr>
              <w:tc>
                <w:tcPr>
                  <w:tcW w:w="308" w:type="pct"/>
                  <w:vMerge w:val="continue"/>
                  <w:noWrap w:val="0"/>
                  <w:vAlign w:val="center"/>
                </w:tcPr>
                <w:p w14:paraId="0A0085C8">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p>
              </w:tc>
              <w:tc>
                <w:tcPr>
                  <w:tcW w:w="520" w:type="pct"/>
                  <w:noWrap w:val="0"/>
                  <w:vAlign w:val="center"/>
                </w:tcPr>
                <w:p w14:paraId="404D6BF1">
                  <w:pPr>
                    <w:keepNext w:val="0"/>
                    <w:keepLines w:val="0"/>
                    <w:suppressLineNumbers w:val="0"/>
                    <w:spacing w:before="0" w:beforeAutospacing="0" w:after="0" w:afterAutospacing="0" w:line="320" w:lineRule="exact"/>
                    <w:ind w:left="0" w:right="0"/>
                    <w:jc w:val="both"/>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rPr>
                    <w:t>配电系统</w:t>
                  </w:r>
                </w:p>
              </w:tc>
              <w:tc>
                <w:tcPr>
                  <w:tcW w:w="1892" w:type="pct"/>
                  <w:noWrap w:val="0"/>
                  <w:vAlign w:val="center"/>
                </w:tcPr>
                <w:p w14:paraId="0339ABD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cs="Times New Roman"/>
                      <w:color w:val="auto"/>
                      <w:sz w:val="21"/>
                      <w:szCs w:val="21"/>
                      <w:highlight w:val="none"/>
                    </w:rPr>
                  </w:pPr>
                  <w:r>
                    <w:rPr>
                      <w:rFonts w:hint="eastAsia" w:ascii="Times New Roman" w:hAnsi="Times New Roman" w:eastAsia="宋体" w:cs="Times New Roman"/>
                      <w:color w:val="auto"/>
                      <w:sz w:val="21"/>
                      <w:szCs w:val="21"/>
                      <w:highlight w:val="none"/>
                    </w:rPr>
                    <w:t>站内设有配电室1间，室内联合布置高、低压配电设备，其中10kV中置式高压开关柜14台、抽出式低压开关柜5台、额定容量315kVA干式变压器2台、直流电源屏1套。</w:t>
                  </w:r>
                </w:p>
              </w:tc>
              <w:tc>
                <w:tcPr>
                  <w:tcW w:w="1723" w:type="pct"/>
                  <w:noWrap w:val="0"/>
                  <w:vAlign w:val="center"/>
                </w:tcPr>
                <w:p w14:paraId="0C32353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cs="Times New Roman"/>
                      <w:color w:val="auto"/>
                      <w:sz w:val="21"/>
                      <w:szCs w:val="21"/>
                      <w:highlight w:val="none"/>
                    </w:rPr>
                  </w:pPr>
                  <w:r>
                    <w:rPr>
                      <w:rFonts w:hint="eastAsia" w:ascii="Times New Roman" w:hAnsi="Times New Roman" w:eastAsia="宋体" w:cs="Times New Roman"/>
                      <w:color w:val="auto"/>
                      <w:sz w:val="21"/>
                      <w:szCs w:val="21"/>
                      <w:highlight w:val="none"/>
                    </w:rPr>
                    <w:t>在现有配电室增加高压开关柜2台，抽出式低压开关柜1台；增加矿用电力电缆250m，高压电力电缆1400m。</w:t>
                  </w:r>
                </w:p>
              </w:tc>
              <w:tc>
                <w:tcPr>
                  <w:tcW w:w="555" w:type="pct"/>
                  <w:noWrap w:val="0"/>
                  <w:vAlign w:val="center"/>
                </w:tcPr>
                <w:p w14:paraId="216A6D3E">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扩</w:t>
                  </w:r>
                  <w:r>
                    <w:rPr>
                      <w:rFonts w:hint="eastAsia" w:ascii="Times New Roman" w:hAnsi="Times New Roman" w:eastAsia="宋体" w:cs="Times New Roman"/>
                      <w:color w:val="auto"/>
                      <w:sz w:val="21"/>
                      <w:szCs w:val="21"/>
                      <w:lang w:eastAsia="zh-CN"/>
                    </w:rPr>
                    <w:t>建</w:t>
                  </w:r>
                </w:p>
              </w:tc>
            </w:tr>
            <w:tr w14:paraId="7155F89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699" w:hRule="atLeast"/>
                <w:tblHeader/>
              </w:trPr>
              <w:tc>
                <w:tcPr>
                  <w:tcW w:w="308" w:type="pct"/>
                  <w:vMerge w:val="continue"/>
                  <w:noWrap w:val="0"/>
                  <w:vAlign w:val="center"/>
                </w:tcPr>
                <w:p w14:paraId="17B721AD">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p>
              </w:tc>
              <w:tc>
                <w:tcPr>
                  <w:tcW w:w="520" w:type="pct"/>
                  <w:noWrap w:val="0"/>
                  <w:vAlign w:val="center"/>
                </w:tcPr>
                <w:p w14:paraId="306D9216">
                  <w:pPr>
                    <w:keepNext w:val="0"/>
                    <w:keepLines w:val="0"/>
                    <w:suppressLineNumbers w:val="0"/>
                    <w:spacing w:before="0" w:beforeAutospacing="0" w:after="0" w:afterAutospacing="0" w:line="320" w:lineRule="exact"/>
                    <w:ind w:left="0" w:right="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泵站防雷系统</w:t>
                  </w:r>
                </w:p>
              </w:tc>
              <w:tc>
                <w:tcPr>
                  <w:tcW w:w="1892" w:type="pct"/>
                  <w:noWrap w:val="0"/>
                  <w:vAlign w:val="center"/>
                </w:tcPr>
                <w:p w14:paraId="7F1F7F1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抽采泵站现有瓦斯泵房按第二类防雷建筑物设计，在屋面装设接闪带作为防直击雷设施。</w:t>
                  </w:r>
                </w:p>
                <w:p w14:paraId="121CAF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抽采泵站瓦斯放空管按第一类防雷建筑物的排放爆炸危险气体放散管设计，站内现设有5座接闪线塔对瓦斯放空管进行防雷保护。</w:t>
                  </w:r>
                </w:p>
              </w:tc>
              <w:tc>
                <w:tcPr>
                  <w:tcW w:w="1723" w:type="pct"/>
                  <w:noWrap w:val="0"/>
                  <w:vAlign w:val="center"/>
                </w:tcPr>
                <w:p w14:paraId="61D9D1B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rPr>
                    <w:t>新增瓦斯泵房按第二类防雷建筑物装设防雷装置，采用装设在屋面上的接闪带作为接闪器，并在整个屋面组成不大于10m×10m或12m×8m的网格</w:t>
                  </w:r>
                  <w:r>
                    <w:rPr>
                      <w:rFonts w:hint="eastAsia" w:ascii="Times New Roman" w:hAnsi="Times New Roman" w:eastAsia="宋体" w:cs="Times New Roman"/>
                      <w:color w:val="auto"/>
                      <w:sz w:val="21"/>
                      <w:szCs w:val="21"/>
                      <w:highlight w:val="none"/>
                      <w:lang w:eastAsia="zh-CN"/>
                    </w:rPr>
                    <w:t>。</w:t>
                  </w:r>
                </w:p>
                <w:p w14:paraId="30CF3BF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拆除1座接闪线塔，新增2座GFW1系列钢结构接闪线塔，共6座接闪线塔，新增Φ7.8镀锌钢绞线160m。</w:t>
                  </w:r>
                </w:p>
              </w:tc>
              <w:tc>
                <w:tcPr>
                  <w:tcW w:w="555" w:type="pct"/>
                  <w:noWrap w:val="0"/>
                  <w:vAlign w:val="center"/>
                </w:tcPr>
                <w:p w14:paraId="2305E07A">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扩</w:t>
                  </w:r>
                  <w:r>
                    <w:rPr>
                      <w:rFonts w:hint="eastAsia" w:ascii="Times New Roman" w:hAnsi="Times New Roman" w:eastAsia="宋体" w:cs="Times New Roman"/>
                      <w:color w:val="auto"/>
                      <w:sz w:val="21"/>
                      <w:szCs w:val="21"/>
                      <w:lang w:eastAsia="zh-CN"/>
                    </w:rPr>
                    <w:t>建</w:t>
                  </w:r>
                </w:p>
              </w:tc>
            </w:tr>
            <w:tr w14:paraId="7A97D8F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699" w:hRule="atLeast"/>
                <w:tblHeader/>
              </w:trPr>
              <w:tc>
                <w:tcPr>
                  <w:tcW w:w="308" w:type="pct"/>
                  <w:vMerge w:val="continue"/>
                  <w:noWrap w:val="0"/>
                  <w:vAlign w:val="center"/>
                </w:tcPr>
                <w:p w14:paraId="3EE50110">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p>
              </w:tc>
              <w:tc>
                <w:tcPr>
                  <w:tcW w:w="520" w:type="pct"/>
                  <w:noWrap w:val="0"/>
                  <w:vAlign w:val="center"/>
                </w:tcPr>
                <w:p w14:paraId="14C2C3E7">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rPr>
                    <w:t>监控系统</w:t>
                  </w:r>
                </w:p>
              </w:tc>
              <w:tc>
                <w:tcPr>
                  <w:tcW w:w="1892" w:type="pct"/>
                  <w:noWrap w:val="0"/>
                  <w:vAlign w:val="center"/>
                </w:tcPr>
                <w:p w14:paraId="0BF7B09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抽采泵站现装有一套瓦斯抽采监控系统。系统由PLC柜、上位机、交换机及各类传感器组成，用于抽采站设备运行工况、瓦斯管路参数、泵房环境等数据进行采集，实现地面抽采系统集中控制。</w:t>
                  </w:r>
                </w:p>
              </w:tc>
              <w:tc>
                <w:tcPr>
                  <w:tcW w:w="1723" w:type="pct"/>
                  <w:noWrap w:val="0"/>
                  <w:vAlign w:val="center"/>
                </w:tcPr>
                <w:p w14:paraId="447CF10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新建瓦斯抽采泵房内安装视频监控系统；对现有瓦斯抽采安全监控系统进行升级扩容，增加1台PLC柜和各类传感器，并对控制软件进行升级；完善站内低浓瓦斯氧化利用CCER开发所需计量器具的安装。</w:t>
                  </w:r>
                </w:p>
              </w:tc>
              <w:tc>
                <w:tcPr>
                  <w:tcW w:w="555" w:type="pct"/>
                  <w:noWrap w:val="0"/>
                  <w:vAlign w:val="center"/>
                </w:tcPr>
                <w:p w14:paraId="121D358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改建、</w:t>
                  </w:r>
                  <w:r>
                    <w:rPr>
                      <w:rFonts w:hint="eastAsia" w:ascii="Times New Roman" w:hAnsi="Times New Roman" w:eastAsia="宋体" w:cs="Times New Roman"/>
                      <w:color w:val="auto"/>
                      <w:sz w:val="21"/>
                      <w:szCs w:val="21"/>
                      <w:lang w:val="en-US" w:eastAsia="zh-CN"/>
                    </w:rPr>
                    <w:t>升级</w:t>
                  </w:r>
                </w:p>
              </w:tc>
            </w:tr>
            <w:tr w14:paraId="69F9294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601" w:hRule="atLeast"/>
                <w:tblHeader/>
              </w:trPr>
              <w:tc>
                <w:tcPr>
                  <w:tcW w:w="308" w:type="pct"/>
                  <w:vMerge w:val="restart"/>
                  <w:noWrap w:val="0"/>
                  <w:vAlign w:val="center"/>
                </w:tcPr>
                <w:p w14:paraId="04A1AB38">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r>
                    <w:rPr>
                      <w:rFonts w:hint="default" w:cs="Times New Roman"/>
                      <w:bCs/>
                      <w:color w:val="auto"/>
                      <w:sz w:val="21"/>
                      <w:szCs w:val="21"/>
                    </w:rPr>
                    <w:t>公用工程</w:t>
                  </w:r>
                </w:p>
              </w:tc>
              <w:tc>
                <w:tcPr>
                  <w:tcW w:w="520" w:type="pct"/>
                  <w:noWrap w:val="0"/>
                  <w:vAlign w:val="center"/>
                </w:tcPr>
                <w:p w14:paraId="1B56FE17">
                  <w:pPr>
                    <w:keepNext w:val="0"/>
                    <w:keepLines w:val="0"/>
                    <w:suppressLineNumbers w:val="0"/>
                    <w:spacing w:before="0" w:beforeAutospacing="0" w:after="0" w:afterAutospacing="0" w:line="320" w:lineRule="exact"/>
                    <w:ind w:left="0" w:right="0"/>
                    <w:jc w:val="center"/>
                    <w:rPr>
                      <w:rFonts w:hint="default" w:cs="Times New Roman"/>
                      <w:color w:val="auto"/>
                      <w:sz w:val="21"/>
                      <w:szCs w:val="21"/>
                    </w:rPr>
                  </w:pPr>
                  <w:r>
                    <w:rPr>
                      <w:rFonts w:hint="default" w:cs="Times New Roman"/>
                      <w:color w:val="auto"/>
                      <w:sz w:val="21"/>
                      <w:szCs w:val="21"/>
                    </w:rPr>
                    <w:t>供电</w:t>
                  </w:r>
                </w:p>
                <w:p w14:paraId="055E66A8">
                  <w:pPr>
                    <w:keepNext w:val="0"/>
                    <w:keepLines w:val="0"/>
                    <w:suppressLineNumbers w:val="0"/>
                    <w:spacing w:before="0" w:beforeAutospacing="0" w:after="0" w:afterAutospacing="0" w:line="320" w:lineRule="exact"/>
                    <w:ind w:left="0" w:right="0"/>
                    <w:jc w:val="center"/>
                    <w:rPr>
                      <w:rFonts w:hint="eastAsia" w:eastAsia="宋体" w:cs="Times New Roman"/>
                      <w:bCs/>
                      <w:color w:val="auto"/>
                      <w:sz w:val="21"/>
                      <w:szCs w:val="21"/>
                      <w:lang w:eastAsia="zh-CN"/>
                    </w:rPr>
                  </w:pPr>
                  <w:r>
                    <w:rPr>
                      <w:rFonts w:hint="eastAsia" w:cs="Times New Roman"/>
                      <w:color w:val="auto"/>
                      <w:sz w:val="21"/>
                      <w:szCs w:val="21"/>
                      <w:lang w:val="en-US" w:eastAsia="zh-CN"/>
                    </w:rPr>
                    <w:t>系统</w:t>
                  </w:r>
                </w:p>
              </w:tc>
              <w:tc>
                <w:tcPr>
                  <w:tcW w:w="1892" w:type="pct"/>
                  <w:noWrap w:val="0"/>
                  <w:vAlign w:val="center"/>
                </w:tcPr>
                <w:p w14:paraId="07DD995D">
                  <w:pPr>
                    <w:keepNext w:val="0"/>
                    <w:keepLines w:val="0"/>
                    <w:suppressLineNumbers w:val="0"/>
                    <w:spacing w:before="0" w:beforeAutospacing="0" w:after="0" w:afterAutospacing="0" w:line="320" w:lineRule="exact"/>
                    <w:ind w:left="0" w:right="0"/>
                    <w:jc w:val="center"/>
                    <w:rPr>
                      <w:rFonts w:hint="eastAsia" w:eastAsia="仿宋_GB2312" w:cs="Times New Roman"/>
                      <w:color w:val="auto"/>
                      <w:sz w:val="21"/>
                      <w:szCs w:val="21"/>
                      <w:highlight w:val="none"/>
                      <w:lang w:eastAsia="zh-CN"/>
                    </w:rPr>
                  </w:pPr>
                  <w:r>
                    <w:rPr>
                      <w:rFonts w:hint="eastAsia" w:ascii="Times New Roman" w:hAnsi="Times New Roman" w:eastAsia="宋体" w:cs="Times New Roman"/>
                      <w:b w:val="0"/>
                      <w:bCs w:val="0"/>
                      <w:color w:val="auto"/>
                      <w:kern w:val="2"/>
                      <w:sz w:val="21"/>
                      <w:szCs w:val="21"/>
                      <w:highlight w:val="none"/>
                      <w:lang w:val="en-US" w:eastAsia="zh-CN" w:bidi="ar-SA"/>
                    </w:rPr>
                    <w:t>泵站采用两回10kV电源供电，两回电源分别取自矿井地面110kV变电所10kV两段母线，电源进线型号均为YJV22-10kV 3x95mm</w:t>
                  </w:r>
                  <w:r>
                    <w:rPr>
                      <w:rFonts w:hint="eastAsia" w:ascii="Times New Roman" w:hAnsi="Times New Roman" w:eastAsia="宋体" w:cs="Times New Roman"/>
                      <w:b w:val="0"/>
                      <w:bCs w:val="0"/>
                      <w:color w:val="auto"/>
                      <w:kern w:val="2"/>
                      <w:sz w:val="21"/>
                      <w:szCs w:val="21"/>
                      <w:highlight w:val="none"/>
                      <w:vertAlign w:val="superscript"/>
                      <w:lang w:val="en-US" w:eastAsia="zh-CN" w:bidi="ar-SA"/>
                    </w:rPr>
                    <w:t>2</w:t>
                  </w:r>
                  <w:r>
                    <w:rPr>
                      <w:rFonts w:hint="eastAsia" w:ascii="Times New Roman" w:hAnsi="Times New Roman" w:eastAsia="宋体" w:cs="Times New Roman"/>
                      <w:b w:val="0"/>
                      <w:bCs w:val="0"/>
                      <w:color w:val="auto"/>
                      <w:kern w:val="2"/>
                      <w:sz w:val="21"/>
                      <w:szCs w:val="21"/>
                      <w:highlight w:val="none"/>
                      <w:lang w:val="en-US" w:eastAsia="zh-CN" w:bidi="ar-SA"/>
                    </w:rPr>
                    <w:t>。</w:t>
                  </w:r>
                </w:p>
              </w:tc>
              <w:tc>
                <w:tcPr>
                  <w:tcW w:w="1723" w:type="pct"/>
                  <w:noWrap w:val="0"/>
                  <w:vAlign w:val="center"/>
                </w:tcPr>
                <w:p w14:paraId="4CAF528C">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从矿井地面110kV变电所新增1回YJV22-10kV 3x150mm</w:t>
                  </w:r>
                  <w:r>
                    <w:rPr>
                      <w:rFonts w:hint="eastAsia"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eastAsia="宋体" w:cs="Times New Roman"/>
                      <w:color w:val="auto"/>
                      <w:sz w:val="21"/>
                      <w:szCs w:val="21"/>
                      <w:highlight w:val="none"/>
                      <w:lang w:val="en-US" w:eastAsia="zh-CN"/>
                    </w:rPr>
                    <w:t>电缆，作为抽采泵站第二回进线</w:t>
                  </w:r>
                </w:p>
              </w:tc>
              <w:tc>
                <w:tcPr>
                  <w:tcW w:w="555" w:type="pct"/>
                  <w:noWrap w:val="0"/>
                  <w:vAlign w:val="center"/>
                </w:tcPr>
                <w:p w14:paraId="7E1A582C">
                  <w:pPr>
                    <w:keepNext w:val="0"/>
                    <w:keepLines w:val="0"/>
                    <w:suppressLineNumbers w:val="0"/>
                    <w:spacing w:before="0" w:beforeAutospacing="0" w:after="0" w:afterAutospacing="0" w:line="320" w:lineRule="exact"/>
                    <w:ind w:left="0" w:right="0"/>
                    <w:jc w:val="center"/>
                    <w:rPr>
                      <w:rFonts w:hint="eastAsia" w:eastAsia="宋体" w:cs="Times New Roman"/>
                      <w:color w:val="auto"/>
                      <w:sz w:val="21"/>
                      <w:szCs w:val="21"/>
                      <w:lang w:eastAsia="zh-CN"/>
                    </w:rPr>
                  </w:pPr>
                  <w:r>
                    <w:rPr>
                      <w:rFonts w:hint="eastAsia" w:cs="Times New Roman"/>
                      <w:color w:val="auto"/>
                      <w:sz w:val="21"/>
                      <w:szCs w:val="21"/>
                      <w:lang w:val="en-US" w:eastAsia="zh-CN"/>
                    </w:rPr>
                    <w:t>扩建</w:t>
                  </w:r>
                </w:p>
              </w:tc>
            </w:tr>
            <w:tr w14:paraId="5C9056F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402" w:hRule="atLeast"/>
                <w:tblHeader/>
              </w:trPr>
              <w:tc>
                <w:tcPr>
                  <w:tcW w:w="308" w:type="pct"/>
                  <w:vMerge w:val="continue"/>
                  <w:noWrap w:val="0"/>
                  <w:vAlign w:val="center"/>
                </w:tcPr>
                <w:p w14:paraId="00ADAE66">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p>
              </w:tc>
              <w:tc>
                <w:tcPr>
                  <w:tcW w:w="520" w:type="pct"/>
                  <w:noWrap w:val="0"/>
                  <w:vAlign w:val="center"/>
                </w:tcPr>
                <w:p w14:paraId="373FBB56">
                  <w:pPr>
                    <w:keepNext w:val="0"/>
                    <w:keepLines w:val="0"/>
                    <w:suppressLineNumbers w:val="0"/>
                    <w:spacing w:before="0" w:beforeAutospacing="0" w:after="0" w:afterAutospacing="0" w:line="320" w:lineRule="exact"/>
                    <w:ind w:left="0" w:right="0"/>
                    <w:jc w:val="center"/>
                    <w:rPr>
                      <w:rFonts w:hint="default" w:cs="Times New Roman"/>
                      <w:color w:val="auto"/>
                      <w:sz w:val="21"/>
                      <w:szCs w:val="21"/>
                    </w:rPr>
                  </w:pPr>
                  <w:r>
                    <w:rPr>
                      <w:rFonts w:hint="default" w:cs="Times New Roman"/>
                      <w:color w:val="auto"/>
                      <w:sz w:val="21"/>
                      <w:szCs w:val="21"/>
                    </w:rPr>
                    <w:t>供水</w:t>
                  </w:r>
                </w:p>
                <w:p w14:paraId="50FF9D77">
                  <w:pPr>
                    <w:keepNext w:val="0"/>
                    <w:keepLines w:val="0"/>
                    <w:suppressLineNumbers w:val="0"/>
                    <w:spacing w:before="0" w:beforeAutospacing="0" w:after="0" w:afterAutospacing="0" w:line="320" w:lineRule="exact"/>
                    <w:ind w:left="0" w:right="0"/>
                    <w:jc w:val="center"/>
                    <w:rPr>
                      <w:rFonts w:hint="default" w:cs="Times New Roman"/>
                      <w:bCs/>
                      <w:color w:val="auto"/>
                      <w:sz w:val="21"/>
                      <w:szCs w:val="21"/>
                    </w:rPr>
                  </w:pPr>
                  <w:r>
                    <w:rPr>
                      <w:rFonts w:hint="default" w:cs="Times New Roman"/>
                      <w:color w:val="auto"/>
                      <w:sz w:val="21"/>
                      <w:szCs w:val="21"/>
                    </w:rPr>
                    <w:t>工程</w:t>
                  </w:r>
                </w:p>
              </w:tc>
              <w:tc>
                <w:tcPr>
                  <w:tcW w:w="1892" w:type="pct"/>
                  <w:noWrap w:val="0"/>
                  <w:vAlign w:val="center"/>
                </w:tcPr>
                <w:p w14:paraId="4F77746B">
                  <w:pPr>
                    <w:keepNext w:val="0"/>
                    <w:keepLines w:val="0"/>
                    <w:suppressLineNumbers w:val="0"/>
                    <w:spacing w:before="0" w:beforeAutospacing="0" w:after="0" w:afterAutospacing="0" w:line="320" w:lineRule="exact"/>
                    <w:ind w:left="0" w:right="0"/>
                    <w:jc w:val="left"/>
                    <w:rPr>
                      <w:rFonts w:hint="eastAsia" w:eastAsia="宋体" w:cs="Times New Roman"/>
                      <w:color w:val="auto"/>
                      <w:sz w:val="21"/>
                      <w:szCs w:val="21"/>
                      <w:highlight w:val="none"/>
                      <w:lang w:eastAsia="zh-CN"/>
                    </w:rPr>
                  </w:pPr>
                  <w:r>
                    <w:rPr>
                      <w:rFonts w:hint="eastAsia" w:eastAsia="宋体" w:cs="Times New Roman"/>
                      <w:color w:val="auto"/>
                      <w:sz w:val="21"/>
                      <w:szCs w:val="21"/>
                      <w:highlight w:val="none"/>
                      <w:lang w:eastAsia="zh-CN"/>
                    </w:rPr>
                    <w:t>依托</w:t>
                  </w:r>
                  <w:r>
                    <w:rPr>
                      <w:rFonts w:hint="eastAsia" w:ascii="Times New Roman" w:hAnsi="Times New Roman" w:eastAsia="宋体" w:cs="Times New Roman"/>
                      <w:color w:val="auto"/>
                      <w:sz w:val="21"/>
                      <w:szCs w:val="21"/>
                      <w:highlight w:val="none"/>
                      <w:lang w:val="en-US" w:eastAsia="zh-CN"/>
                    </w:rPr>
                    <w:t>现有供水设施提供</w:t>
                  </w:r>
                </w:p>
              </w:tc>
              <w:tc>
                <w:tcPr>
                  <w:tcW w:w="1723" w:type="pct"/>
                  <w:noWrap w:val="0"/>
                  <w:vAlign w:val="center"/>
                </w:tcPr>
                <w:p w14:paraId="40B5A70F">
                  <w:pPr>
                    <w:keepNext w:val="0"/>
                    <w:keepLines w:val="0"/>
                    <w:suppressLineNumbers w:val="0"/>
                    <w:spacing w:before="0" w:beforeAutospacing="0" w:after="0" w:afterAutospacing="0" w:line="320" w:lineRule="exact"/>
                    <w:ind w:left="0" w:right="0"/>
                    <w:jc w:val="left"/>
                    <w:rPr>
                      <w:rFonts w:hint="eastAsia" w:eastAsia="宋体" w:cs="Times New Roman"/>
                      <w:color w:val="auto"/>
                      <w:sz w:val="21"/>
                      <w:szCs w:val="21"/>
                      <w:highlight w:val="none"/>
                      <w:lang w:eastAsia="zh-CN"/>
                    </w:rPr>
                  </w:pPr>
                  <w:r>
                    <w:rPr>
                      <w:rFonts w:hint="eastAsia" w:eastAsia="宋体" w:cs="Times New Roman"/>
                      <w:color w:val="auto"/>
                      <w:sz w:val="21"/>
                      <w:szCs w:val="21"/>
                      <w:highlight w:val="none"/>
                      <w:lang w:eastAsia="zh-CN"/>
                    </w:rPr>
                    <w:t>依托</w:t>
                  </w:r>
                  <w:r>
                    <w:rPr>
                      <w:rFonts w:hint="eastAsia" w:ascii="Times New Roman" w:hAnsi="Times New Roman" w:eastAsia="宋体" w:cs="Times New Roman"/>
                      <w:color w:val="auto"/>
                      <w:sz w:val="21"/>
                      <w:szCs w:val="21"/>
                      <w:highlight w:val="none"/>
                      <w:lang w:val="en-US" w:eastAsia="zh-CN"/>
                    </w:rPr>
                    <w:t>现有供水设施提供</w:t>
                  </w:r>
                </w:p>
              </w:tc>
              <w:tc>
                <w:tcPr>
                  <w:tcW w:w="555" w:type="pct"/>
                  <w:noWrap w:val="0"/>
                  <w:vAlign w:val="center"/>
                </w:tcPr>
                <w:p w14:paraId="718F115C">
                  <w:pPr>
                    <w:keepNext w:val="0"/>
                    <w:keepLines w:val="0"/>
                    <w:suppressLineNumbers w:val="0"/>
                    <w:spacing w:before="0" w:beforeAutospacing="0" w:after="0" w:afterAutospacing="0" w:line="320" w:lineRule="exact"/>
                    <w:ind w:left="0" w:right="0"/>
                    <w:jc w:val="left"/>
                    <w:rPr>
                      <w:rFonts w:hint="eastAsia" w:eastAsia="宋体" w:cs="Times New Roman"/>
                      <w:color w:val="auto"/>
                      <w:sz w:val="21"/>
                      <w:szCs w:val="21"/>
                      <w:lang w:eastAsia="zh-CN"/>
                    </w:rPr>
                  </w:pPr>
                  <w:r>
                    <w:rPr>
                      <w:rFonts w:hint="eastAsia" w:cs="Times New Roman"/>
                      <w:color w:val="auto"/>
                      <w:sz w:val="21"/>
                      <w:szCs w:val="21"/>
                      <w:lang w:eastAsia="zh-CN"/>
                    </w:rPr>
                    <w:t>依托现有</w:t>
                  </w:r>
                </w:p>
              </w:tc>
            </w:tr>
            <w:tr w14:paraId="28EBC44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439" w:hRule="atLeast"/>
                <w:tblHeader/>
              </w:trPr>
              <w:tc>
                <w:tcPr>
                  <w:tcW w:w="308" w:type="pct"/>
                  <w:vMerge w:val="continue"/>
                  <w:noWrap w:val="0"/>
                  <w:vAlign w:val="center"/>
                </w:tcPr>
                <w:p w14:paraId="5D7FEF60">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p>
              </w:tc>
              <w:tc>
                <w:tcPr>
                  <w:tcW w:w="520" w:type="pct"/>
                  <w:noWrap w:val="0"/>
                  <w:vAlign w:val="center"/>
                </w:tcPr>
                <w:p w14:paraId="46578DC2">
                  <w:pPr>
                    <w:keepNext w:val="0"/>
                    <w:keepLines w:val="0"/>
                    <w:suppressLineNumbers w:val="0"/>
                    <w:spacing w:before="0" w:beforeAutospacing="0" w:after="0" w:afterAutospacing="0" w:line="320" w:lineRule="exact"/>
                    <w:ind w:left="0" w:right="0"/>
                    <w:jc w:val="center"/>
                    <w:rPr>
                      <w:rFonts w:hint="default" w:cs="Times New Roman"/>
                      <w:color w:val="auto"/>
                      <w:sz w:val="21"/>
                      <w:szCs w:val="21"/>
                    </w:rPr>
                  </w:pPr>
                  <w:r>
                    <w:rPr>
                      <w:rFonts w:hint="default" w:cs="Times New Roman"/>
                      <w:color w:val="auto"/>
                      <w:sz w:val="21"/>
                      <w:szCs w:val="21"/>
                    </w:rPr>
                    <w:t>排水</w:t>
                  </w:r>
                </w:p>
                <w:p w14:paraId="2F02646A">
                  <w:pPr>
                    <w:keepNext w:val="0"/>
                    <w:keepLines w:val="0"/>
                    <w:suppressLineNumbers w:val="0"/>
                    <w:spacing w:before="0" w:beforeAutospacing="0" w:after="0" w:afterAutospacing="0" w:line="320" w:lineRule="exact"/>
                    <w:ind w:left="0" w:right="0"/>
                    <w:jc w:val="center"/>
                    <w:rPr>
                      <w:rFonts w:hint="default" w:cs="Times New Roman"/>
                      <w:bCs/>
                      <w:color w:val="auto"/>
                      <w:sz w:val="21"/>
                      <w:szCs w:val="21"/>
                    </w:rPr>
                  </w:pPr>
                  <w:r>
                    <w:rPr>
                      <w:rFonts w:hint="default" w:cs="Times New Roman"/>
                      <w:color w:val="auto"/>
                      <w:sz w:val="21"/>
                      <w:szCs w:val="21"/>
                    </w:rPr>
                    <w:t>工程</w:t>
                  </w:r>
                </w:p>
              </w:tc>
              <w:tc>
                <w:tcPr>
                  <w:tcW w:w="1892" w:type="pct"/>
                  <w:noWrap w:val="0"/>
                  <w:vAlign w:val="center"/>
                </w:tcPr>
                <w:p w14:paraId="6EFA403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eastAsia="宋体" w:cs="Times New Roman"/>
                      <w:color w:val="auto"/>
                      <w:sz w:val="21"/>
                      <w:szCs w:val="21"/>
                      <w:highlight w:val="yellow"/>
                      <w:lang w:eastAsia="zh-CN"/>
                    </w:rPr>
                  </w:pPr>
                  <w:r>
                    <w:rPr>
                      <w:rFonts w:hint="eastAsia" w:ascii="Times New Roman" w:hAnsi="Times New Roman" w:eastAsia="宋体" w:cs="Times New Roman"/>
                      <w:color w:val="auto"/>
                      <w:sz w:val="21"/>
                      <w:szCs w:val="21"/>
                      <w:highlight w:val="none"/>
                      <w:lang w:val="en-US" w:eastAsia="zh-CN"/>
                    </w:rPr>
                    <w:t>雨污分流，站房内地面布置多道排水沟，场地雨水通过排水沟排向顾北煤矿工广雨水管网。职工生活污水通过现有的污水管网排入工业场地内的生活污水处理站处理后部分回用于生产，剩余部分通过废水总排口排放至永幸河。运营期瓦斯凝结水进入循环水系统水池沉淀后循环利用；循环水系统定期排污水经现有污水管网排入工业场地内的矿井水处理站处理，通过顾北煤矿总排口外排至永幸河，处理后废水大部分回用于井下、消防及降尘，剩余部分通过废水总排口排放至永幸河，废水排放执行《煤炭工业污染物排放标准》</w:t>
                  </w:r>
                  <w:r>
                    <w:rPr>
                      <w:rFonts w:hint="default" w:ascii="Times New Roman" w:hAnsi="Times New Roman" w:eastAsia="宋体" w:cs="Times New Roman"/>
                      <w:color w:val="auto"/>
                      <w:sz w:val="21"/>
                      <w:szCs w:val="21"/>
                      <w:highlight w:val="none"/>
                      <w:lang w:val="en-US" w:eastAsia="zh-CN"/>
                    </w:rPr>
                    <w:t>(GB20426</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2006)</w:t>
                  </w:r>
                  <w:r>
                    <w:rPr>
                      <w:rFonts w:hint="eastAsia" w:ascii="Times New Roman" w:hAnsi="Times New Roman" w:eastAsia="宋体" w:cs="Times New Roman"/>
                      <w:color w:val="auto"/>
                      <w:sz w:val="21"/>
                      <w:szCs w:val="21"/>
                      <w:highlight w:val="none"/>
                      <w:lang w:val="en-US" w:eastAsia="zh-CN"/>
                    </w:rPr>
                    <w:t>新建</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改、扩</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生产线标准，氨氮、</w:t>
                  </w:r>
                  <w:r>
                    <w:rPr>
                      <w:rFonts w:hint="default" w:ascii="Times New Roman" w:hAnsi="Times New Roman" w:eastAsia="宋体" w:cs="Times New Roman"/>
                      <w:color w:val="auto"/>
                      <w:sz w:val="21"/>
                      <w:szCs w:val="21"/>
                      <w:highlight w:val="none"/>
                      <w:lang w:val="en-US" w:eastAsia="zh-CN"/>
                    </w:rPr>
                    <w:t>BOD5</w:t>
                  </w:r>
                  <w:r>
                    <w:rPr>
                      <w:rFonts w:hint="eastAsia" w:ascii="Times New Roman" w:hAnsi="Times New Roman" w:eastAsia="宋体" w:cs="Times New Roman"/>
                      <w:color w:val="auto"/>
                      <w:sz w:val="21"/>
                      <w:szCs w:val="21"/>
                      <w:highlight w:val="none"/>
                      <w:lang w:val="en-US" w:eastAsia="zh-CN"/>
                    </w:rPr>
                    <w:t>执行《污水综合排放标准》中的一级标准。</w:t>
                  </w:r>
                </w:p>
              </w:tc>
              <w:tc>
                <w:tcPr>
                  <w:tcW w:w="1723" w:type="pct"/>
                  <w:noWrap w:val="0"/>
                  <w:vAlign w:val="center"/>
                </w:tcPr>
                <w:p w14:paraId="6B438E7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雨污分流，</w:t>
                  </w:r>
                  <w:r>
                    <w:rPr>
                      <w:rFonts w:hint="eastAsia" w:cs="Times New Roman"/>
                      <w:color w:val="auto"/>
                      <w:sz w:val="21"/>
                      <w:szCs w:val="21"/>
                      <w:highlight w:val="none"/>
                    </w:rPr>
                    <w:t>扩建的泵房屋面排水采用无组织排水，场地地面设有雨水沟渠，雨水排至工广雨水管网</w:t>
                  </w:r>
                  <w:r>
                    <w:rPr>
                      <w:rFonts w:hint="eastAsia" w:cs="Times New Roman"/>
                      <w:color w:val="auto"/>
                      <w:sz w:val="21"/>
                      <w:szCs w:val="21"/>
                      <w:highlight w:val="none"/>
                      <w:lang w:eastAsia="zh-CN"/>
                    </w:rPr>
                    <w:t>。</w:t>
                  </w:r>
                </w:p>
                <w:p w14:paraId="062FFF8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default" w:cs="Times New Roman"/>
                      <w:color w:val="auto"/>
                      <w:sz w:val="21"/>
                      <w:szCs w:val="21"/>
                      <w:highlight w:val="yellow"/>
                    </w:rPr>
                  </w:pPr>
                  <w:r>
                    <w:rPr>
                      <w:rFonts w:hint="eastAsia" w:ascii="Times New Roman" w:hAnsi="Times New Roman" w:eastAsia="宋体" w:cs="Times New Roman"/>
                      <w:color w:val="auto"/>
                      <w:sz w:val="21"/>
                      <w:szCs w:val="21"/>
                      <w:highlight w:val="none"/>
                      <w:lang w:val="en-US" w:eastAsia="zh-CN"/>
                    </w:rPr>
                    <w:t>本扩建项目不新增职工，项目不新增生活污水。运营期瓦斯凝结水进入循环水系统水池沉淀后循环利用；循环水系统定期排污水经现有污水管网排入工业场地内的矿井水处理站处理，通过顾北煤矿总排口外排至永幸河，处理后废水大部分回用于井下、消防及降尘，剩余部分通过废水总排口排放至永幸河，废水排放执行《煤炭工业污染物排放标准》</w:t>
                  </w:r>
                  <w:r>
                    <w:rPr>
                      <w:rFonts w:hint="default" w:ascii="Times New Roman" w:hAnsi="Times New Roman" w:eastAsia="宋体" w:cs="Times New Roman"/>
                      <w:color w:val="auto"/>
                      <w:sz w:val="21"/>
                      <w:szCs w:val="21"/>
                      <w:highlight w:val="none"/>
                      <w:lang w:val="en-US" w:eastAsia="zh-CN"/>
                    </w:rPr>
                    <w:t>(GB20426</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2006)</w:t>
                  </w:r>
                  <w:r>
                    <w:rPr>
                      <w:rFonts w:hint="eastAsia" w:ascii="Times New Roman" w:hAnsi="Times New Roman" w:eastAsia="宋体" w:cs="Times New Roman"/>
                      <w:color w:val="auto"/>
                      <w:sz w:val="21"/>
                      <w:szCs w:val="21"/>
                      <w:highlight w:val="none"/>
                      <w:lang w:val="en-US" w:eastAsia="zh-CN"/>
                    </w:rPr>
                    <w:t>新建</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改、扩</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生产线标准，氨氮、</w:t>
                  </w:r>
                  <w:r>
                    <w:rPr>
                      <w:rFonts w:hint="default" w:ascii="Times New Roman" w:hAnsi="Times New Roman" w:eastAsia="宋体" w:cs="Times New Roman"/>
                      <w:color w:val="auto"/>
                      <w:sz w:val="21"/>
                      <w:szCs w:val="21"/>
                      <w:highlight w:val="none"/>
                      <w:lang w:val="en-US" w:eastAsia="zh-CN"/>
                    </w:rPr>
                    <w:t>BOD5</w:t>
                  </w:r>
                  <w:r>
                    <w:rPr>
                      <w:rFonts w:hint="eastAsia" w:ascii="Times New Roman" w:hAnsi="Times New Roman" w:eastAsia="宋体" w:cs="Times New Roman"/>
                      <w:color w:val="auto"/>
                      <w:sz w:val="21"/>
                      <w:szCs w:val="21"/>
                      <w:highlight w:val="none"/>
                      <w:lang w:val="en-US" w:eastAsia="zh-CN"/>
                    </w:rPr>
                    <w:t>执行《污水综合排放标准》中的一级标准。</w:t>
                  </w:r>
                </w:p>
              </w:tc>
              <w:tc>
                <w:tcPr>
                  <w:tcW w:w="555" w:type="pct"/>
                  <w:noWrap w:val="0"/>
                  <w:vAlign w:val="center"/>
                </w:tcPr>
                <w:p w14:paraId="2C983398">
                  <w:pPr>
                    <w:keepNext w:val="0"/>
                    <w:keepLines w:val="0"/>
                    <w:suppressLineNumbers w:val="0"/>
                    <w:spacing w:before="0" w:beforeAutospacing="0" w:after="0" w:afterAutospacing="0" w:line="320" w:lineRule="exact"/>
                    <w:ind w:left="0" w:right="0"/>
                    <w:jc w:val="left"/>
                    <w:rPr>
                      <w:rFonts w:hint="default" w:cs="Times New Roman"/>
                      <w:color w:val="auto"/>
                      <w:sz w:val="21"/>
                      <w:szCs w:val="21"/>
                    </w:rPr>
                  </w:pPr>
                  <w:r>
                    <w:rPr>
                      <w:rFonts w:hint="eastAsia" w:cs="Times New Roman"/>
                      <w:color w:val="auto"/>
                      <w:sz w:val="21"/>
                      <w:szCs w:val="21"/>
                      <w:lang w:eastAsia="zh-CN"/>
                    </w:rPr>
                    <w:t>依托现有</w:t>
                  </w:r>
                </w:p>
              </w:tc>
            </w:tr>
            <w:tr w14:paraId="4408EC9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513" w:hRule="atLeast"/>
                <w:tblHeader/>
              </w:trPr>
              <w:tc>
                <w:tcPr>
                  <w:tcW w:w="308" w:type="pct"/>
                  <w:vMerge w:val="restart"/>
                  <w:noWrap w:val="0"/>
                  <w:vAlign w:val="center"/>
                </w:tcPr>
                <w:p w14:paraId="158A7D7B">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r>
                    <w:rPr>
                      <w:rFonts w:hint="default" w:cs="Times New Roman"/>
                      <w:bCs/>
                      <w:color w:val="auto"/>
                      <w:sz w:val="21"/>
                      <w:szCs w:val="21"/>
                    </w:rPr>
                    <w:t>环保工程</w:t>
                  </w:r>
                </w:p>
              </w:tc>
              <w:tc>
                <w:tcPr>
                  <w:tcW w:w="520" w:type="pct"/>
                  <w:noWrap w:val="0"/>
                  <w:vAlign w:val="center"/>
                </w:tcPr>
                <w:p w14:paraId="4226BFFA">
                  <w:pPr>
                    <w:keepNext w:val="0"/>
                    <w:keepLines w:val="0"/>
                    <w:suppressLineNumbers w:val="0"/>
                    <w:adjustRightInd w:val="0"/>
                    <w:snapToGrid w:val="0"/>
                    <w:spacing w:before="0" w:beforeAutospacing="0" w:after="0" w:afterAutospacing="0"/>
                    <w:ind w:left="0" w:right="0"/>
                    <w:jc w:val="center"/>
                    <w:rPr>
                      <w:rFonts w:hint="eastAsia" w:eastAsia="宋体" w:cs="Times New Roman"/>
                      <w:bCs/>
                      <w:color w:val="auto"/>
                      <w:sz w:val="21"/>
                      <w:szCs w:val="21"/>
                      <w:lang w:eastAsia="zh-CN"/>
                    </w:rPr>
                  </w:pPr>
                  <w:r>
                    <w:rPr>
                      <w:rFonts w:hint="default" w:cs="Times New Roman"/>
                      <w:bCs/>
                      <w:color w:val="auto"/>
                      <w:sz w:val="21"/>
                      <w:szCs w:val="21"/>
                    </w:rPr>
                    <w:t>废</w:t>
                  </w:r>
                  <w:r>
                    <w:rPr>
                      <w:rFonts w:hint="eastAsia" w:cs="Times New Roman"/>
                      <w:bCs/>
                      <w:color w:val="auto"/>
                      <w:sz w:val="21"/>
                      <w:szCs w:val="21"/>
                    </w:rPr>
                    <w:t>气</w:t>
                  </w:r>
                </w:p>
              </w:tc>
              <w:tc>
                <w:tcPr>
                  <w:tcW w:w="1892" w:type="pct"/>
                  <w:noWrap w:val="0"/>
                  <w:vAlign w:val="center"/>
                </w:tcPr>
                <w:p w14:paraId="30C631EB">
                  <w:pPr>
                    <w:keepNext w:val="0"/>
                    <w:keepLines w:val="0"/>
                    <w:widowControl/>
                    <w:suppressLineNumbers w:val="0"/>
                    <w:spacing w:before="0" w:beforeAutospacing="0" w:after="0" w:afterAutospacing="0"/>
                    <w:ind w:left="0" w:right="0"/>
                    <w:jc w:val="left"/>
                    <w:rPr>
                      <w:rFonts w:hint="eastAsia" w:eastAsia="宋体" w:cs="Times New Roman"/>
                      <w:bCs/>
                      <w:color w:val="auto"/>
                      <w:sz w:val="21"/>
                      <w:szCs w:val="21"/>
                      <w:lang w:val="en-US" w:eastAsia="zh-CN"/>
                    </w:rPr>
                  </w:pPr>
                  <w:r>
                    <w:rPr>
                      <w:rFonts w:hint="eastAsia" w:ascii="宋体" w:hAnsi="宋体" w:eastAsia="宋体" w:cs="宋体"/>
                      <w:color w:val="auto"/>
                      <w:kern w:val="0"/>
                      <w:sz w:val="21"/>
                      <w:szCs w:val="21"/>
                      <w:lang w:val="en-US" w:eastAsia="zh-CN" w:bidi="ar"/>
                    </w:rPr>
                    <w:t>现有项目无工艺废气产生，井下抽采的瓦斯属于低浓度瓦斯，通过放空管高空排放。</w:t>
                  </w:r>
                </w:p>
              </w:tc>
              <w:tc>
                <w:tcPr>
                  <w:tcW w:w="1723" w:type="pct"/>
                  <w:noWrap w:val="0"/>
                  <w:vAlign w:val="center"/>
                </w:tcPr>
                <w:p w14:paraId="51FBE5B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eastAsia="宋体" w:cs="Times New Roman"/>
                      <w:bCs/>
                      <w:color w:val="auto"/>
                      <w:sz w:val="21"/>
                      <w:szCs w:val="21"/>
                      <w:lang w:val="en-US" w:eastAsia="zh-CN"/>
                    </w:rPr>
                  </w:pPr>
                  <w:r>
                    <w:rPr>
                      <w:rFonts w:hint="eastAsia" w:ascii="宋体" w:hAnsi="宋体" w:eastAsia="宋体" w:cs="宋体"/>
                      <w:color w:val="auto"/>
                      <w:kern w:val="0"/>
                      <w:sz w:val="21"/>
                      <w:szCs w:val="21"/>
                      <w:lang w:val="en-US" w:eastAsia="zh-CN" w:bidi="ar"/>
                    </w:rPr>
                    <w:t>本项目运营期无工艺废气产生，井下抽采的低浓度瓦斯直接输送至</w:t>
                  </w:r>
                  <w:r>
                    <w:rPr>
                      <w:rFonts w:hint="default" w:ascii="宋体" w:hAnsi="宋体" w:eastAsia="宋体" w:cs="宋体"/>
                      <w:color w:val="auto"/>
                      <w:kern w:val="0"/>
                      <w:sz w:val="21"/>
                      <w:szCs w:val="21"/>
                      <w:lang w:val="en-US" w:eastAsia="zh-CN" w:bidi="ar"/>
                    </w:rPr>
                    <w:t>顾北煤矿超低浓度瓦斯清洁高效综合利用示范项目</w:t>
                  </w:r>
                  <w:r>
                    <w:rPr>
                      <w:rFonts w:hint="eastAsia" w:ascii="宋体" w:hAnsi="宋体" w:eastAsia="宋体" w:cs="宋体"/>
                      <w:color w:val="auto"/>
                      <w:kern w:val="0"/>
                      <w:sz w:val="21"/>
                      <w:szCs w:val="21"/>
                      <w:lang w:val="en-US" w:eastAsia="zh-CN" w:bidi="ar"/>
                    </w:rPr>
                    <w:t>进行综合利用（用于发电）。</w:t>
                  </w:r>
                </w:p>
              </w:tc>
              <w:tc>
                <w:tcPr>
                  <w:tcW w:w="555" w:type="pct"/>
                  <w:noWrap w:val="0"/>
                  <w:vAlign w:val="center"/>
                </w:tcPr>
                <w:p w14:paraId="2B4E1598">
                  <w:pPr>
                    <w:keepNext w:val="0"/>
                    <w:keepLines w:val="0"/>
                    <w:suppressLineNumbers w:val="0"/>
                    <w:adjustRightInd w:val="0"/>
                    <w:snapToGrid w:val="0"/>
                    <w:spacing w:before="0" w:beforeAutospacing="0" w:after="0" w:afterAutospacing="0"/>
                    <w:ind w:left="0" w:right="0"/>
                    <w:jc w:val="center"/>
                    <w:rPr>
                      <w:rFonts w:hint="default" w:cs="Times New Roman"/>
                      <w:color w:val="auto"/>
                      <w:sz w:val="21"/>
                      <w:szCs w:val="21"/>
                    </w:rPr>
                  </w:pPr>
                  <w:r>
                    <w:rPr>
                      <w:rFonts w:hint="eastAsia" w:cs="Times New Roman"/>
                      <w:color w:val="auto"/>
                      <w:sz w:val="21"/>
                      <w:szCs w:val="21"/>
                      <w:lang w:eastAsia="zh-CN"/>
                    </w:rPr>
                    <w:t>依托现有</w:t>
                  </w:r>
                </w:p>
              </w:tc>
            </w:tr>
            <w:tr w14:paraId="5B65CED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513" w:hRule="atLeast"/>
                <w:tblHeader/>
              </w:trPr>
              <w:tc>
                <w:tcPr>
                  <w:tcW w:w="308" w:type="pct"/>
                  <w:vMerge w:val="continue"/>
                  <w:noWrap w:val="0"/>
                  <w:vAlign w:val="center"/>
                </w:tcPr>
                <w:p w14:paraId="4E3B1F0C">
                  <w:pPr>
                    <w:keepNext w:val="0"/>
                    <w:keepLines w:val="0"/>
                    <w:suppressLineNumbers w:val="0"/>
                    <w:adjustRightInd w:val="0"/>
                    <w:snapToGrid w:val="0"/>
                    <w:spacing w:before="0" w:beforeAutospacing="0" w:after="0" w:afterAutospacing="0"/>
                    <w:ind w:left="0" w:right="0"/>
                    <w:jc w:val="center"/>
                    <w:rPr>
                      <w:rFonts w:hint="default" w:cs="Times New Roman"/>
                      <w:color w:val="auto"/>
                      <w:sz w:val="21"/>
                      <w:szCs w:val="21"/>
                    </w:rPr>
                  </w:pPr>
                </w:p>
              </w:tc>
              <w:tc>
                <w:tcPr>
                  <w:tcW w:w="520" w:type="pct"/>
                  <w:noWrap w:val="0"/>
                  <w:vAlign w:val="center"/>
                </w:tcPr>
                <w:p w14:paraId="43C3C940">
                  <w:pPr>
                    <w:keepNext w:val="0"/>
                    <w:keepLines w:val="0"/>
                    <w:suppressLineNumbers w:val="0"/>
                    <w:adjustRightInd w:val="0"/>
                    <w:snapToGrid w:val="0"/>
                    <w:spacing w:before="0" w:beforeAutospacing="0" w:after="0" w:afterAutospacing="0"/>
                    <w:ind w:left="0" w:right="0"/>
                    <w:jc w:val="center"/>
                    <w:rPr>
                      <w:rFonts w:hint="default" w:eastAsia="宋体" w:cs="Times New Roman"/>
                      <w:bCs/>
                      <w:color w:val="auto"/>
                      <w:sz w:val="21"/>
                      <w:szCs w:val="21"/>
                      <w:lang w:val="en-US" w:eastAsia="zh-CN"/>
                    </w:rPr>
                  </w:pPr>
                  <w:r>
                    <w:rPr>
                      <w:rFonts w:hint="eastAsia" w:cs="Times New Roman"/>
                      <w:bCs/>
                      <w:color w:val="auto"/>
                      <w:sz w:val="21"/>
                      <w:szCs w:val="21"/>
                      <w:lang w:val="en-US" w:eastAsia="zh-CN"/>
                    </w:rPr>
                    <w:t>废水</w:t>
                  </w:r>
                </w:p>
              </w:tc>
              <w:tc>
                <w:tcPr>
                  <w:tcW w:w="1892" w:type="pct"/>
                  <w:noWrap w:val="0"/>
                  <w:vAlign w:val="center"/>
                </w:tcPr>
                <w:p w14:paraId="0D01AE6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雨污分流，站房内地面布置多道排水沟，场地雨水通过排水沟排向顾北煤矿工广雨水管网。</w:t>
                  </w:r>
                </w:p>
                <w:p w14:paraId="5682946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职工生活污水通过现有的污水管网排入工业场地内的生活污水处理站处理后部分回用于生产，剩余部分通过废水总排口排放至永幸河。</w:t>
                  </w:r>
                </w:p>
                <w:p w14:paraId="5666E4E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color w:val="auto"/>
                      <w:sz w:val="21"/>
                      <w:szCs w:val="21"/>
                      <w:highlight w:val="none"/>
                      <w:lang w:val="en-US" w:eastAsia="zh-CN"/>
                    </w:rPr>
                    <w:t>运营期瓦斯凝结水进入循环水系统水池沉淀后循环利用；循环水系统定期排污水经现有污水管网排入工业场地内的矿井水处理站处理，通过顾北煤矿总排口外排至永幸河，处理后废水大部分回用于井下、消防及降尘，剩余部分通过废水总排口排放至永幸河，废水排放执行《煤炭工业污染物排放标准》</w:t>
                  </w:r>
                  <w:r>
                    <w:rPr>
                      <w:rFonts w:hint="default" w:ascii="Times New Roman" w:hAnsi="Times New Roman" w:eastAsia="宋体" w:cs="Times New Roman"/>
                      <w:color w:val="auto"/>
                      <w:sz w:val="21"/>
                      <w:szCs w:val="21"/>
                      <w:highlight w:val="none"/>
                      <w:lang w:val="en-US" w:eastAsia="zh-CN"/>
                    </w:rPr>
                    <w:t>(GB20426</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2006)</w:t>
                  </w:r>
                  <w:r>
                    <w:rPr>
                      <w:rFonts w:hint="eastAsia" w:ascii="Times New Roman" w:hAnsi="Times New Roman" w:eastAsia="宋体" w:cs="Times New Roman"/>
                      <w:color w:val="auto"/>
                      <w:sz w:val="21"/>
                      <w:szCs w:val="21"/>
                      <w:highlight w:val="none"/>
                      <w:lang w:val="en-US" w:eastAsia="zh-CN"/>
                    </w:rPr>
                    <w:t>新建</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改、扩</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生产线标准，氨氮、</w:t>
                  </w:r>
                  <w:r>
                    <w:rPr>
                      <w:rFonts w:hint="default" w:ascii="Times New Roman" w:hAnsi="Times New Roman" w:eastAsia="宋体" w:cs="Times New Roman"/>
                      <w:color w:val="auto"/>
                      <w:sz w:val="21"/>
                      <w:szCs w:val="21"/>
                      <w:highlight w:val="none"/>
                      <w:lang w:val="en-US" w:eastAsia="zh-CN"/>
                    </w:rPr>
                    <w:t>BOD5</w:t>
                  </w:r>
                  <w:r>
                    <w:rPr>
                      <w:rFonts w:hint="eastAsia" w:ascii="Times New Roman" w:hAnsi="Times New Roman" w:eastAsia="宋体" w:cs="Times New Roman"/>
                      <w:color w:val="auto"/>
                      <w:sz w:val="21"/>
                      <w:szCs w:val="21"/>
                      <w:highlight w:val="none"/>
                      <w:lang w:val="en-US" w:eastAsia="zh-CN"/>
                    </w:rPr>
                    <w:t>执行《污水综合排放标准》中的一级标准。</w:t>
                  </w:r>
                </w:p>
              </w:tc>
              <w:tc>
                <w:tcPr>
                  <w:tcW w:w="1723" w:type="pct"/>
                  <w:noWrap w:val="0"/>
                  <w:vAlign w:val="center"/>
                </w:tcPr>
                <w:p w14:paraId="53F8B04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雨污分流，</w:t>
                  </w:r>
                  <w:r>
                    <w:rPr>
                      <w:rFonts w:hint="eastAsia" w:cs="Times New Roman"/>
                      <w:color w:val="auto"/>
                      <w:sz w:val="21"/>
                      <w:szCs w:val="21"/>
                      <w:highlight w:val="none"/>
                    </w:rPr>
                    <w:t>扩建的泵房屋面排水采用无组织排水，场地地面设有雨水沟渠，雨水排至工广雨水管网</w:t>
                  </w:r>
                  <w:r>
                    <w:rPr>
                      <w:rFonts w:hint="eastAsia" w:cs="Times New Roman"/>
                      <w:color w:val="auto"/>
                      <w:sz w:val="21"/>
                      <w:szCs w:val="21"/>
                      <w:highlight w:val="none"/>
                      <w:lang w:eastAsia="zh-CN"/>
                    </w:rPr>
                    <w:t>。</w:t>
                  </w:r>
                </w:p>
                <w:p w14:paraId="701CD10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本扩建项目不新增职工，项目不新增生活污水。</w:t>
                  </w:r>
                </w:p>
                <w:p w14:paraId="41A461D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20" w:lineRule="exact"/>
                    <w:ind w:left="0" w:right="0"/>
                    <w:jc w:val="left"/>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color w:val="auto"/>
                      <w:sz w:val="21"/>
                      <w:szCs w:val="21"/>
                      <w:highlight w:val="none"/>
                      <w:lang w:val="en-US" w:eastAsia="zh-CN"/>
                    </w:rPr>
                    <w:t>运营期瓦斯凝结水进入循环水系统水池沉淀后循环利用；循环水系统定期排污水经现有污水管网排入工业场地内的矿井水处理站处理，通过顾北煤矿总排口外排至永幸河，处理后废水大部分回用于井下、消防及降尘，剩余部分通过废水总排口排放至永幸河，废水排放执行《煤炭工业污染物排放标准》</w:t>
                  </w:r>
                  <w:r>
                    <w:rPr>
                      <w:rFonts w:hint="default" w:ascii="Times New Roman" w:hAnsi="Times New Roman" w:eastAsia="宋体" w:cs="Times New Roman"/>
                      <w:color w:val="auto"/>
                      <w:sz w:val="21"/>
                      <w:szCs w:val="21"/>
                      <w:highlight w:val="none"/>
                      <w:lang w:val="en-US" w:eastAsia="zh-CN"/>
                    </w:rPr>
                    <w:t>(GB20426</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2006)</w:t>
                  </w:r>
                  <w:r>
                    <w:rPr>
                      <w:rFonts w:hint="eastAsia" w:ascii="Times New Roman" w:hAnsi="Times New Roman" w:eastAsia="宋体" w:cs="Times New Roman"/>
                      <w:color w:val="auto"/>
                      <w:sz w:val="21"/>
                      <w:szCs w:val="21"/>
                      <w:highlight w:val="none"/>
                      <w:lang w:val="en-US" w:eastAsia="zh-CN"/>
                    </w:rPr>
                    <w:t>新建</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改、扩</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生产线标准，氨氮、</w:t>
                  </w:r>
                  <w:r>
                    <w:rPr>
                      <w:rFonts w:hint="default" w:ascii="Times New Roman" w:hAnsi="Times New Roman" w:eastAsia="宋体" w:cs="Times New Roman"/>
                      <w:color w:val="auto"/>
                      <w:sz w:val="21"/>
                      <w:szCs w:val="21"/>
                      <w:highlight w:val="none"/>
                      <w:lang w:val="en-US" w:eastAsia="zh-CN"/>
                    </w:rPr>
                    <w:t>BOD5</w:t>
                  </w:r>
                  <w:r>
                    <w:rPr>
                      <w:rFonts w:hint="eastAsia" w:ascii="Times New Roman" w:hAnsi="Times New Roman" w:eastAsia="宋体" w:cs="Times New Roman"/>
                      <w:color w:val="auto"/>
                      <w:sz w:val="21"/>
                      <w:szCs w:val="21"/>
                      <w:highlight w:val="none"/>
                      <w:lang w:val="en-US" w:eastAsia="zh-CN"/>
                    </w:rPr>
                    <w:t>执行《污水综合排放标准》中的一级标准。</w:t>
                  </w:r>
                </w:p>
              </w:tc>
              <w:tc>
                <w:tcPr>
                  <w:tcW w:w="555" w:type="pct"/>
                  <w:noWrap w:val="0"/>
                  <w:vAlign w:val="center"/>
                </w:tcPr>
                <w:p w14:paraId="370E770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Cs/>
                      <w:color w:val="auto"/>
                      <w:kern w:val="2"/>
                      <w:sz w:val="21"/>
                      <w:szCs w:val="21"/>
                      <w:lang w:val="en-US" w:eastAsia="zh-CN" w:bidi="ar-SA"/>
                    </w:rPr>
                  </w:pPr>
                  <w:r>
                    <w:rPr>
                      <w:rFonts w:hint="eastAsia" w:cs="Times New Roman"/>
                      <w:color w:val="auto"/>
                      <w:sz w:val="21"/>
                      <w:szCs w:val="21"/>
                      <w:lang w:eastAsia="zh-CN"/>
                    </w:rPr>
                    <w:t>依托现有</w:t>
                  </w:r>
                </w:p>
              </w:tc>
            </w:tr>
            <w:tr w14:paraId="30D5D36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1755" w:hRule="atLeast"/>
                <w:tblHeader/>
              </w:trPr>
              <w:tc>
                <w:tcPr>
                  <w:tcW w:w="308" w:type="pct"/>
                  <w:vMerge w:val="continue"/>
                  <w:noWrap w:val="0"/>
                  <w:vAlign w:val="center"/>
                </w:tcPr>
                <w:p w14:paraId="46AB1653">
                  <w:pPr>
                    <w:keepNext w:val="0"/>
                    <w:keepLines w:val="0"/>
                    <w:widowControl/>
                    <w:suppressLineNumbers w:val="0"/>
                    <w:spacing w:before="0" w:beforeAutospacing="0" w:after="0" w:afterAutospacing="0"/>
                    <w:ind w:left="0" w:right="0"/>
                    <w:jc w:val="left"/>
                    <w:rPr>
                      <w:rFonts w:hint="default" w:cs="Times New Roman"/>
                      <w:color w:val="auto"/>
                      <w:sz w:val="21"/>
                      <w:szCs w:val="21"/>
                    </w:rPr>
                  </w:pPr>
                </w:p>
              </w:tc>
              <w:tc>
                <w:tcPr>
                  <w:tcW w:w="520" w:type="pct"/>
                  <w:noWrap w:val="0"/>
                  <w:vAlign w:val="center"/>
                </w:tcPr>
                <w:p w14:paraId="0152516A">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lang w:val="en-US"/>
                    </w:rPr>
                  </w:pPr>
                  <w:r>
                    <w:rPr>
                      <w:rFonts w:hint="eastAsia" w:cs="Times New Roman"/>
                      <w:bCs/>
                      <w:color w:val="auto"/>
                      <w:sz w:val="21"/>
                      <w:szCs w:val="21"/>
                      <w:lang w:val="en-US" w:eastAsia="zh-CN"/>
                    </w:rPr>
                    <w:t>固体废物</w:t>
                  </w:r>
                </w:p>
              </w:tc>
              <w:tc>
                <w:tcPr>
                  <w:tcW w:w="1892" w:type="pct"/>
                  <w:noWrap w:val="0"/>
                  <w:vAlign w:val="center"/>
                </w:tcPr>
                <w:p w14:paraId="4FC5004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Cs/>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 xml:space="preserve">运营期固废主要为设备维修保养产生的废润滑油、废油桶、含油抹布及职工生活垃圾。生活垃圾经垃圾桶收集，交由环卫部门统一清运处理；设备维修产生的废润滑油、废油桶、含油抹布等收集后在工业场地现有危废间暂存，定期委托有资质单位处置。 </w:t>
                  </w:r>
                </w:p>
              </w:tc>
              <w:tc>
                <w:tcPr>
                  <w:tcW w:w="1723" w:type="pct"/>
                  <w:noWrap w:val="0"/>
                  <w:vAlign w:val="center"/>
                </w:tcPr>
                <w:p w14:paraId="1EA52CB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Cs/>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 xml:space="preserve">设备维修产生的废润滑油、废油桶、含油抹布等收集后在工业场地现有危废间暂存，定期委托有资质单位处置。 </w:t>
                  </w:r>
                </w:p>
              </w:tc>
              <w:tc>
                <w:tcPr>
                  <w:tcW w:w="555" w:type="pct"/>
                  <w:noWrap w:val="0"/>
                  <w:vAlign w:val="center"/>
                </w:tcPr>
                <w:p w14:paraId="3108D39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lang w:val="en-US" w:eastAsia="zh-CN" w:bidi="ar-SA"/>
                    </w:rPr>
                  </w:pPr>
                  <w:r>
                    <w:rPr>
                      <w:rFonts w:hint="eastAsia" w:cs="Times New Roman"/>
                      <w:color w:val="auto"/>
                      <w:sz w:val="21"/>
                      <w:szCs w:val="21"/>
                      <w:lang w:eastAsia="zh-CN"/>
                    </w:rPr>
                    <w:t>依托现有</w:t>
                  </w:r>
                </w:p>
              </w:tc>
            </w:tr>
            <w:tr w14:paraId="3D6A36D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585" w:hRule="atLeast"/>
                <w:tblHeader/>
              </w:trPr>
              <w:tc>
                <w:tcPr>
                  <w:tcW w:w="308" w:type="pct"/>
                  <w:vMerge w:val="continue"/>
                  <w:noWrap w:val="0"/>
                  <w:vAlign w:val="center"/>
                </w:tcPr>
                <w:p w14:paraId="5FE67376">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rPr>
                  </w:pPr>
                </w:p>
              </w:tc>
              <w:tc>
                <w:tcPr>
                  <w:tcW w:w="520" w:type="pct"/>
                  <w:noWrap w:val="0"/>
                  <w:vAlign w:val="center"/>
                </w:tcPr>
                <w:p w14:paraId="1D0D159B">
                  <w:pPr>
                    <w:keepNext w:val="0"/>
                    <w:keepLines w:val="0"/>
                    <w:suppressLineNumbers w:val="0"/>
                    <w:adjustRightInd w:val="0"/>
                    <w:snapToGrid w:val="0"/>
                    <w:spacing w:before="0" w:beforeAutospacing="0" w:after="0" w:afterAutospacing="0"/>
                    <w:ind w:left="0" w:right="0"/>
                    <w:jc w:val="center"/>
                    <w:rPr>
                      <w:rFonts w:hint="default" w:cs="Times New Roman"/>
                      <w:bCs/>
                      <w:color w:val="auto"/>
                      <w:kern w:val="2"/>
                      <w:sz w:val="21"/>
                      <w:szCs w:val="21"/>
                      <w:lang w:val="en-US" w:eastAsia="zh-CN" w:bidi="ar-SA"/>
                    </w:rPr>
                  </w:pPr>
                  <w:r>
                    <w:rPr>
                      <w:rFonts w:hint="default" w:cs="Times New Roman"/>
                      <w:bCs/>
                      <w:color w:val="auto"/>
                      <w:sz w:val="21"/>
                      <w:szCs w:val="21"/>
                    </w:rPr>
                    <w:t>噪声</w:t>
                  </w:r>
                </w:p>
              </w:tc>
              <w:tc>
                <w:tcPr>
                  <w:tcW w:w="1892" w:type="pct"/>
                  <w:noWrap w:val="0"/>
                  <w:vAlign w:val="center"/>
                </w:tcPr>
                <w:p w14:paraId="0648D883">
                  <w:pPr>
                    <w:keepNext w:val="0"/>
                    <w:keepLines w:val="0"/>
                    <w:suppressLineNumbers w:val="0"/>
                    <w:adjustRightInd w:val="0"/>
                    <w:snapToGrid w:val="0"/>
                    <w:spacing w:before="0" w:beforeAutospacing="0" w:after="0" w:afterAutospacing="0"/>
                    <w:ind w:left="0" w:right="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合理布局、选用低噪声设备和机械、厂房隔声、减震</w:t>
                  </w:r>
                </w:p>
              </w:tc>
              <w:tc>
                <w:tcPr>
                  <w:tcW w:w="1723" w:type="pct"/>
                  <w:noWrap w:val="0"/>
                  <w:vAlign w:val="center"/>
                </w:tcPr>
                <w:p w14:paraId="4A0DA202">
                  <w:pPr>
                    <w:keepNext w:val="0"/>
                    <w:keepLines w:val="0"/>
                    <w:suppressLineNumbers w:val="0"/>
                    <w:adjustRightInd w:val="0"/>
                    <w:snapToGrid w:val="0"/>
                    <w:spacing w:before="0" w:beforeAutospacing="0" w:after="0" w:afterAutospacing="0"/>
                    <w:ind w:left="0" w:right="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合理布局、选用低噪声设备、厂房隔声、减震</w:t>
                  </w:r>
                </w:p>
              </w:tc>
              <w:tc>
                <w:tcPr>
                  <w:tcW w:w="555" w:type="pct"/>
                  <w:noWrap w:val="0"/>
                  <w:vAlign w:val="center"/>
                </w:tcPr>
                <w:p w14:paraId="174C9D82">
                  <w:pPr>
                    <w:keepNext w:val="0"/>
                    <w:keepLines w:val="0"/>
                    <w:suppressLineNumbers w:val="0"/>
                    <w:adjustRightInd w:val="0"/>
                    <w:snapToGrid w:val="0"/>
                    <w:spacing w:before="0" w:beforeAutospacing="0" w:after="0" w:afterAutospacing="0"/>
                    <w:ind w:left="0" w:right="0"/>
                    <w:jc w:val="center"/>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改建、扩建</w:t>
                  </w:r>
                </w:p>
              </w:tc>
            </w:tr>
            <w:tr w14:paraId="07F2FD5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585" w:hRule="atLeast"/>
                <w:tblHeader/>
              </w:trPr>
              <w:tc>
                <w:tcPr>
                  <w:tcW w:w="308" w:type="pct"/>
                  <w:noWrap w:val="0"/>
                  <w:vAlign w:val="center"/>
                </w:tcPr>
                <w:p w14:paraId="37E78985">
                  <w:pPr>
                    <w:keepNext w:val="0"/>
                    <w:keepLines w:val="0"/>
                    <w:suppressLineNumbers w:val="0"/>
                    <w:adjustRightInd w:val="0"/>
                    <w:snapToGrid w:val="0"/>
                    <w:spacing w:before="0" w:beforeAutospacing="0" w:after="0" w:afterAutospacing="0"/>
                    <w:ind w:left="0" w:right="0"/>
                    <w:jc w:val="center"/>
                    <w:rPr>
                      <w:rFonts w:hint="eastAsia" w:eastAsia="宋体" w:cs="Times New Roman"/>
                      <w:bCs/>
                      <w:color w:val="auto"/>
                      <w:sz w:val="21"/>
                      <w:szCs w:val="21"/>
                      <w:highlight w:val="none"/>
                      <w:lang w:eastAsia="zh-CN"/>
                    </w:rPr>
                  </w:pPr>
                  <w:r>
                    <w:rPr>
                      <w:rFonts w:hint="eastAsia" w:cs="Times New Roman"/>
                      <w:bCs/>
                      <w:color w:val="auto"/>
                      <w:sz w:val="21"/>
                      <w:szCs w:val="21"/>
                      <w:highlight w:val="none"/>
                      <w:lang w:eastAsia="zh-CN"/>
                    </w:rPr>
                    <w:t>依托工程</w:t>
                  </w:r>
                </w:p>
              </w:tc>
              <w:tc>
                <w:tcPr>
                  <w:tcW w:w="520" w:type="pct"/>
                  <w:noWrap w:val="0"/>
                  <w:vAlign w:val="center"/>
                </w:tcPr>
                <w:p w14:paraId="0F473D51">
                  <w:pPr>
                    <w:keepNext w:val="0"/>
                    <w:keepLines w:val="0"/>
                    <w:suppressLineNumbers w:val="0"/>
                    <w:adjustRightInd w:val="0"/>
                    <w:snapToGrid w:val="0"/>
                    <w:spacing w:before="0" w:beforeAutospacing="0" w:after="0" w:afterAutospacing="0"/>
                    <w:ind w:left="0" w:right="0"/>
                    <w:jc w:val="center"/>
                    <w:rPr>
                      <w:rFonts w:hint="eastAsia"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矿井水处理站</w:t>
                  </w:r>
                </w:p>
              </w:tc>
              <w:tc>
                <w:tcPr>
                  <w:tcW w:w="3616" w:type="pct"/>
                  <w:gridSpan w:val="2"/>
                  <w:noWrap w:val="0"/>
                  <w:vAlign w:val="center"/>
                </w:tcPr>
                <w:p w14:paraId="0FA002B4">
                  <w:pPr>
                    <w:keepNext w:val="0"/>
                    <w:keepLines w:val="0"/>
                    <w:widowControl/>
                    <w:suppressLineNumbers w:val="0"/>
                    <w:spacing w:before="0" w:beforeAutospacing="0" w:after="0" w:afterAutospacing="0"/>
                    <w:ind w:left="0" w:right="0"/>
                    <w:jc w:val="left"/>
                    <w:rPr>
                      <w:rFonts w:hint="default" w:cs="Times New Roman"/>
                      <w:sz w:val="21"/>
                      <w:szCs w:val="21"/>
                      <w:highlight w:val="none"/>
                    </w:rPr>
                  </w:pPr>
                  <w:r>
                    <w:rPr>
                      <w:rFonts w:hint="eastAsia" w:ascii="宋体" w:hAnsi="宋体" w:cs="宋体"/>
                      <w:color w:val="000000"/>
                      <w:kern w:val="0"/>
                      <w:sz w:val="21"/>
                      <w:szCs w:val="21"/>
                      <w:highlight w:val="none"/>
                      <w:lang w:val="en-US" w:eastAsia="zh-CN" w:bidi="ar"/>
                    </w:rPr>
                    <w:t>工业场地内</w:t>
                  </w:r>
                  <w:r>
                    <w:rPr>
                      <w:rFonts w:hint="eastAsia" w:ascii="宋体" w:hAnsi="宋体" w:eastAsia="宋体" w:cs="宋体"/>
                      <w:color w:val="000000"/>
                      <w:kern w:val="0"/>
                      <w:sz w:val="21"/>
                      <w:szCs w:val="21"/>
                      <w:highlight w:val="none"/>
                      <w:lang w:val="en-US" w:eastAsia="zh-CN" w:bidi="ar"/>
                    </w:rPr>
                    <w:t xml:space="preserve">现有 </w:t>
                  </w:r>
                  <w:r>
                    <w:rPr>
                      <w:rFonts w:hint="default" w:ascii="Times New Roman" w:hAnsi="Times New Roman" w:eastAsia="宋体" w:cs="Times New Roman"/>
                      <w:color w:val="000000"/>
                      <w:kern w:val="0"/>
                      <w:sz w:val="21"/>
                      <w:szCs w:val="21"/>
                      <w:highlight w:val="none"/>
                      <w:lang w:val="en-US" w:eastAsia="zh-CN" w:bidi="ar"/>
                    </w:rPr>
                    <w:t xml:space="preserve">1 </w:t>
                  </w:r>
                  <w:r>
                    <w:rPr>
                      <w:rFonts w:hint="eastAsia" w:ascii="宋体" w:hAnsi="宋体" w:eastAsia="宋体" w:cs="宋体"/>
                      <w:color w:val="000000"/>
                      <w:kern w:val="0"/>
                      <w:sz w:val="21"/>
                      <w:szCs w:val="21"/>
                      <w:highlight w:val="none"/>
                      <w:lang w:val="en-US" w:eastAsia="zh-CN" w:bidi="ar"/>
                    </w:rPr>
                    <w:t xml:space="preserve">座处理能力为 </w:t>
                  </w:r>
                  <w:r>
                    <w:rPr>
                      <w:rFonts w:hint="default" w:ascii="Times New Roman" w:hAnsi="Times New Roman" w:eastAsia="宋体" w:cs="Times New Roman"/>
                      <w:color w:val="000000"/>
                      <w:kern w:val="0"/>
                      <w:sz w:val="21"/>
                      <w:szCs w:val="21"/>
                      <w:highlight w:val="none"/>
                      <w:lang w:val="en-US" w:eastAsia="zh-CN" w:bidi="ar"/>
                    </w:rPr>
                    <w:t>12600m</w:t>
                  </w:r>
                  <w:r>
                    <w:rPr>
                      <w:rFonts w:hint="default" w:ascii="Times New Roman" w:hAnsi="Times New Roman" w:eastAsia="宋体" w:cs="Times New Roman"/>
                      <w:color w:val="000000"/>
                      <w:kern w:val="0"/>
                      <w:sz w:val="21"/>
                      <w:szCs w:val="21"/>
                      <w:highlight w:val="none"/>
                      <w:vertAlign w:val="superscript"/>
                      <w:lang w:val="en-US" w:eastAsia="zh-CN" w:bidi="ar"/>
                    </w:rPr>
                    <w:t>3</w:t>
                  </w:r>
                  <w:r>
                    <w:rPr>
                      <w:rFonts w:hint="default" w:ascii="Times New Roman" w:hAnsi="Times New Roman" w:eastAsia="宋体" w:cs="Times New Roman"/>
                      <w:color w:val="000000"/>
                      <w:kern w:val="0"/>
                      <w:sz w:val="21"/>
                      <w:szCs w:val="21"/>
                      <w:highlight w:val="none"/>
                      <w:lang w:val="en-US" w:eastAsia="zh-CN" w:bidi="ar"/>
                    </w:rPr>
                    <w:t xml:space="preserve"> /d </w:t>
                  </w:r>
                  <w:r>
                    <w:rPr>
                      <w:rFonts w:hint="eastAsia" w:ascii="宋体" w:hAnsi="宋体" w:eastAsia="宋体" w:cs="宋体"/>
                      <w:color w:val="000000"/>
                      <w:kern w:val="0"/>
                      <w:sz w:val="21"/>
                      <w:szCs w:val="21"/>
                      <w:highlight w:val="none"/>
                      <w:lang w:val="en-US" w:eastAsia="zh-CN" w:bidi="ar"/>
                    </w:rPr>
                    <w:t xml:space="preserve">矿井水处 </w:t>
                  </w:r>
                </w:p>
                <w:p w14:paraId="2AD5BA3E">
                  <w:pPr>
                    <w:keepNext w:val="0"/>
                    <w:keepLines w:val="0"/>
                    <w:suppressLineNumbers w:val="0"/>
                    <w:adjustRightInd w:val="0"/>
                    <w:snapToGrid w:val="0"/>
                    <w:spacing w:before="0" w:beforeAutospacing="0" w:after="0" w:afterAutospacing="0"/>
                    <w:ind w:left="0" w:right="0"/>
                    <w:jc w:val="center"/>
                    <w:rPr>
                      <w:rFonts w:hint="eastAsia" w:cs="Times New Roman"/>
                      <w:bCs/>
                      <w:color w:val="auto"/>
                      <w:kern w:val="2"/>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
                    </w:rPr>
                    <w:t>理站，采用混凝澄清过滤消毒处理工艺</w:t>
                  </w:r>
                  <w:r>
                    <w:rPr>
                      <w:rFonts w:hint="eastAsia" w:cs="Times New Roman"/>
                      <w:bCs/>
                      <w:color w:val="auto"/>
                      <w:kern w:val="2"/>
                      <w:sz w:val="21"/>
                      <w:szCs w:val="21"/>
                      <w:highlight w:val="none"/>
                      <w:lang w:val="en-US" w:eastAsia="zh-CN" w:bidi="ar-SA"/>
                    </w:rPr>
                    <w:t>，处理后的废水大部分回用于矿井生产，剩余少量排放至永幸河，废水排放执行《煤炭工业污染物排放标准》(GB20426－2006)新建(改、扩)生产线标准限值要求。废水排放口设有流量计和1套水质在线监测仪，监测指标有流量、pH、COD 和 NH3-N。</w:t>
                  </w:r>
                </w:p>
                <w:p w14:paraId="6AA71154">
                  <w:pPr>
                    <w:keepNext w:val="0"/>
                    <w:keepLines w:val="0"/>
                    <w:suppressLineNumbers w:val="0"/>
                    <w:adjustRightInd w:val="0"/>
                    <w:snapToGrid w:val="0"/>
                    <w:spacing w:before="0" w:beforeAutospacing="0" w:after="0" w:afterAutospacing="0"/>
                    <w:ind w:left="0" w:right="0"/>
                    <w:jc w:val="center"/>
                    <w:rPr>
                      <w:rFonts w:hint="eastAsia" w:cs="Times New Roman"/>
                      <w:sz w:val="21"/>
                      <w:szCs w:val="21"/>
                      <w:highlight w:val="none"/>
                      <w:lang w:val="en-US" w:eastAsia="zh-CN"/>
                    </w:rPr>
                  </w:pPr>
                  <w:r>
                    <w:rPr>
                      <w:rFonts w:hint="eastAsia" w:cs="Times New Roman"/>
                      <w:bCs/>
                      <w:color w:val="auto"/>
                      <w:kern w:val="2"/>
                      <w:sz w:val="21"/>
                      <w:szCs w:val="21"/>
                      <w:highlight w:val="none"/>
                      <w:lang w:val="en-US" w:eastAsia="zh-CN" w:bidi="ar-SA"/>
                    </w:rPr>
                    <w:t>目前矿井水处理量为约</w:t>
                  </w:r>
                  <w:r>
                    <w:rPr>
                      <w:rFonts w:hint="eastAsia" w:ascii="Times New Roman" w:hAnsi="Times New Roman" w:eastAsia="宋体" w:cs="Times New Roman"/>
                      <w:color w:val="auto"/>
                      <w:kern w:val="0"/>
                      <w:sz w:val="21"/>
                      <w:szCs w:val="21"/>
                      <w:highlight w:val="none"/>
                      <w:lang w:val="en-US" w:eastAsia="zh-CN" w:bidi="ar"/>
                    </w:rPr>
                    <w:t>6168</w:t>
                  </w:r>
                  <w:r>
                    <w:rPr>
                      <w:rFonts w:hint="eastAsia" w:cs="Times New Roman"/>
                      <w:bCs/>
                      <w:color w:val="auto"/>
                      <w:kern w:val="2"/>
                      <w:sz w:val="21"/>
                      <w:szCs w:val="21"/>
                      <w:highlight w:val="none"/>
                      <w:lang w:val="en-US" w:eastAsia="zh-CN" w:bidi="ar-SA"/>
                    </w:rPr>
                    <w:t>m</w:t>
                  </w:r>
                  <w:r>
                    <w:rPr>
                      <w:rFonts w:hint="eastAsia" w:cs="Times New Roman"/>
                      <w:bCs/>
                      <w:color w:val="auto"/>
                      <w:kern w:val="2"/>
                      <w:sz w:val="21"/>
                      <w:szCs w:val="21"/>
                      <w:highlight w:val="none"/>
                      <w:vertAlign w:val="superscript"/>
                      <w:lang w:val="en-US" w:eastAsia="zh-CN" w:bidi="ar-SA"/>
                    </w:rPr>
                    <w:t>3</w:t>
                  </w:r>
                  <w:r>
                    <w:rPr>
                      <w:rFonts w:hint="eastAsia" w:cs="Times New Roman"/>
                      <w:bCs/>
                      <w:color w:val="auto"/>
                      <w:kern w:val="2"/>
                      <w:sz w:val="21"/>
                      <w:szCs w:val="21"/>
                      <w:highlight w:val="none"/>
                      <w:lang w:val="en-US" w:eastAsia="zh-CN" w:bidi="ar-SA"/>
                    </w:rPr>
                    <w:t xml:space="preserve"> /d，处理能力还有较大富余，矿井水处理站完全有能力接纳本项目污水，项目污水依托处理是可行的。</w:t>
                  </w:r>
                </w:p>
              </w:tc>
              <w:tc>
                <w:tcPr>
                  <w:tcW w:w="555" w:type="pct"/>
                  <w:noWrap w:val="0"/>
                  <w:vAlign w:val="center"/>
                </w:tcPr>
                <w:p w14:paraId="2BB56CA5">
                  <w:pPr>
                    <w:keepNext w:val="0"/>
                    <w:keepLines w:val="0"/>
                    <w:suppressLineNumbers w:val="0"/>
                    <w:adjustRightInd w:val="0"/>
                    <w:snapToGrid w:val="0"/>
                    <w:spacing w:before="0" w:beforeAutospacing="0" w:after="0" w:afterAutospacing="0"/>
                    <w:ind w:left="0" w:right="0"/>
                    <w:jc w:val="center"/>
                    <w:rPr>
                      <w:rFonts w:hint="eastAsia" w:cs="Times New Roman"/>
                      <w:bCs/>
                      <w:color w:val="auto"/>
                      <w:kern w:val="2"/>
                      <w:sz w:val="21"/>
                      <w:szCs w:val="21"/>
                      <w:highlight w:val="none"/>
                      <w:lang w:val="en-US" w:eastAsia="zh-CN" w:bidi="ar-SA"/>
                    </w:rPr>
                  </w:pPr>
                </w:p>
              </w:tc>
            </w:tr>
            <w:tr w14:paraId="19D39B7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585" w:hRule="atLeast"/>
                <w:tblHeader/>
              </w:trPr>
              <w:tc>
                <w:tcPr>
                  <w:tcW w:w="308" w:type="pct"/>
                  <w:noWrap w:val="0"/>
                  <w:vAlign w:val="center"/>
                </w:tcPr>
                <w:p w14:paraId="4F1EA9EF">
                  <w:pPr>
                    <w:keepNext w:val="0"/>
                    <w:keepLines w:val="0"/>
                    <w:suppressLineNumbers w:val="0"/>
                    <w:adjustRightInd w:val="0"/>
                    <w:snapToGrid w:val="0"/>
                    <w:spacing w:before="0" w:beforeAutospacing="0" w:after="0" w:afterAutospacing="0"/>
                    <w:ind w:left="0" w:right="0"/>
                    <w:jc w:val="center"/>
                    <w:rPr>
                      <w:rFonts w:hint="eastAsia" w:cs="Times New Roman"/>
                      <w:bCs/>
                      <w:color w:val="auto"/>
                      <w:sz w:val="21"/>
                      <w:szCs w:val="21"/>
                      <w:highlight w:val="none"/>
                      <w:lang w:eastAsia="zh-CN"/>
                    </w:rPr>
                  </w:pPr>
                </w:p>
              </w:tc>
              <w:tc>
                <w:tcPr>
                  <w:tcW w:w="520" w:type="pct"/>
                  <w:noWrap w:val="0"/>
                  <w:vAlign w:val="center"/>
                </w:tcPr>
                <w:p w14:paraId="5B6AB6FC">
                  <w:pPr>
                    <w:keepNext w:val="0"/>
                    <w:keepLines w:val="0"/>
                    <w:suppressLineNumbers w:val="0"/>
                    <w:adjustRightInd w:val="0"/>
                    <w:snapToGrid w:val="0"/>
                    <w:spacing w:before="0" w:beforeAutospacing="0" w:after="0" w:afterAutospacing="0"/>
                    <w:ind w:left="0" w:right="0"/>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危废暂存间</w:t>
                  </w:r>
                </w:p>
              </w:tc>
              <w:tc>
                <w:tcPr>
                  <w:tcW w:w="3616" w:type="pct"/>
                  <w:gridSpan w:val="2"/>
                  <w:noWrap w:val="0"/>
                  <w:vAlign w:val="center"/>
                </w:tcPr>
                <w:p w14:paraId="5025BC89">
                  <w:pPr>
                    <w:keepNext w:val="0"/>
                    <w:keepLines w:val="0"/>
                    <w:widowControl/>
                    <w:suppressLineNumbers w:val="0"/>
                    <w:spacing w:before="0" w:beforeAutospacing="0" w:after="0" w:afterAutospacing="0"/>
                    <w:ind w:left="0" w:right="0"/>
                    <w:jc w:val="left"/>
                    <w:rPr>
                      <w:rFonts w:hint="eastAsia" w:cs="Times New Roman"/>
                      <w:bCs/>
                      <w:color w:val="auto"/>
                      <w:kern w:val="2"/>
                      <w:sz w:val="21"/>
                      <w:szCs w:val="21"/>
                      <w:highlight w:val="none"/>
                      <w:lang w:val="en-US" w:eastAsia="zh-CN" w:bidi="ar-SA"/>
                    </w:rPr>
                  </w:pPr>
                  <w:r>
                    <w:rPr>
                      <w:rFonts w:hint="eastAsia" w:ascii="宋体" w:hAnsi="宋体" w:eastAsia="宋体" w:cs="宋体"/>
                      <w:color w:val="000000"/>
                      <w:kern w:val="0"/>
                      <w:sz w:val="20"/>
                      <w:szCs w:val="20"/>
                      <w:lang w:val="en-US" w:eastAsia="zh-CN" w:bidi="ar"/>
                    </w:rPr>
                    <w:t>顾北煤矿工业场地内现有危险废物暂</w:t>
                  </w:r>
                  <w:r>
                    <w:rPr>
                      <w:rFonts w:hint="default" w:ascii="Times New Roman" w:hAnsi="Times New Roman" w:eastAsia="宋体" w:cs="Times New Roman"/>
                      <w:color w:val="000000"/>
                      <w:kern w:val="0"/>
                      <w:sz w:val="20"/>
                      <w:szCs w:val="20"/>
                      <w:lang w:val="en-US" w:eastAsia="zh-CN" w:bidi="ar"/>
                    </w:rPr>
                    <w:t>存间4间，其中一间专门用于储存废油类物质，面积约100m</w:t>
                  </w:r>
                  <w:r>
                    <w:rPr>
                      <w:rFonts w:hint="default" w:ascii="Times New Roman" w:hAnsi="Times New Roman" w:eastAsia="宋体" w:cs="Times New Roman"/>
                      <w:color w:val="000000"/>
                      <w:kern w:val="0"/>
                      <w:sz w:val="20"/>
                      <w:szCs w:val="20"/>
                      <w:vertAlign w:val="superscript"/>
                      <w:lang w:val="en-US" w:eastAsia="zh-CN" w:bidi="ar"/>
                    </w:rPr>
                    <w:t>2</w:t>
                  </w:r>
                  <w:r>
                    <w:rPr>
                      <w:rFonts w:hint="default" w:ascii="Times New Roman" w:hAnsi="Times New Roman" w:eastAsia="宋体" w:cs="Times New Roman"/>
                      <w:color w:val="000000"/>
                      <w:kern w:val="0"/>
                      <w:sz w:val="20"/>
                      <w:szCs w:val="20"/>
                      <w:lang w:val="en-US" w:eastAsia="zh-CN" w:bidi="ar"/>
                    </w:rPr>
                    <w:t>，危险废物暂存间内采取硬化防渗措施并设置了导流沟及收集</w:t>
                  </w:r>
                  <w:r>
                    <w:rPr>
                      <w:rFonts w:hint="eastAsia" w:ascii="宋体" w:hAnsi="宋体" w:eastAsia="宋体" w:cs="宋体"/>
                      <w:color w:val="000000"/>
                      <w:kern w:val="0"/>
                      <w:sz w:val="20"/>
                      <w:szCs w:val="20"/>
                      <w:lang w:val="en-US" w:eastAsia="zh-CN" w:bidi="ar"/>
                    </w:rPr>
                    <w:t>池，张贴危险废物标识标牌，分区储存危险废物。本项目危废产生量较少，现有危险废物暂存间可以满足项目危废暂存。</w:t>
                  </w:r>
                </w:p>
              </w:tc>
              <w:tc>
                <w:tcPr>
                  <w:tcW w:w="555" w:type="pct"/>
                  <w:noWrap w:val="0"/>
                  <w:vAlign w:val="center"/>
                </w:tcPr>
                <w:p w14:paraId="70CDBE02">
                  <w:pPr>
                    <w:keepNext w:val="0"/>
                    <w:keepLines w:val="0"/>
                    <w:suppressLineNumbers w:val="0"/>
                    <w:adjustRightInd w:val="0"/>
                    <w:snapToGrid w:val="0"/>
                    <w:spacing w:before="0" w:beforeAutospacing="0" w:after="0" w:afterAutospacing="0"/>
                    <w:ind w:left="0" w:right="0"/>
                    <w:jc w:val="center"/>
                    <w:rPr>
                      <w:rFonts w:hint="eastAsia" w:cs="Times New Roman"/>
                      <w:bCs/>
                      <w:color w:val="auto"/>
                      <w:kern w:val="2"/>
                      <w:sz w:val="21"/>
                      <w:szCs w:val="21"/>
                      <w:lang w:val="en-US" w:eastAsia="zh-CN" w:bidi="ar-SA"/>
                    </w:rPr>
                  </w:pPr>
                </w:p>
              </w:tc>
            </w:tr>
          </w:tbl>
          <w:p w14:paraId="4810BDB9">
            <w:pPr>
              <w:pStyle w:val="102"/>
              <w:keepNext w:val="0"/>
              <w:keepLines w:val="0"/>
              <w:suppressLineNumbers w:val="0"/>
              <w:spacing w:before="0" w:beforeAutospacing="0" w:after="0" w:afterAutospacing="0"/>
              <w:ind w:left="0" w:right="0" w:firstLine="482"/>
              <w:rPr>
                <w:rFonts w:hint="default" w:cs="Times New Roman"/>
                <w:color w:val="auto"/>
                <w:kern w:val="2"/>
                <w:szCs w:val="24"/>
                <w:lang w:val="en-US" w:eastAsia="zh-CN"/>
              </w:rPr>
            </w:pPr>
            <w:r>
              <w:rPr>
                <w:rFonts w:hint="eastAsia" w:cs="Times New Roman"/>
                <w:color w:val="auto"/>
                <w:kern w:val="2"/>
                <w:szCs w:val="24"/>
                <w:lang w:val="en-US" w:eastAsia="zh-CN"/>
              </w:rPr>
              <w:t>3</w:t>
            </w:r>
            <w:r>
              <w:rPr>
                <w:rFonts w:hint="default" w:cs="Times New Roman"/>
                <w:color w:val="auto"/>
                <w:kern w:val="2"/>
                <w:szCs w:val="24"/>
                <w:lang w:val="en-US" w:eastAsia="zh-CN"/>
              </w:rPr>
              <w:t>、主要生产设备</w:t>
            </w:r>
          </w:p>
          <w:p w14:paraId="5AC3776C">
            <w:pPr>
              <w:pStyle w:val="89"/>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主要</w:t>
            </w:r>
            <w:r>
              <w:rPr>
                <w:rFonts w:hint="default" w:cs="Times New Roman"/>
                <w:color w:val="auto"/>
              </w:rPr>
              <w:t>生产</w:t>
            </w:r>
            <w:r>
              <w:rPr>
                <w:rFonts w:hint="eastAsia" w:cs="Times New Roman"/>
                <w:color w:val="auto"/>
                <w:lang w:eastAsia="zh-CN"/>
              </w:rPr>
              <w:t>设施</w:t>
            </w:r>
            <w:r>
              <w:rPr>
                <w:rFonts w:hint="default" w:cs="Times New Roman"/>
                <w:color w:val="auto"/>
              </w:rPr>
              <w:t>设备</w:t>
            </w:r>
            <w:r>
              <w:rPr>
                <w:rFonts w:hint="eastAsia" w:cs="Times New Roman"/>
                <w:color w:val="auto"/>
              </w:rPr>
              <w:t>见表</w:t>
            </w:r>
            <w:r>
              <w:rPr>
                <w:rFonts w:hint="eastAsia" w:cs="Times New Roman"/>
                <w:color w:val="auto"/>
                <w:lang w:val="en-US" w:eastAsia="zh-CN"/>
              </w:rPr>
              <w:t>6</w:t>
            </w:r>
            <w:r>
              <w:rPr>
                <w:rFonts w:hint="default" w:cs="Times New Roman"/>
                <w:color w:val="auto"/>
              </w:rPr>
              <w:t>。</w:t>
            </w:r>
          </w:p>
          <w:p w14:paraId="5D3CB57B">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lang w:val="en-US" w:eastAsia="zh-CN"/>
              </w:rPr>
              <w:t xml:space="preserve">   </w:t>
            </w:r>
            <w:r>
              <w:rPr>
                <w:rFonts w:hint="eastAsia" w:ascii="Times New Roman" w:hAnsi="Times New Roman" w:eastAsia="宋体" w:cs="Times New Roman"/>
                <w:b/>
                <w:bCs/>
                <w:color w:val="auto"/>
                <w:sz w:val="24"/>
                <w:szCs w:val="24"/>
              </w:rPr>
              <w:t>主要生产设施设备一览表</w:t>
            </w:r>
          </w:p>
          <w:tbl>
            <w:tblPr>
              <w:tblStyle w:val="28"/>
              <w:tblW w:w="52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877"/>
              <w:gridCol w:w="1516"/>
              <w:gridCol w:w="877"/>
              <w:gridCol w:w="1924"/>
              <w:gridCol w:w="1181"/>
              <w:gridCol w:w="1092"/>
            </w:tblGrid>
            <w:tr w14:paraId="09EA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3" w:type="pct"/>
                  <w:vMerge w:val="restart"/>
                  <w:noWrap w:val="0"/>
                  <w:vAlign w:val="center"/>
                </w:tcPr>
                <w:p w14:paraId="3880929E">
                  <w:pPr>
                    <w:keepNext w:val="0"/>
                    <w:keepLines w:val="0"/>
                    <w:suppressLineNumbers w:val="0"/>
                    <w:adjustRightInd w:val="0"/>
                    <w:spacing w:before="0" w:beforeAutospacing="0" w:after="0" w:afterAutospacing="0"/>
                    <w:ind w:left="0" w:right="0"/>
                    <w:jc w:val="center"/>
                    <w:rPr>
                      <w:rFonts w:hint="default" w:cs="Times New Roman"/>
                      <w:b/>
                      <w:bCs/>
                      <w:color w:val="auto"/>
                      <w:szCs w:val="21"/>
                    </w:rPr>
                  </w:pPr>
                  <w:r>
                    <w:rPr>
                      <w:rFonts w:hint="default" w:cs="Times New Roman"/>
                      <w:b/>
                      <w:bCs/>
                      <w:color w:val="auto"/>
                      <w:szCs w:val="21"/>
                    </w:rPr>
                    <w:t>序号</w:t>
                  </w:r>
                </w:p>
              </w:tc>
              <w:tc>
                <w:tcPr>
                  <w:tcW w:w="542" w:type="pct"/>
                  <w:vMerge w:val="restart"/>
                  <w:noWrap w:val="0"/>
                  <w:vAlign w:val="center"/>
                </w:tcPr>
                <w:p w14:paraId="545F3087">
                  <w:pPr>
                    <w:keepNext w:val="0"/>
                    <w:keepLines w:val="0"/>
                    <w:suppressLineNumbers w:val="0"/>
                    <w:adjustRightInd w:val="0"/>
                    <w:spacing w:before="0" w:beforeAutospacing="0" w:after="0" w:afterAutospacing="0"/>
                    <w:ind w:left="0" w:right="0"/>
                    <w:jc w:val="center"/>
                    <w:rPr>
                      <w:rFonts w:hint="default" w:cs="Times New Roman"/>
                      <w:b/>
                      <w:bCs/>
                      <w:color w:val="auto"/>
                      <w:szCs w:val="21"/>
                    </w:rPr>
                  </w:pPr>
                  <w:r>
                    <w:rPr>
                      <w:rFonts w:hint="default" w:cs="Times New Roman"/>
                      <w:b/>
                      <w:bCs/>
                      <w:color w:val="auto"/>
                      <w:szCs w:val="21"/>
                    </w:rPr>
                    <w:t>名称</w:t>
                  </w:r>
                </w:p>
              </w:tc>
              <w:tc>
                <w:tcPr>
                  <w:tcW w:w="1479" w:type="pct"/>
                  <w:gridSpan w:val="2"/>
                  <w:noWrap w:val="0"/>
                  <w:vAlign w:val="center"/>
                </w:tcPr>
                <w:p w14:paraId="57A93FA8">
                  <w:pPr>
                    <w:keepNext w:val="0"/>
                    <w:keepLines w:val="0"/>
                    <w:suppressLineNumbers w:val="0"/>
                    <w:adjustRightInd w:val="0"/>
                    <w:spacing w:before="0" w:beforeAutospacing="0" w:after="0" w:afterAutospacing="0"/>
                    <w:ind w:left="0" w:right="0"/>
                    <w:jc w:val="center"/>
                    <w:rPr>
                      <w:rFonts w:hint="eastAsia" w:cs="Times New Roman"/>
                      <w:b/>
                      <w:bCs/>
                      <w:color w:val="auto"/>
                      <w:szCs w:val="21"/>
                    </w:rPr>
                  </w:pPr>
                  <w:r>
                    <w:rPr>
                      <w:rFonts w:hint="eastAsia" w:cs="Times New Roman"/>
                      <w:b/>
                      <w:bCs/>
                      <w:color w:val="auto"/>
                      <w:szCs w:val="21"/>
                      <w:lang w:eastAsia="zh-CN"/>
                    </w:rPr>
                    <w:t>现有项目情况</w:t>
                  </w:r>
                </w:p>
              </w:tc>
              <w:tc>
                <w:tcPr>
                  <w:tcW w:w="1919" w:type="pct"/>
                  <w:gridSpan w:val="2"/>
                  <w:noWrap w:val="0"/>
                  <w:vAlign w:val="center"/>
                </w:tcPr>
                <w:p w14:paraId="35D7A5B9">
                  <w:pPr>
                    <w:keepNext w:val="0"/>
                    <w:keepLines w:val="0"/>
                    <w:suppressLineNumbers w:val="0"/>
                    <w:adjustRightInd w:val="0"/>
                    <w:spacing w:before="0" w:beforeAutospacing="0" w:after="0" w:afterAutospacing="0"/>
                    <w:ind w:left="0" w:right="0"/>
                    <w:jc w:val="center"/>
                    <w:rPr>
                      <w:rFonts w:hint="eastAsia" w:eastAsia="宋体" w:cs="Times New Roman"/>
                      <w:b/>
                      <w:bCs/>
                      <w:color w:val="auto"/>
                      <w:szCs w:val="21"/>
                      <w:lang w:val="en-US" w:eastAsia="zh-CN"/>
                    </w:rPr>
                  </w:pPr>
                  <w:r>
                    <w:rPr>
                      <w:rFonts w:hint="eastAsia" w:eastAsia="宋体" w:cs="Times New Roman"/>
                      <w:b/>
                      <w:bCs/>
                      <w:color w:val="auto"/>
                      <w:szCs w:val="21"/>
                      <w:lang w:val="en-US" w:eastAsia="zh-CN"/>
                    </w:rPr>
                    <w:t>本项目情况</w:t>
                  </w:r>
                </w:p>
              </w:tc>
              <w:tc>
                <w:tcPr>
                  <w:tcW w:w="675" w:type="pct"/>
                  <w:vMerge w:val="restart"/>
                  <w:noWrap w:val="0"/>
                  <w:vAlign w:val="center"/>
                </w:tcPr>
                <w:p w14:paraId="546C98C9">
                  <w:pPr>
                    <w:keepNext w:val="0"/>
                    <w:keepLines w:val="0"/>
                    <w:suppressLineNumbers w:val="0"/>
                    <w:adjustRightInd w:val="0"/>
                    <w:spacing w:before="0" w:beforeAutospacing="0" w:after="0" w:afterAutospacing="0"/>
                    <w:ind w:left="0" w:right="0"/>
                    <w:jc w:val="center"/>
                    <w:rPr>
                      <w:rFonts w:hint="eastAsia" w:eastAsia="宋体" w:cs="Times New Roman"/>
                      <w:b/>
                      <w:bCs/>
                      <w:color w:val="auto"/>
                      <w:szCs w:val="21"/>
                      <w:lang w:val="en-US" w:eastAsia="zh-CN"/>
                    </w:rPr>
                  </w:pPr>
                  <w:r>
                    <w:rPr>
                      <w:rFonts w:hint="eastAsia" w:eastAsia="宋体" w:cs="Times New Roman"/>
                      <w:b/>
                      <w:bCs/>
                      <w:color w:val="auto"/>
                      <w:szCs w:val="21"/>
                      <w:lang w:val="en-US" w:eastAsia="zh-CN"/>
                    </w:rPr>
                    <w:t>变化情况</w:t>
                  </w:r>
                </w:p>
              </w:tc>
            </w:tr>
            <w:tr w14:paraId="0167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83" w:type="pct"/>
                  <w:vMerge w:val="continue"/>
                  <w:noWrap w:val="0"/>
                  <w:vAlign w:val="center"/>
                </w:tcPr>
                <w:p w14:paraId="6F1B3137">
                  <w:pPr>
                    <w:keepNext w:val="0"/>
                    <w:keepLines w:val="0"/>
                    <w:suppressLineNumbers w:val="0"/>
                    <w:adjustRightInd w:val="0"/>
                    <w:spacing w:before="0" w:beforeAutospacing="0" w:after="0" w:afterAutospacing="0"/>
                    <w:ind w:left="0" w:right="0"/>
                    <w:jc w:val="center"/>
                    <w:rPr>
                      <w:rFonts w:hint="default" w:cs="Times New Roman"/>
                      <w:b/>
                      <w:bCs/>
                      <w:color w:val="auto"/>
                      <w:szCs w:val="21"/>
                    </w:rPr>
                  </w:pPr>
                </w:p>
              </w:tc>
              <w:tc>
                <w:tcPr>
                  <w:tcW w:w="542" w:type="pct"/>
                  <w:vMerge w:val="continue"/>
                  <w:noWrap w:val="0"/>
                  <w:vAlign w:val="center"/>
                </w:tcPr>
                <w:p w14:paraId="6F172534">
                  <w:pPr>
                    <w:keepNext w:val="0"/>
                    <w:keepLines w:val="0"/>
                    <w:suppressLineNumbers w:val="0"/>
                    <w:adjustRightInd w:val="0"/>
                    <w:spacing w:before="0" w:beforeAutospacing="0" w:after="0" w:afterAutospacing="0"/>
                    <w:ind w:left="0" w:right="0"/>
                    <w:jc w:val="center"/>
                    <w:rPr>
                      <w:rFonts w:hint="default" w:cs="Times New Roman"/>
                      <w:b/>
                      <w:bCs/>
                      <w:color w:val="auto"/>
                      <w:szCs w:val="21"/>
                    </w:rPr>
                  </w:pPr>
                </w:p>
              </w:tc>
              <w:tc>
                <w:tcPr>
                  <w:tcW w:w="937" w:type="pct"/>
                  <w:noWrap w:val="0"/>
                  <w:vAlign w:val="center"/>
                </w:tcPr>
                <w:p w14:paraId="7871D5DA">
                  <w:pPr>
                    <w:keepNext w:val="0"/>
                    <w:keepLines w:val="0"/>
                    <w:suppressLineNumbers w:val="0"/>
                    <w:adjustRightInd w:val="0"/>
                    <w:spacing w:before="0" w:beforeAutospacing="0" w:after="0" w:afterAutospacing="0"/>
                    <w:ind w:left="0" w:right="0"/>
                    <w:jc w:val="center"/>
                    <w:rPr>
                      <w:rFonts w:hint="default" w:cs="Times New Roman"/>
                      <w:b/>
                      <w:bCs/>
                      <w:color w:val="auto"/>
                      <w:szCs w:val="21"/>
                    </w:rPr>
                  </w:pPr>
                  <w:r>
                    <w:rPr>
                      <w:rFonts w:hint="eastAsia" w:cs="Times New Roman"/>
                      <w:b/>
                      <w:bCs/>
                      <w:color w:val="auto"/>
                      <w:szCs w:val="21"/>
                      <w:lang w:eastAsia="zh-CN"/>
                    </w:rPr>
                    <w:t>型号</w:t>
                  </w:r>
                  <w:r>
                    <w:rPr>
                      <w:rFonts w:hint="default" w:cs="Times New Roman"/>
                      <w:b/>
                      <w:bCs/>
                      <w:color w:val="auto"/>
                      <w:szCs w:val="21"/>
                    </w:rPr>
                    <w:t>规格</w:t>
                  </w:r>
                </w:p>
              </w:tc>
              <w:tc>
                <w:tcPr>
                  <w:tcW w:w="542" w:type="pct"/>
                  <w:noWrap w:val="0"/>
                  <w:vAlign w:val="center"/>
                </w:tcPr>
                <w:p w14:paraId="3BACD214">
                  <w:pPr>
                    <w:keepNext w:val="0"/>
                    <w:keepLines w:val="0"/>
                    <w:suppressLineNumbers w:val="0"/>
                    <w:adjustRightInd w:val="0"/>
                    <w:spacing w:before="0" w:beforeAutospacing="0" w:after="0" w:afterAutospacing="0"/>
                    <w:ind w:left="0" w:right="0"/>
                    <w:jc w:val="center"/>
                    <w:rPr>
                      <w:rFonts w:hint="default" w:cs="Times New Roman"/>
                      <w:b/>
                      <w:bCs/>
                      <w:color w:val="auto"/>
                      <w:szCs w:val="21"/>
                    </w:rPr>
                  </w:pPr>
                  <w:r>
                    <w:rPr>
                      <w:rFonts w:hint="eastAsia" w:cs="Times New Roman"/>
                      <w:b/>
                      <w:bCs/>
                      <w:color w:val="auto"/>
                      <w:szCs w:val="21"/>
                    </w:rPr>
                    <w:t>数量</w:t>
                  </w:r>
                </w:p>
              </w:tc>
              <w:tc>
                <w:tcPr>
                  <w:tcW w:w="1189" w:type="pct"/>
                  <w:noWrap w:val="0"/>
                  <w:vAlign w:val="center"/>
                </w:tcPr>
                <w:p w14:paraId="4997E6E4">
                  <w:pPr>
                    <w:keepNext w:val="0"/>
                    <w:keepLines w:val="0"/>
                    <w:suppressLineNumbers w:val="0"/>
                    <w:adjustRightInd w:val="0"/>
                    <w:spacing w:before="0" w:beforeAutospacing="0" w:after="0" w:afterAutospacing="0"/>
                    <w:ind w:left="0" w:right="0"/>
                    <w:jc w:val="center"/>
                    <w:rPr>
                      <w:rFonts w:hint="eastAsia" w:eastAsia="宋体" w:cs="Times New Roman"/>
                      <w:b/>
                      <w:bCs/>
                      <w:color w:val="auto"/>
                      <w:szCs w:val="21"/>
                      <w:lang w:val="en-US" w:eastAsia="zh-CN"/>
                    </w:rPr>
                  </w:pPr>
                  <w:r>
                    <w:rPr>
                      <w:rFonts w:hint="eastAsia" w:cs="Times New Roman"/>
                      <w:b/>
                      <w:bCs/>
                      <w:color w:val="auto"/>
                      <w:szCs w:val="21"/>
                      <w:lang w:eastAsia="zh-CN"/>
                    </w:rPr>
                    <w:t>型号</w:t>
                  </w:r>
                  <w:r>
                    <w:rPr>
                      <w:rFonts w:hint="default" w:cs="Times New Roman"/>
                      <w:b/>
                      <w:bCs/>
                      <w:color w:val="auto"/>
                      <w:szCs w:val="21"/>
                    </w:rPr>
                    <w:t>规格</w:t>
                  </w:r>
                </w:p>
              </w:tc>
              <w:tc>
                <w:tcPr>
                  <w:tcW w:w="730" w:type="pct"/>
                  <w:noWrap w:val="0"/>
                  <w:vAlign w:val="center"/>
                </w:tcPr>
                <w:p w14:paraId="16512BA4">
                  <w:pPr>
                    <w:keepNext w:val="0"/>
                    <w:keepLines w:val="0"/>
                    <w:suppressLineNumbers w:val="0"/>
                    <w:adjustRightInd w:val="0"/>
                    <w:spacing w:before="0" w:beforeAutospacing="0" w:after="0" w:afterAutospacing="0"/>
                    <w:ind w:left="0" w:right="0"/>
                    <w:jc w:val="center"/>
                    <w:rPr>
                      <w:rFonts w:hint="eastAsia" w:eastAsia="宋体" w:cs="Times New Roman"/>
                      <w:b/>
                      <w:bCs/>
                      <w:color w:val="auto"/>
                      <w:szCs w:val="21"/>
                      <w:lang w:val="en-US" w:eastAsia="zh-CN"/>
                    </w:rPr>
                  </w:pPr>
                  <w:r>
                    <w:rPr>
                      <w:rFonts w:hint="eastAsia" w:cs="Times New Roman"/>
                      <w:b/>
                      <w:bCs/>
                      <w:color w:val="auto"/>
                      <w:szCs w:val="21"/>
                    </w:rPr>
                    <w:t>数量</w:t>
                  </w:r>
                </w:p>
              </w:tc>
              <w:tc>
                <w:tcPr>
                  <w:tcW w:w="675" w:type="pct"/>
                  <w:vMerge w:val="continue"/>
                  <w:noWrap w:val="0"/>
                  <w:vAlign w:val="center"/>
                </w:tcPr>
                <w:p w14:paraId="64D72073">
                  <w:pPr>
                    <w:keepNext w:val="0"/>
                    <w:keepLines w:val="0"/>
                    <w:suppressLineNumbers w:val="0"/>
                    <w:adjustRightInd w:val="0"/>
                    <w:spacing w:before="0" w:beforeAutospacing="0" w:after="0" w:afterAutospacing="0"/>
                    <w:ind w:left="0" w:right="0"/>
                    <w:jc w:val="center"/>
                    <w:rPr>
                      <w:rFonts w:hint="eastAsia" w:cs="Times New Roman"/>
                      <w:b/>
                      <w:bCs/>
                      <w:color w:val="auto"/>
                      <w:szCs w:val="21"/>
                    </w:rPr>
                  </w:pPr>
                </w:p>
              </w:tc>
            </w:tr>
            <w:tr w14:paraId="19C6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83" w:type="pct"/>
                  <w:noWrap w:val="0"/>
                  <w:vAlign w:val="center"/>
                </w:tcPr>
                <w:p w14:paraId="5C0442E5">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highlight w:val="none"/>
                    </w:rPr>
                  </w:pPr>
                  <w:r>
                    <w:rPr>
                      <w:rFonts w:hint="default" w:cs="Times New Roman"/>
                      <w:color w:val="auto"/>
                      <w:szCs w:val="21"/>
                      <w:highlight w:val="none"/>
                    </w:rPr>
                    <w:t>1</w:t>
                  </w:r>
                </w:p>
              </w:tc>
              <w:tc>
                <w:tcPr>
                  <w:tcW w:w="542" w:type="pct"/>
                  <w:noWrap w:val="0"/>
                  <w:vAlign w:val="center"/>
                </w:tcPr>
                <w:p w14:paraId="1E791644">
                  <w:pPr>
                    <w:keepNext w:val="0"/>
                    <w:keepLines w:val="0"/>
                    <w:suppressLineNumbers w:val="0"/>
                    <w:adjustRightInd w:val="0"/>
                    <w:snapToGrid w:val="0"/>
                    <w:spacing w:before="0" w:beforeAutospacing="0" w:after="0" w:afterAutospacing="0"/>
                    <w:ind w:left="0" w:right="0"/>
                    <w:jc w:val="center"/>
                    <w:rPr>
                      <w:rFonts w:hint="default" w:cs="Times New Roman"/>
                      <w:strike w:val="0"/>
                      <w:dstrike w:val="0"/>
                      <w:color w:val="auto"/>
                      <w:szCs w:val="21"/>
                      <w:highlight w:val="none"/>
                    </w:rPr>
                  </w:pPr>
                  <w:r>
                    <w:rPr>
                      <w:rFonts w:hint="eastAsia" w:cs="Times New Roman"/>
                      <w:color w:val="auto"/>
                      <w:szCs w:val="30"/>
                      <w:highlight w:val="none"/>
                    </w:rPr>
                    <w:t>瓦斯抽采泵</w:t>
                  </w:r>
                </w:p>
              </w:tc>
              <w:tc>
                <w:tcPr>
                  <w:tcW w:w="937" w:type="pct"/>
                  <w:noWrap w:val="0"/>
                  <w:vAlign w:val="center"/>
                </w:tcPr>
                <w:p w14:paraId="342B7331">
                  <w:pPr>
                    <w:keepNext w:val="0"/>
                    <w:keepLines w:val="0"/>
                    <w:suppressLineNumbers w:val="0"/>
                    <w:adjustRightInd w:val="0"/>
                    <w:snapToGrid w:val="0"/>
                    <w:spacing w:before="0" w:beforeAutospacing="0" w:after="0" w:afterAutospacing="0"/>
                    <w:ind w:left="0" w:right="0"/>
                    <w:jc w:val="center"/>
                    <w:rPr>
                      <w:rFonts w:hint="eastAsia" w:eastAsia="宋体" w:cs="Times New Roman"/>
                      <w:strike w:val="0"/>
                      <w:dstrike w:val="0"/>
                      <w:color w:val="auto"/>
                      <w:szCs w:val="21"/>
                      <w:highlight w:val="none"/>
                      <w:lang w:eastAsia="zh-CN"/>
                    </w:rPr>
                  </w:pPr>
                  <w:r>
                    <w:rPr>
                      <w:rFonts w:hint="default" w:cs="Times New Roman"/>
                      <w:color w:val="auto"/>
                      <w:szCs w:val="30"/>
                      <w:highlight w:val="none"/>
                      <w:lang w:bidi="ar"/>
                    </w:rPr>
                    <w:t>2BE</w:t>
                  </w:r>
                  <w:r>
                    <w:rPr>
                      <w:rFonts w:hint="eastAsia" w:cs="Times New Roman"/>
                      <w:color w:val="auto"/>
                      <w:szCs w:val="30"/>
                      <w:highlight w:val="none"/>
                      <w:lang w:bidi="ar"/>
                    </w:rPr>
                    <w:t>C</w:t>
                  </w:r>
                  <w:r>
                    <w:rPr>
                      <w:rFonts w:hint="default" w:cs="Times New Roman"/>
                      <w:color w:val="auto"/>
                      <w:szCs w:val="30"/>
                      <w:highlight w:val="none"/>
                      <w:lang w:bidi="ar"/>
                    </w:rPr>
                    <w:t>-</w:t>
                  </w:r>
                  <w:r>
                    <w:rPr>
                      <w:rFonts w:hint="eastAsia" w:cs="Times New Roman"/>
                      <w:color w:val="auto"/>
                      <w:szCs w:val="30"/>
                      <w:highlight w:val="none"/>
                      <w:lang w:bidi="ar"/>
                    </w:rPr>
                    <w:t>72</w:t>
                  </w:r>
                  <w:r>
                    <w:rPr>
                      <w:rFonts w:hint="default" w:cs="Times New Roman"/>
                      <w:color w:val="auto"/>
                      <w:szCs w:val="30"/>
                      <w:highlight w:val="none"/>
                      <w:lang w:bidi="ar"/>
                    </w:rPr>
                    <w:t>型水环式真空泵</w:t>
                  </w:r>
                  <w:r>
                    <w:rPr>
                      <w:rFonts w:hint="eastAsia" w:cs="Times New Roman"/>
                      <w:color w:val="auto"/>
                      <w:szCs w:val="30"/>
                      <w:highlight w:val="none"/>
                      <w:lang w:eastAsia="zh-CN"/>
                    </w:rPr>
                    <w:t>，流量</w:t>
                  </w:r>
                  <w:r>
                    <w:rPr>
                      <w:rFonts w:hint="eastAsia" w:cs="Times New Roman"/>
                      <w:color w:val="auto"/>
                      <w:szCs w:val="30"/>
                      <w:highlight w:val="none"/>
                      <w:lang w:val="en-US" w:eastAsia="zh-CN"/>
                    </w:rPr>
                    <w:t>600</w:t>
                  </w:r>
                  <w:r>
                    <w:rPr>
                      <w:rFonts w:hint="eastAsia" w:cs="Times New Roman"/>
                      <w:color w:val="auto"/>
                      <w:szCs w:val="30"/>
                      <w:highlight w:val="none"/>
                      <w:lang w:eastAsia="zh-CN"/>
                    </w:rPr>
                    <w:t>m</w:t>
                  </w:r>
                  <w:r>
                    <w:rPr>
                      <w:rFonts w:hint="eastAsia" w:cs="Times New Roman"/>
                      <w:color w:val="auto"/>
                      <w:szCs w:val="30"/>
                      <w:highlight w:val="none"/>
                      <w:vertAlign w:val="superscript"/>
                      <w:lang w:eastAsia="zh-CN"/>
                    </w:rPr>
                    <w:t>3</w:t>
                  </w:r>
                  <w:r>
                    <w:rPr>
                      <w:rFonts w:hint="eastAsia" w:cs="Times New Roman"/>
                      <w:color w:val="auto"/>
                      <w:szCs w:val="30"/>
                      <w:highlight w:val="none"/>
                      <w:lang w:eastAsia="zh-CN"/>
                    </w:rPr>
                    <w:t>/min。</w:t>
                  </w:r>
                </w:p>
              </w:tc>
              <w:tc>
                <w:tcPr>
                  <w:tcW w:w="542" w:type="pct"/>
                  <w:noWrap w:val="0"/>
                  <w:vAlign w:val="center"/>
                </w:tcPr>
                <w:p w14:paraId="6DFA613E">
                  <w:pPr>
                    <w:keepNext w:val="0"/>
                    <w:keepLines w:val="0"/>
                    <w:suppressLineNumbers w:val="0"/>
                    <w:adjustRightInd w:val="0"/>
                    <w:snapToGrid w:val="0"/>
                    <w:spacing w:before="0" w:beforeAutospacing="0" w:after="0" w:afterAutospacing="0"/>
                    <w:ind w:left="0" w:right="0"/>
                    <w:jc w:val="center"/>
                    <w:rPr>
                      <w:rFonts w:hint="default" w:cs="Times New Roman"/>
                      <w:strike w:val="0"/>
                      <w:dstrike w:val="0"/>
                      <w:color w:val="auto"/>
                      <w:szCs w:val="21"/>
                      <w:highlight w:val="none"/>
                    </w:rPr>
                  </w:pPr>
                  <w:r>
                    <w:rPr>
                      <w:rFonts w:hint="eastAsia" w:cs="Times New Roman"/>
                      <w:strike w:val="0"/>
                      <w:dstrike w:val="0"/>
                      <w:color w:val="auto"/>
                      <w:szCs w:val="21"/>
                      <w:highlight w:val="none"/>
                      <w:lang w:val="en-US" w:eastAsia="zh-CN"/>
                    </w:rPr>
                    <w:t>4台</w:t>
                  </w:r>
                </w:p>
              </w:tc>
              <w:tc>
                <w:tcPr>
                  <w:tcW w:w="1189" w:type="pct"/>
                  <w:noWrap w:val="0"/>
                  <w:vAlign w:val="center"/>
                </w:tcPr>
                <w:p w14:paraId="3DEEB3F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30"/>
                      <w:highlight w:val="none"/>
                      <w:lang w:val="en-US" w:eastAsia="zh-CN" w:bidi="ar-SA"/>
                    </w:rPr>
                  </w:pPr>
                  <w:r>
                    <w:rPr>
                      <w:rFonts w:hint="eastAsia" w:ascii="Times New Roman" w:hAnsi="Times New Roman" w:eastAsia="宋体" w:cs="Times New Roman"/>
                      <w:color w:val="auto"/>
                      <w:szCs w:val="30"/>
                      <w:highlight w:val="none"/>
                      <w:lang w:val="en-US" w:eastAsia="zh-CN"/>
                    </w:rPr>
                    <w:t>/</w:t>
                  </w:r>
                </w:p>
              </w:tc>
              <w:tc>
                <w:tcPr>
                  <w:tcW w:w="730" w:type="pct"/>
                  <w:noWrap w:val="0"/>
                  <w:vAlign w:val="center"/>
                </w:tcPr>
                <w:p w14:paraId="5563D7C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kern w:val="2"/>
                      <w:sz w:val="21"/>
                      <w:szCs w:val="21"/>
                      <w:highlight w:val="none"/>
                      <w:lang w:val="en-US" w:eastAsia="zh-CN" w:bidi="ar-SA"/>
                    </w:rPr>
                  </w:pPr>
                  <w:r>
                    <w:rPr>
                      <w:rFonts w:hint="eastAsia" w:ascii="Times New Roman" w:hAnsi="Times New Roman" w:eastAsia="宋体" w:cs="Times New Roman"/>
                      <w:strike w:val="0"/>
                      <w:dstrike w:val="0"/>
                      <w:color w:val="auto"/>
                      <w:szCs w:val="21"/>
                      <w:highlight w:val="none"/>
                      <w:lang w:val="en-US" w:eastAsia="zh-CN"/>
                    </w:rPr>
                    <w:t>/</w:t>
                  </w:r>
                </w:p>
              </w:tc>
              <w:tc>
                <w:tcPr>
                  <w:tcW w:w="675" w:type="pct"/>
                  <w:noWrap w:val="0"/>
                  <w:vAlign w:val="center"/>
                </w:tcPr>
                <w:p w14:paraId="6BB0D3A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trike w:val="0"/>
                      <w:dstrike w:val="0"/>
                      <w:color w:val="auto"/>
                      <w:kern w:val="2"/>
                      <w:sz w:val="21"/>
                      <w:szCs w:val="21"/>
                      <w:highlight w:val="none"/>
                      <w:lang w:val="en-US" w:eastAsia="zh-CN" w:bidi="ar-SA"/>
                    </w:rPr>
                  </w:pPr>
                  <w:r>
                    <w:rPr>
                      <w:rFonts w:hint="eastAsia" w:cs="Times New Roman"/>
                      <w:strike w:val="0"/>
                      <w:dstrike w:val="0"/>
                      <w:color w:val="auto"/>
                      <w:kern w:val="2"/>
                      <w:sz w:val="21"/>
                      <w:szCs w:val="21"/>
                      <w:highlight w:val="none"/>
                      <w:lang w:val="en-US" w:eastAsia="zh-CN" w:bidi="ar-SA"/>
                    </w:rPr>
                    <w:t>维持不变</w:t>
                  </w:r>
                </w:p>
              </w:tc>
            </w:tr>
            <w:tr w14:paraId="52D5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83" w:type="pct"/>
                  <w:noWrap w:val="0"/>
                  <w:vAlign w:val="center"/>
                </w:tcPr>
                <w:p w14:paraId="1692F2EA">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highlight w:val="none"/>
                    </w:rPr>
                  </w:pPr>
                  <w:r>
                    <w:rPr>
                      <w:rFonts w:hint="default" w:cs="Times New Roman"/>
                      <w:color w:val="auto"/>
                      <w:szCs w:val="21"/>
                      <w:highlight w:val="none"/>
                    </w:rPr>
                    <w:t>2</w:t>
                  </w:r>
                </w:p>
              </w:tc>
              <w:tc>
                <w:tcPr>
                  <w:tcW w:w="542" w:type="pct"/>
                  <w:noWrap w:val="0"/>
                  <w:vAlign w:val="center"/>
                </w:tcPr>
                <w:p w14:paraId="26962A93">
                  <w:pPr>
                    <w:keepNext w:val="0"/>
                    <w:keepLines w:val="0"/>
                    <w:suppressLineNumbers w:val="0"/>
                    <w:adjustRightInd w:val="0"/>
                    <w:snapToGrid w:val="0"/>
                    <w:spacing w:before="0" w:beforeAutospacing="0" w:after="0" w:afterAutospacing="0"/>
                    <w:ind w:left="0" w:right="0"/>
                    <w:jc w:val="center"/>
                    <w:rPr>
                      <w:rFonts w:hint="eastAsia" w:cs="Times New Roman"/>
                      <w:strike w:val="0"/>
                      <w:dstrike w:val="0"/>
                      <w:color w:val="auto"/>
                      <w:szCs w:val="21"/>
                      <w:highlight w:val="none"/>
                    </w:rPr>
                  </w:pPr>
                  <w:r>
                    <w:rPr>
                      <w:rFonts w:hint="eastAsia" w:cs="Times New Roman"/>
                      <w:color w:val="auto"/>
                      <w:szCs w:val="30"/>
                      <w:highlight w:val="none"/>
                    </w:rPr>
                    <w:t>瓦斯抽采泵</w:t>
                  </w:r>
                </w:p>
              </w:tc>
              <w:tc>
                <w:tcPr>
                  <w:tcW w:w="937" w:type="pct"/>
                  <w:noWrap w:val="0"/>
                  <w:vAlign w:val="center"/>
                </w:tcPr>
                <w:p w14:paraId="4BDD34ED">
                  <w:pPr>
                    <w:pStyle w:val="22"/>
                    <w:keepNext w:val="0"/>
                    <w:keepLines w:val="0"/>
                    <w:suppressLineNumbers w:val="0"/>
                    <w:spacing w:beforeAutospacing="0" w:afterAutospacing="0"/>
                    <w:ind w:left="0" w:right="0"/>
                    <w:rPr>
                      <w:rFonts w:hint="eastAsia" w:eastAsia="宋体" w:cs="Times New Roman"/>
                      <w:strike w:val="0"/>
                      <w:dstrike w:val="0"/>
                      <w:color w:val="auto"/>
                      <w:highlight w:val="none"/>
                      <w:lang w:eastAsia="zh-CN"/>
                    </w:rPr>
                  </w:pPr>
                  <w:r>
                    <w:rPr>
                      <w:rFonts w:hint="default" w:cs="Times New Roman"/>
                      <w:color w:val="auto"/>
                      <w:szCs w:val="30"/>
                      <w:highlight w:val="none"/>
                      <w:lang w:bidi="ar"/>
                    </w:rPr>
                    <w:t>SKP</w:t>
                  </w:r>
                  <w:r>
                    <w:rPr>
                      <w:rFonts w:hint="eastAsia" w:cs="Times New Roman"/>
                      <w:color w:val="auto"/>
                      <w:szCs w:val="30"/>
                      <w:highlight w:val="none"/>
                      <w:lang w:bidi="ar"/>
                    </w:rPr>
                    <w:t>93</w:t>
                  </w:r>
                  <w:r>
                    <w:rPr>
                      <w:rFonts w:hint="default" w:cs="Times New Roman"/>
                      <w:color w:val="auto"/>
                      <w:szCs w:val="30"/>
                      <w:highlight w:val="none"/>
                      <w:lang w:bidi="ar"/>
                    </w:rPr>
                    <w:t>型水环式真空泵</w:t>
                  </w:r>
                  <w:r>
                    <w:rPr>
                      <w:rFonts w:hint="eastAsia" w:ascii="Times New Roman" w:hAnsi="Times New Roman" w:eastAsia="宋体" w:cs="Times New Roman"/>
                      <w:bCs w:val="0"/>
                      <w:caps w:val="0"/>
                      <w:color w:val="auto"/>
                      <w:kern w:val="2"/>
                      <w:sz w:val="21"/>
                      <w:szCs w:val="30"/>
                      <w:highlight w:val="none"/>
                      <w:lang w:val="en-US" w:eastAsia="zh-CN" w:bidi="ar-SA"/>
                    </w:rPr>
                    <w:t>，流量800m</w:t>
                  </w:r>
                  <w:r>
                    <w:rPr>
                      <w:rFonts w:hint="eastAsia" w:ascii="Times New Roman" w:hAnsi="Times New Roman" w:eastAsia="宋体" w:cs="Times New Roman"/>
                      <w:bCs w:val="0"/>
                      <w:caps w:val="0"/>
                      <w:color w:val="auto"/>
                      <w:kern w:val="2"/>
                      <w:sz w:val="21"/>
                      <w:szCs w:val="30"/>
                      <w:highlight w:val="none"/>
                      <w:vertAlign w:val="superscript"/>
                      <w:lang w:val="en-US" w:eastAsia="zh-CN" w:bidi="ar-SA"/>
                    </w:rPr>
                    <w:t>3</w:t>
                  </w:r>
                  <w:r>
                    <w:rPr>
                      <w:rFonts w:hint="eastAsia" w:ascii="Times New Roman" w:hAnsi="Times New Roman" w:eastAsia="宋体" w:cs="Times New Roman"/>
                      <w:bCs w:val="0"/>
                      <w:caps w:val="0"/>
                      <w:color w:val="auto"/>
                      <w:kern w:val="2"/>
                      <w:sz w:val="21"/>
                      <w:szCs w:val="30"/>
                      <w:highlight w:val="none"/>
                      <w:lang w:val="en-US" w:eastAsia="zh-CN" w:bidi="ar-SA"/>
                    </w:rPr>
                    <w:t>/min。</w:t>
                  </w:r>
                </w:p>
              </w:tc>
              <w:tc>
                <w:tcPr>
                  <w:tcW w:w="542" w:type="pct"/>
                  <w:noWrap w:val="0"/>
                  <w:vAlign w:val="center"/>
                </w:tcPr>
                <w:p w14:paraId="4D300788">
                  <w:pPr>
                    <w:keepNext w:val="0"/>
                    <w:keepLines w:val="0"/>
                    <w:suppressLineNumbers w:val="0"/>
                    <w:adjustRightInd w:val="0"/>
                    <w:snapToGrid w:val="0"/>
                    <w:spacing w:before="0" w:beforeAutospacing="0" w:after="0" w:afterAutospacing="0"/>
                    <w:ind w:left="0" w:right="0"/>
                    <w:jc w:val="center"/>
                    <w:rPr>
                      <w:rFonts w:hint="eastAsia" w:cs="Times New Roman"/>
                      <w:strike w:val="0"/>
                      <w:dstrike w:val="0"/>
                      <w:color w:val="auto"/>
                      <w:szCs w:val="21"/>
                      <w:highlight w:val="none"/>
                    </w:rPr>
                  </w:pPr>
                  <w:r>
                    <w:rPr>
                      <w:rFonts w:hint="eastAsia" w:cs="Times New Roman"/>
                      <w:strike w:val="0"/>
                      <w:dstrike w:val="0"/>
                      <w:color w:val="auto"/>
                      <w:szCs w:val="21"/>
                      <w:highlight w:val="none"/>
                    </w:rPr>
                    <w:t>2</w:t>
                  </w:r>
                  <w:r>
                    <w:rPr>
                      <w:rFonts w:hint="eastAsia" w:cs="Times New Roman"/>
                      <w:strike w:val="0"/>
                      <w:dstrike w:val="0"/>
                      <w:color w:val="auto"/>
                      <w:szCs w:val="21"/>
                      <w:highlight w:val="none"/>
                      <w:lang w:val="en-US" w:eastAsia="zh-CN"/>
                    </w:rPr>
                    <w:t>台</w:t>
                  </w:r>
                </w:p>
              </w:tc>
              <w:tc>
                <w:tcPr>
                  <w:tcW w:w="1189" w:type="pct"/>
                  <w:noWrap w:val="0"/>
                  <w:vAlign w:val="center"/>
                </w:tcPr>
                <w:p w14:paraId="5617DE1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30"/>
                      <w:highlight w:val="none"/>
                      <w:lang w:val="en-US" w:eastAsia="zh-CN" w:bidi="ar-SA"/>
                    </w:rPr>
                  </w:pPr>
                  <w:r>
                    <w:rPr>
                      <w:rFonts w:hint="eastAsia" w:ascii="Times New Roman" w:hAnsi="Times New Roman" w:eastAsia="宋体" w:cs="Times New Roman"/>
                      <w:color w:val="auto"/>
                      <w:szCs w:val="30"/>
                      <w:highlight w:val="none"/>
                      <w:lang w:val="en-US" w:eastAsia="zh-CN"/>
                    </w:rPr>
                    <w:t>/</w:t>
                  </w:r>
                </w:p>
              </w:tc>
              <w:tc>
                <w:tcPr>
                  <w:tcW w:w="730" w:type="pct"/>
                  <w:noWrap w:val="0"/>
                  <w:vAlign w:val="center"/>
                </w:tcPr>
                <w:p w14:paraId="2CD03FF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kern w:val="2"/>
                      <w:sz w:val="21"/>
                      <w:szCs w:val="21"/>
                      <w:highlight w:val="none"/>
                      <w:lang w:val="en-US" w:eastAsia="zh-CN" w:bidi="ar-SA"/>
                    </w:rPr>
                  </w:pPr>
                  <w:r>
                    <w:rPr>
                      <w:rFonts w:hint="eastAsia" w:ascii="Times New Roman" w:hAnsi="Times New Roman" w:eastAsia="宋体" w:cs="Times New Roman"/>
                      <w:strike w:val="0"/>
                      <w:dstrike w:val="0"/>
                      <w:color w:val="auto"/>
                      <w:szCs w:val="21"/>
                      <w:highlight w:val="none"/>
                      <w:lang w:val="en-US" w:eastAsia="zh-CN"/>
                    </w:rPr>
                    <w:t>/</w:t>
                  </w:r>
                </w:p>
              </w:tc>
              <w:tc>
                <w:tcPr>
                  <w:tcW w:w="675" w:type="pct"/>
                  <w:noWrap w:val="0"/>
                  <w:vAlign w:val="center"/>
                </w:tcPr>
                <w:p w14:paraId="10573E4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kern w:val="2"/>
                      <w:sz w:val="21"/>
                      <w:szCs w:val="21"/>
                      <w:highlight w:val="none"/>
                      <w:lang w:val="en-US" w:eastAsia="zh-CN" w:bidi="ar-SA"/>
                    </w:rPr>
                  </w:pPr>
                  <w:r>
                    <w:rPr>
                      <w:rFonts w:hint="eastAsia" w:cs="Times New Roman"/>
                      <w:strike w:val="0"/>
                      <w:dstrike w:val="0"/>
                      <w:color w:val="auto"/>
                      <w:kern w:val="2"/>
                      <w:sz w:val="21"/>
                      <w:szCs w:val="21"/>
                      <w:highlight w:val="none"/>
                      <w:lang w:val="en-US" w:eastAsia="zh-CN" w:bidi="ar-SA"/>
                    </w:rPr>
                    <w:t>维持不变</w:t>
                  </w:r>
                </w:p>
              </w:tc>
            </w:tr>
            <w:tr w14:paraId="2510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383" w:type="pct"/>
                  <w:noWrap w:val="0"/>
                  <w:vAlign w:val="center"/>
                </w:tcPr>
                <w:p w14:paraId="713B1D1E">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szCs w:val="21"/>
                      <w:highlight w:val="none"/>
                      <w:lang w:val="en-US" w:eastAsia="zh-CN"/>
                    </w:rPr>
                  </w:pPr>
                  <w:r>
                    <w:rPr>
                      <w:rFonts w:hint="eastAsia" w:cs="Times New Roman"/>
                      <w:color w:val="auto"/>
                      <w:szCs w:val="21"/>
                      <w:highlight w:val="none"/>
                      <w:lang w:val="en-US" w:eastAsia="zh-CN"/>
                    </w:rPr>
                    <w:t>3</w:t>
                  </w:r>
                </w:p>
              </w:tc>
              <w:tc>
                <w:tcPr>
                  <w:tcW w:w="542" w:type="pct"/>
                  <w:noWrap w:val="0"/>
                  <w:vAlign w:val="center"/>
                </w:tcPr>
                <w:p w14:paraId="52DC2F8B">
                  <w:pPr>
                    <w:keepNext w:val="0"/>
                    <w:keepLines w:val="0"/>
                    <w:suppressLineNumbers w:val="0"/>
                    <w:adjustRightInd w:val="0"/>
                    <w:snapToGrid w:val="0"/>
                    <w:spacing w:before="0" w:beforeAutospacing="0" w:after="0" w:afterAutospacing="0"/>
                    <w:ind w:left="0" w:right="0"/>
                    <w:jc w:val="center"/>
                    <w:rPr>
                      <w:rFonts w:hint="eastAsia" w:cs="Times New Roman"/>
                      <w:color w:val="auto"/>
                      <w:szCs w:val="30"/>
                      <w:highlight w:val="none"/>
                    </w:rPr>
                  </w:pPr>
                  <w:r>
                    <w:rPr>
                      <w:rFonts w:hint="eastAsia" w:cs="Times New Roman"/>
                      <w:color w:val="auto"/>
                      <w:szCs w:val="30"/>
                      <w:highlight w:val="none"/>
                    </w:rPr>
                    <w:t>瓦斯抽采泵</w:t>
                  </w:r>
                </w:p>
              </w:tc>
              <w:tc>
                <w:tcPr>
                  <w:tcW w:w="937" w:type="pct"/>
                  <w:noWrap w:val="0"/>
                  <w:vAlign w:val="center"/>
                </w:tcPr>
                <w:p w14:paraId="37898F88">
                  <w:pPr>
                    <w:pStyle w:val="22"/>
                    <w:keepNext w:val="0"/>
                    <w:keepLines w:val="0"/>
                    <w:suppressLineNumbers w:val="0"/>
                    <w:spacing w:beforeAutospacing="0" w:afterAutospacing="0"/>
                    <w:ind w:left="0" w:right="0"/>
                    <w:jc w:val="center"/>
                    <w:rPr>
                      <w:rFonts w:hint="eastAsia" w:eastAsia="宋体" w:cs="Times New Roman"/>
                      <w:color w:val="auto"/>
                      <w:szCs w:val="30"/>
                      <w:highlight w:val="none"/>
                      <w:lang w:val="en-US" w:eastAsia="zh-CN" w:bidi="ar"/>
                    </w:rPr>
                  </w:pPr>
                  <w:r>
                    <w:rPr>
                      <w:rFonts w:hint="eastAsia" w:cs="Times New Roman"/>
                      <w:color w:val="auto"/>
                      <w:szCs w:val="30"/>
                      <w:highlight w:val="none"/>
                      <w:lang w:val="en-US" w:eastAsia="zh-CN" w:bidi="ar"/>
                    </w:rPr>
                    <w:t>/</w:t>
                  </w:r>
                </w:p>
              </w:tc>
              <w:tc>
                <w:tcPr>
                  <w:tcW w:w="542" w:type="pct"/>
                  <w:noWrap w:val="0"/>
                  <w:vAlign w:val="center"/>
                </w:tcPr>
                <w:p w14:paraId="19CE32EB">
                  <w:pPr>
                    <w:keepNext w:val="0"/>
                    <w:keepLines w:val="0"/>
                    <w:suppressLineNumbers w:val="0"/>
                    <w:adjustRightInd w:val="0"/>
                    <w:snapToGrid w:val="0"/>
                    <w:spacing w:before="0" w:beforeAutospacing="0" w:after="0" w:afterAutospacing="0"/>
                    <w:ind w:left="0" w:right="0"/>
                    <w:jc w:val="center"/>
                    <w:rPr>
                      <w:rFonts w:hint="eastAsia" w:eastAsia="宋体" w:cs="Times New Roman"/>
                      <w:strike w:val="0"/>
                      <w:dstrike w:val="0"/>
                      <w:color w:val="auto"/>
                      <w:szCs w:val="21"/>
                      <w:highlight w:val="none"/>
                      <w:lang w:val="en-US" w:eastAsia="zh-CN"/>
                    </w:rPr>
                  </w:pPr>
                  <w:r>
                    <w:rPr>
                      <w:rFonts w:hint="eastAsia" w:cs="Times New Roman"/>
                      <w:strike w:val="0"/>
                      <w:dstrike w:val="0"/>
                      <w:color w:val="auto"/>
                      <w:szCs w:val="21"/>
                      <w:highlight w:val="none"/>
                      <w:lang w:val="en-US" w:eastAsia="zh-CN"/>
                    </w:rPr>
                    <w:t>/</w:t>
                  </w:r>
                </w:p>
              </w:tc>
              <w:tc>
                <w:tcPr>
                  <w:tcW w:w="1189" w:type="pct"/>
                  <w:noWrap w:val="0"/>
                  <w:vAlign w:val="center"/>
                </w:tcPr>
                <w:p w14:paraId="27EC5648">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额定流量800 m</w:t>
                  </w:r>
                  <w:r>
                    <w:rPr>
                      <w:rFonts w:hint="eastAsia" w:ascii="Times New Roman" w:hAnsi="Times New Roman" w:eastAsia="宋体" w:cs="Times New Roman"/>
                      <w:color w:val="auto"/>
                      <w:szCs w:val="30"/>
                      <w:highlight w:val="none"/>
                      <w:vertAlign w:val="superscript"/>
                    </w:rPr>
                    <w:t>3</w:t>
                  </w:r>
                  <w:r>
                    <w:rPr>
                      <w:rFonts w:hint="eastAsia" w:ascii="Times New Roman" w:hAnsi="Times New Roman" w:eastAsia="宋体" w:cs="Times New Roman"/>
                      <w:color w:val="auto"/>
                      <w:szCs w:val="30"/>
                      <w:highlight w:val="none"/>
                    </w:rPr>
                    <w:t>/min、配套电机功率1120kW高负压水环式真空泵</w:t>
                  </w:r>
                </w:p>
              </w:tc>
              <w:tc>
                <w:tcPr>
                  <w:tcW w:w="730" w:type="pct"/>
                  <w:noWrap w:val="0"/>
                  <w:vAlign w:val="center"/>
                </w:tcPr>
                <w:p w14:paraId="18C7565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szCs w:val="21"/>
                      <w:highlight w:val="none"/>
                      <w:lang w:val="en-US" w:eastAsia="zh-CN"/>
                    </w:rPr>
                  </w:pPr>
                  <w:r>
                    <w:rPr>
                      <w:rFonts w:hint="eastAsia" w:ascii="Times New Roman" w:hAnsi="Times New Roman" w:eastAsia="宋体" w:cs="Times New Roman"/>
                      <w:strike w:val="0"/>
                      <w:dstrike w:val="0"/>
                      <w:color w:val="auto"/>
                      <w:szCs w:val="21"/>
                      <w:highlight w:val="none"/>
                      <w:lang w:val="en-US" w:eastAsia="zh-CN"/>
                    </w:rPr>
                    <w:t>2台</w:t>
                  </w:r>
                </w:p>
              </w:tc>
              <w:tc>
                <w:tcPr>
                  <w:tcW w:w="675" w:type="pct"/>
                  <w:noWrap w:val="0"/>
                  <w:vAlign w:val="center"/>
                </w:tcPr>
                <w:p w14:paraId="415565A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新增</w:t>
                  </w:r>
                </w:p>
              </w:tc>
            </w:tr>
            <w:tr w14:paraId="4539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3" w:type="pct"/>
                  <w:noWrap w:val="0"/>
                  <w:vAlign w:val="center"/>
                </w:tcPr>
                <w:p w14:paraId="31A2E996">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highlight w:val="none"/>
                    </w:rPr>
                  </w:pPr>
                  <w:r>
                    <w:rPr>
                      <w:rFonts w:hint="eastAsia" w:cs="Times New Roman"/>
                      <w:color w:val="auto"/>
                      <w:szCs w:val="21"/>
                      <w:highlight w:val="none"/>
                      <w:lang w:val="en-US" w:eastAsia="zh-CN"/>
                    </w:rPr>
                    <w:t>4</w:t>
                  </w:r>
                </w:p>
              </w:tc>
              <w:tc>
                <w:tcPr>
                  <w:tcW w:w="542" w:type="pct"/>
                  <w:noWrap w:val="0"/>
                  <w:vAlign w:val="center"/>
                </w:tcPr>
                <w:p w14:paraId="4FA559F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rPr>
                  </w:pPr>
                  <w:r>
                    <w:rPr>
                      <w:rFonts w:hint="eastAsia" w:ascii="Times New Roman" w:hAnsi="Times New Roman" w:eastAsia="宋体" w:cs="Times New Roman"/>
                      <w:color w:val="auto"/>
                      <w:szCs w:val="30"/>
                      <w:highlight w:val="none"/>
                    </w:rPr>
                    <w:t>热水泵</w:t>
                  </w:r>
                </w:p>
              </w:tc>
              <w:tc>
                <w:tcPr>
                  <w:tcW w:w="937" w:type="pct"/>
                  <w:noWrap w:val="0"/>
                  <w:vAlign w:val="center"/>
                </w:tcPr>
                <w:p w14:paraId="192E7F2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rPr>
                    <w:t>Q=</w:t>
                  </w:r>
                  <w:r>
                    <w:rPr>
                      <w:rFonts w:hint="eastAsia" w:ascii="Times New Roman" w:hAnsi="Times New Roman" w:eastAsia="宋体" w:cs="Times New Roman"/>
                      <w:color w:val="auto"/>
                      <w:szCs w:val="30"/>
                      <w:highlight w:val="none"/>
                      <w:lang w:val="en-US" w:eastAsia="zh-CN"/>
                    </w:rPr>
                    <w:t>240</w:t>
                  </w:r>
                  <w:r>
                    <w:rPr>
                      <w:rFonts w:hint="eastAsia" w:ascii="Times New Roman" w:hAnsi="Times New Roman" w:eastAsia="宋体" w:cs="Times New Roman"/>
                      <w:color w:val="auto"/>
                      <w:szCs w:val="30"/>
                      <w:highlight w:val="none"/>
                    </w:rPr>
                    <w:t>m</w:t>
                  </w:r>
                  <w:r>
                    <w:rPr>
                      <w:rFonts w:hint="eastAsia" w:ascii="Times New Roman" w:hAnsi="Times New Roman" w:eastAsia="宋体" w:cs="Times New Roman"/>
                      <w:color w:val="auto"/>
                      <w:szCs w:val="30"/>
                      <w:highlight w:val="none"/>
                      <w:vertAlign w:val="superscript"/>
                    </w:rPr>
                    <w:t>3</w:t>
                  </w:r>
                  <w:r>
                    <w:rPr>
                      <w:rFonts w:hint="eastAsia" w:ascii="Times New Roman" w:hAnsi="Times New Roman" w:eastAsia="宋体" w:cs="Times New Roman"/>
                      <w:color w:val="auto"/>
                      <w:szCs w:val="30"/>
                      <w:highlight w:val="none"/>
                    </w:rPr>
                    <w:t>/h</w:t>
                  </w:r>
                  <w:r>
                    <w:rPr>
                      <w:rFonts w:hint="eastAsia" w:ascii="Times New Roman" w:hAnsi="Times New Roman" w:eastAsia="宋体" w:cs="Times New Roman"/>
                      <w:color w:val="auto"/>
                      <w:szCs w:val="30"/>
                      <w:highlight w:val="none"/>
                      <w:lang w:eastAsia="zh-CN"/>
                    </w:rPr>
                    <w:t>；功率15kW</w:t>
                  </w:r>
                </w:p>
              </w:tc>
              <w:tc>
                <w:tcPr>
                  <w:tcW w:w="542" w:type="pct"/>
                  <w:noWrap w:val="0"/>
                  <w:vAlign w:val="center"/>
                </w:tcPr>
                <w:p w14:paraId="22AAF149">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trike w:val="0"/>
                      <w:dstrike w:val="0"/>
                      <w:color w:val="auto"/>
                      <w:szCs w:val="21"/>
                      <w:highlight w:val="none"/>
                      <w:lang w:val="en-US" w:eastAsia="zh-CN"/>
                    </w:rPr>
                  </w:pPr>
                  <w:r>
                    <w:rPr>
                      <w:rFonts w:hint="eastAsia" w:ascii="Times New Roman" w:hAnsi="Times New Roman" w:eastAsia="宋体" w:cs="Times New Roman"/>
                      <w:strike w:val="0"/>
                      <w:dstrike w:val="0"/>
                      <w:color w:val="auto"/>
                      <w:szCs w:val="21"/>
                      <w:highlight w:val="none"/>
                      <w:lang w:val="en-US" w:eastAsia="zh-CN"/>
                    </w:rPr>
                    <w:t>2台</w:t>
                  </w:r>
                </w:p>
                <w:p w14:paraId="32BF8E9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strike w:val="0"/>
                      <w:dstrike w:val="0"/>
                      <w:color w:val="auto"/>
                      <w:szCs w:val="21"/>
                      <w:highlight w:val="none"/>
                      <w:lang w:val="en-US" w:eastAsia="zh-CN"/>
                    </w:rPr>
                    <w:t>（1用1备）</w:t>
                  </w:r>
                </w:p>
              </w:tc>
              <w:tc>
                <w:tcPr>
                  <w:tcW w:w="1189" w:type="pct"/>
                  <w:noWrap w:val="0"/>
                  <w:vAlign w:val="center"/>
                </w:tcPr>
                <w:p w14:paraId="35F3120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Q=</w:t>
                  </w:r>
                  <w:r>
                    <w:rPr>
                      <w:rFonts w:hint="eastAsia" w:ascii="Times New Roman" w:hAnsi="Times New Roman" w:eastAsia="宋体" w:cs="Times New Roman"/>
                      <w:color w:val="auto"/>
                      <w:szCs w:val="30"/>
                      <w:highlight w:val="none"/>
                      <w:lang w:val="en-US" w:eastAsia="zh-CN"/>
                    </w:rPr>
                    <w:t>360</w:t>
                  </w:r>
                  <w:r>
                    <w:rPr>
                      <w:rFonts w:hint="eastAsia" w:ascii="Times New Roman" w:hAnsi="Times New Roman" w:eastAsia="宋体" w:cs="Times New Roman"/>
                      <w:color w:val="auto"/>
                      <w:szCs w:val="30"/>
                      <w:highlight w:val="none"/>
                    </w:rPr>
                    <w:t>m</w:t>
                  </w:r>
                  <w:r>
                    <w:rPr>
                      <w:rFonts w:hint="eastAsia" w:ascii="Times New Roman" w:hAnsi="Times New Roman" w:eastAsia="宋体" w:cs="Times New Roman"/>
                      <w:color w:val="auto"/>
                      <w:szCs w:val="30"/>
                      <w:highlight w:val="none"/>
                      <w:vertAlign w:val="superscript"/>
                    </w:rPr>
                    <w:t>3</w:t>
                  </w:r>
                  <w:r>
                    <w:rPr>
                      <w:rFonts w:hint="eastAsia" w:ascii="Times New Roman" w:hAnsi="Times New Roman" w:eastAsia="宋体" w:cs="Times New Roman"/>
                      <w:color w:val="auto"/>
                      <w:szCs w:val="30"/>
                      <w:highlight w:val="none"/>
                    </w:rPr>
                    <w:t>/h，功率</w:t>
                  </w:r>
                  <w:r>
                    <w:rPr>
                      <w:rFonts w:hint="eastAsia" w:ascii="Times New Roman" w:hAnsi="Times New Roman" w:eastAsia="宋体" w:cs="Times New Roman"/>
                      <w:color w:val="auto"/>
                      <w:szCs w:val="30"/>
                      <w:highlight w:val="none"/>
                      <w:lang w:val="en-US" w:eastAsia="zh-CN"/>
                    </w:rPr>
                    <w:t>45</w:t>
                  </w:r>
                  <w:r>
                    <w:rPr>
                      <w:rFonts w:hint="eastAsia" w:ascii="Times New Roman" w:hAnsi="Times New Roman" w:eastAsia="宋体" w:cs="Times New Roman"/>
                      <w:color w:val="auto"/>
                      <w:szCs w:val="30"/>
                      <w:highlight w:val="none"/>
                    </w:rPr>
                    <w:t>kW</w:t>
                  </w:r>
                  <w:r>
                    <w:rPr>
                      <w:rFonts w:hint="eastAsia" w:ascii="Times New Roman" w:hAnsi="Times New Roman" w:eastAsia="宋体" w:cs="Times New Roman"/>
                      <w:color w:val="auto"/>
                      <w:szCs w:val="30"/>
                      <w:highlight w:val="none"/>
                      <w:lang w:eastAsia="zh-CN"/>
                    </w:rPr>
                    <w:t>，</w:t>
                  </w:r>
                  <w:r>
                    <w:rPr>
                      <w:rFonts w:hint="eastAsia" w:ascii="Times New Roman" w:hAnsi="Times New Roman" w:eastAsia="宋体" w:cs="Times New Roman"/>
                      <w:color w:val="auto"/>
                      <w:szCs w:val="30"/>
                      <w:highlight w:val="none"/>
                      <w:lang w:val="en-US" w:eastAsia="zh-CN"/>
                    </w:rPr>
                    <w:t>变频</w:t>
                  </w:r>
                </w:p>
              </w:tc>
              <w:tc>
                <w:tcPr>
                  <w:tcW w:w="730" w:type="pct"/>
                  <w:noWrap w:val="0"/>
                  <w:vAlign w:val="center"/>
                </w:tcPr>
                <w:p w14:paraId="0A284C2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szCs w:val="21"/>
                      <w:highlight w:val="none"/>
                      <w:lang w:val="en-US" w:eastAsia="zh-CN"/>
                    </w:rPr>
                  </w:pPr>
                  <w:r>
                    <w:rPr>
                      <w:rFonts w:hint="eastAsia" w:ascii="Times New Roman" w:hAnsi="Times New Roman" w:eastAsia="宋体" w:cs="Times New Roman"/>
                      <w:strike w:val="0"/>
                      <w:dstrike w:val="0"/>
                      <w:color w:val="auto"/>
                      <w:szCs w:val="21"/>
                      <w:highlight w:val="none"/>
                      <w:lang w:val="en-US" w:eastAsia="zh-CN"/>
                    </w:rPr>
                    <w:t>2台（1用1备）</w:t>
                  </w:r>
                </w:p>
              </w:tc>
              <w:tc>
                <w:tcPr>
                  <w:tcW w:w="675" w:type="pct"/>
                  <w:noWrap w:val="0"/>
                  <w:vAlign w:val="center"/>
                </w:tcPr>
                <w:p w14:paraId="30335F50">
                  <w:pPr>
                    <w:keepNext w:val="0"/>
                    <w:keepLines w:val="0"/>
                    <w:suppressLineNumbers w:val="0"/>
                    <w:adjustRightInd w:val="0"/>
                    <w:snapToGrid w:val="0"/>
                    <w:spacing w:before="0" w:beforeAutospacing="0" w:after="0" w:afterAutospacing="0"/>
                    <w:ind w:left="0" w:right="0"/>
                    <w:jc w:val="center"/>
                    <w:rPr>
                      <w:rFonts w:hint="eastAsia" w:cs="Times New Roman"/>
                      <w:strike w:val="0"/>
                      <w:dstrike w:val="0"/>
                      <w:color w:val="auto"/>
                      <w:szCs w:val="21"/>
                      <w:highlight w:val="none"/>
                      <w:lang w:eastAsia="zh-CN"/>
                    </w:rPr>
                  </w:pPr>
                  <w:r>
                    <w:rPr>
                      <w:rFonts w:hint="eastAsia" w:cs="Times New Roman"/>
                      <w:strike w:val="0"/>
                      <w:dstrike w:val="0"/>
                      <w:color w:val="auto"/>
                      <w:szCs w:val="21"/>
                      <w:highlight w:val="none"/>
                      <w:lang w:eastAsia="zh-CN"/>
                    </w:rPr>
                    <w:t>更换</w:t>
                  </w:r>
                </w:p>
              </w:tc>
            </w:tr>
            <w:tr w14:paraId="2925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3" w:type="pct"/>
                  <w:noWrap w:val="0"/>
                  <w:vAlign w:val="center"/>
                </w:tcPr>
                <w:p w14:paraId="4BFBB59E">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szCs w:val="21"/>
                      <w:highlight w:val="none"/>
                      <w:lang w:eastAsia="zh-CN"/>
                    </w:rPr>
                  </w:pPr>
                  <w:r>
                    <w:rPr>
                      <w:rFonts w:hint="eastAsia" w:cs="Times New Roman"/>
                      <w:color w:val="auto"/>
                      <w:szCs w:val="21"/>
                      <w:highlight w:val="none"/>
                      <w:lang w:val="en-US" w:eastAsia="zh-CN"/>
                    </w:rPr>
                    <w:t>5</w:t>
                  </w:r>
                </w:p>
              </w:tc>
              <w:tc>
                <w:tcPr>
                  <w:tcW w:w="542" w:type="pct"/>
                  <w:noWrap w:val="0"/>
                  <w:vAlign w:val="center"/>
                </w:tcPr>
                <w:p w14:paraId="0BD671E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rPr>
                  </w:pPr>
                  <w:r>
                    <w:rPr>
                      <w:rFonts w:hint="eastAsia" w:ascii="Times New Roman" w:hAnsi="Times New Roman" w:eastAsia="宋体" w:cs="Times New Roman"/>
                      <w:color w:val="auto"/>
                      <w:szCs w:val="30"/>
                      <w:highlight w:val="none"/>
                    </w:rPr>
                    <w:t>冷水泵</w:t>
                  </w:r>
                </w:p>
              </w:tc>
              <w:tc>
                <w:tcPr>
                  <w:tcW w:w="937" w:type="pct"/>
                  <w:noWrap w:val="0"/>
                  <w:vAlign w:val="center"/>
                </w:tcPr>
                <w:p w14:paraId="71EF8928">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highlight w:val="none"/>
                      <w:lang w:eastAsia="zh-CN"/>
                    </w:rPr>
                  </w:pPr>
                  <w:r>
                    <w:rPr>
                      <w:rFonts w:hint="eastAsia" w:ascii="Times New Roman" w:hAnsi="Times New Roman" w:eastAsia="宋体" w:cs="Times New Roman"/>
                      <w:color w:val="auto"/>
                      <w:szCs w:val="30"/>
                      <w:highlight w:val="none"/>
                    </w:rPr>
                    <w:t>Q=</w:t>
                  </w:r>
                  <w:r>
                    <w:rPr>
                      <w:rFonts w:hint="eastAsia" w:ascii="Times New Roman" w:hAnsi="Times New Roman" w:eastAsia="宋体" w:cs="Times New Roman"/>
                      <w:color w:val="auto"/>
                      <w:szCs w:val="30"/>
                      <w:highlight w:val="none"/>
                      <w:lang w:val="en-US" w:eastAsia="zh-CN"/>
                    </w:rPr>
                    <w:t>100</w:t>
                  </w:r>
                  <w:r>
                    <w:rPr>
                      <w:rFonts w:hint="eastAsia" w:ascii="Times New Roman" w:hAnsi="Times New Roman" w:eastAsia="宋体" w:cs="Times New Roman"/>
                      <w:color w:val="auto"/>
                      <w:szCs w:val="30"/>
                      <w:highlight w:val="none"/>
                    </w:rPr>
                    <w:t>m</w:t>
                  </w:r>
                  <w:r>
                    <w:rPr>
                      <w:rFonts w:hint="eastAsia" w:ascii="Times New Roman" w:hAnsi="Times New Roman" w:eastAsia="宋体" w:cs="Times New Roman"/>
                      <w:color w:val="auto"/>
                      <w:szCs w:val="30"/>
                      <w:highlight w:val="none"/>
                      <w:vertAlign w:val="superscript"/>
                    </w:rPr>
                    <w:t>3</w:t>
                  </w:r>
                  <w:r>
                    <w:rPr>
                      <w:rFonts w:hint="eastAsia" w:ascii="Times New Roman" w:hAnsi="Times New Roman" w:eastAsia="宋体" w:cs="Times New Roman"/>
                      <w:color w:val="auto"/>
                      <w:szCs w:val="30"/>
                      <w:highlight w:val="none"/>
                    </w:rPr>
                    <w:t>/h</w:t>
                  </w:r>
                  <w:r>
                    <w:rPr>
                      <w:rFonts w:hint="eastAsia" w:ascii="Times New Roman" w:hAnsi="Times New Roman" w:eastAsia="宋体" w:cs="Times New Roman"/>
                      <w:color w:val="auto"/>
                      <w:szCs w:val="30"/>
                      <w:highlight w:val="none"/>
                      <w:lang w:eastAsia="zh-CN"/>
                    </w:rPr>
                    <w:t>；</w:t>
                  </w:r>
                  <w:r>
                    <w:rPr>
                      <w:rFonts w:hint="eastAsia" w:cs="Times New Roman"/>
                      <w:color w:val="auto"/>
                      <w:highlight w:val="none"/>
                    </w:rPr>
                    <w:t>功率15kW</w:t>
                  </w:r>
                </w:p>
              </w:tc>
              <w:tc>
                <w:tcPr>
                  <w:tcW w:w="542" w:type="pct"/>
                  <w:noWrap w:val="0"/>
                  <w:vAlign w:val="center"/>
                </w:tcPr>
                <w:p w14:paraId="7DB7D066">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rPr>
                  </w:pPr>
                  <w:r>
                    <w:rPr>
                      <w:rFonts w:hint="eastAsia" w:ascii="Times New Roman" w:hAnsi="Times New Roman" w:eastAsia="宋体" w:cs="Times New Roman"/>
                      <w:strike w:val="0"/>
                      <w:dstrike w:val="0"/>
                      <w:color w:val="auto"/>
                      <w:szCs w:val="21"/>
                      <w:highlight w:val="none"/>
                      <w:lang w:val="en-US" w:eastAsia="zh-CN"/>
                    </w:rPr>
                    <w:t>2台</w:t>
                  </w:r>
                </w:p>
              </w:tc>
              <w:tc>
                <w:tcPr>
                  <w:tcW w:w="1189" w:type="pct"/>
                  <w:noWrap w:val="0"/>
                  <w:vAlign w:val="center"/>
                </w:tcPr>
                <w:p w14:paraId="0FBAD1A1">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highlight w:val="none"/>
                      <w:lang w:val="en-US" w:eastAsia="zh-CN"/>
                    </w:rPr>
                  </w:pPr>
                  <w:r>
                    <w:rPr>
                      <w:rFonts w:hint="eastAsia" w:ascii="Times New Roman" w:hAnsi="Times New Roman" w:eastAsia="宋体" w:cs="Times New Roman"/>
                      <w:color w:val="auto"/>
                      <w:szCs w:val="30"/>
                      <w:highlight w:val="none"/>
                    </w:rPr>
                    <w:t>Q=</w:t>
                  </w:r>
                  <w:r>
                    <w:rPr>
                      <w:rFonts w:hint="eastAsia" w:ascii="Times New Roman" w:hAnsi="Times New Roman" w:eastAsia="宋体" w:cs="Times New Roman"/>
                      <w:color w:val="auto"/>
                      <w:szCs w:val="30"/>
                      <w:highlight w:val="none"/>
                      <w:lang w:val="en-US" w:eastAsia="zh-CN"/>
                    </w:rPr>
                    <w:t>200</w:t>
                  </w:r>
                  <w:r>
                    <w:rPr>
                      <w:rFonts w:hint="eastAsia" w:ascii="Times New Roman" w:hAnsi="Times New Roman" w:eastAsia="宋体" w:cs="Times New Roman"/>
                      <w:color w:val="auto"/>
                      <w:szCs w:val="30"/>
                      <w:highlight w:val="none"/>
                    </w:rPr>
                    <w:t>m</w:t>
                  </w:r>
                  <w:r>
                    <w:rPr>
                      <w:rFonts w:hint="eastAsia" w:ascii="Times New Roman" w:hAnsi="Times New Roman" w:eastAsia="宋体" w:cs="Times New Roman"/>
                      <w:color w:val="auto"/>
                      <w:szCs w:val="30"/>
                      <w:highlight w:val="none"/>
                      <w:vertAlign w:val="superscript"/>
                    </w:rPr>
                    <w:t>3</w:t>
                  </w:r>
                  <w:r>
                    <w:rPr>
                      <w:rFonts w:hint="eastAsia" w:ascii="Times New Roman" w:hAnsi="Times New Roman" w:eastAsia="宋体" w:cs="Times New Roman"/>
                      <w:color w:val="auto"/>
                      <w:szCs w:val="30"/>
                      <w:highlight w:val="none"/>
                    </w:rPr>
                    <w:t>/h，扬程功率</w:t>
                  </w:r>
                  <w:r>
                    <w:rPr>
                      <w:rFonts w:hint="eastAsia" w:ascii="Times New Roman" w:hAnsi="Times New Roman" w:eastAsia="宋体" w:cs="Times New Roman"/>
                      <w:color w:val="auto"/>
                      <w:szCs w:val="30"/>
                      <w:highlight w:val="none"/>
                      <w:lang w:val="en-US" w:eastAsia="zh-CN"/>
                    </w:rPr>
                    <w:t>30</w:t>
                  </w:r>
                  <w:r>
                    <w:rPr>
                      <w:rFonts w:hint="eastAsia" w:ascii="Times New Roman" w:hAnsi="Times New Roman" w:eastAsia="宋体" w:cs="Times New Roman"/>
                      <w:color w:val="auto"/>
                      <w:szCs w:val="30"/>
                      <w:highlight w:val="none"/>
                    </w:rPr>
                    <w:t>kW</w:t>
                  </w:r>
                  <w:r>
                    <w:rPr>
                      <w:rFonts w:hint="eastAsia" w:ascii="Times New Roman" w:hAnsi="Times New Roman" w:eastAsia="宋体" w:cs="Times New Roman"/>
                      <w:color w:val="auto"/>
                      <w:szCs w:val="30"/>
                      <w:highlight w:val="none"/>
                      <w:lang w:eastAsia="zh-CN"/>
                    </w:rPr>
                    <w:t>，</w:t>
                  </w:r>
                  <w:r>
                    <w:rPr>
                      <w:rFonts w:hint="eastAsia" w:ascii="Times New Roman" w:hAnsi="Times New Roman" w:eastAsia="宋体" w:cs="Times New Roman"/>
                      <w:color w:val="auto"/>
                      <w:szCs w:val="30"/>
                      <w:highlight w:val="none"/>
                      <w:lang w:val="en-US" w:eastAsia="zh-CN"/>
                    </w:rPr>
                    <w:t>变频</w:t>
                  </w:r>
                </w:p>
              </w:tc>
              <w:tc>
                <w:tcPr>
                  <w:tcW w:w="730" w:type="pct"/>
                  <w:noWrap w:val="0"/>
                  <w:vAlign w:val="center"/>
                </w:tcPr>
                <w:p w14:paraId="793218D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szCs w:val="21"/>
                      <w:highlight w:val="none"/>
                      <w:lang w:val="en-US" w:eastAsia="zh-CN"/>
                    </w:rPr>
                  </w:pPr>
                  <w:r>
                    <w:rPr>
                      <w:rFonts w:hint="eastAsia" w:ascii="Times New Roman" w:hAnsi="Times New Roman" w:eastAsia="宋体" w:cs="Times New Roman"/>
                      <w:strike w:val="0"/>
                      <w:dstrike w:val="0"/>
                      <w:color w:val="auto"/>
                      <w:szCs w:val="21"/>
                      <w:highlight w:val="none"/>
                      <w:lang w:val="en-US" w:eastAsia="zh-CN"/>
                    </w:rPr>
                    <w:t>2台</w:t>
                  </w:r>
                </w:p>
              </w:tc>
              <w:tc>
                <w:tcPr>
                  <w:tcW w:w="675" w:type="pct"/>
                  <w:noWrap w:val="0"/>
                  <w:vAlign w:val="center"/>
                </w:tcPr>
                <w:p w14:paraId="22203686">
                  <w:pPr>
                    <w:keepNext w:val="0"/>
                    <w:keepLines w:val="0"/>
                    <w:suppressLineNumbers w:val="0"/>
                    <w:adjustRightInd w:val="0"/>
                    <w:snapToGrid w:val="0"/>
                    <w:spacing w:before="0" w:beforeAutospacing="0" w:after="0" w:afterAutospacing="0"/>
                    <w:ind w:left="0" w:right="0"/>
                    <w:jc w:val="center"/>
                    <w:rPr>
                      <w:rFonts w:hint="eastAsia" w:cs="Times New Roman"/>
                      <w:strike w:val="0"/>
                      <w:dstrike w:val="0"/>
                      <w:color w:val="auto"/>
                      <w:szCs w:val="21"/>
                      <w:highlight w:val="none"/>
                      <w:lang w:eastAsia="zh-CN"/>
                    </w:rPr>
                  </w:pPr>
                  <w:r>
                    <w:rPr>
                      <w:rFonts w:hint="eastAsia" w:cs="Times New Roman"/>
                      <w:strike w:val="0"/>
                      <w:dstrike w:val="0"/>
                      <w:color w:val="auto"/>
                      <w:szCs w:val="21"/>
                      <w:highlight w:val="none"/>
                      <w:lang w:eastAsia="zh-CN"/>
                    </w:rPr>
                    <w:t>更换</w:t>
                  </w:r>
                </w:p>
              </w:tc>
            </w:tr>
            <w:tr w14:paraId="580C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83" w:type="pct"/>
                  <w:noWrap w:val="0"/>
                  <w:vAlign w:val="center"/>
                </w:tcPr>
                <w:p w14:paraId="75C3D99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6</w:t>
                  </w:r>
                </w:p>
              </w:tc>
              <w:tc>
                <w:tcPr>
                  <w:tcW w:w="542" w:type="pct"/>
                  <w:noWrap w:val="0"/>
                  <w:vAlign w:val="center"/>
                </w:tcPr>
                <w:p w14:paraId="68C5C7ED">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rPr>
                  </w:pPr>
                  <w:r>
                    <w:rPr>
                      <w:rFonts w:hint="eastAsia" w:ascii="Times New Roman" w:hAnsi="Times New Roman" w:eastAsia="宋体" w:cs="Times New Roman"/>
                      <w:color w:val="auto"/>
                      <w:szCs w:val="30"/>
                      <w:highlight w:val="none"/>
                    </w:rPr>
                    <w:t>冷水泵</w:t>
                  </w:r>
                </w:p>
              </w:tc>
              <w:tc>
                <w:tcPr>
                  <w:tcW w:w="937" w:type="pct"/>
                  <w:noWrap w:val="0"/>
                  <w:vAlign w:val="center"/>
                </w:tcPr>
                <w:p w14:paraId="2C19CD8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Q=</w:t>
                  </w:r>
                  <w:r>
                    <w:rPr>
                      <w:rFonts w:hint="eastAsia" w:ascii="Times New Roman" w:hAnsi="Times New Roman" w:eastAsia="宋体" w:cs="Times New Roman"/>
                      <w:color w:val="auto"/>
                      <w:szCs w:val="30"/>
                      <w:highlight w:val="none"/>
                      <w:lang w:val="en-US" w:eastAsia="zh-CN"/>
                    </w:rPr>
                    <w:t>200</w:t>
                  </w:r>
                  <w:r>
                    <w:rPr>
                      <w:rFonts w:hint="eastAsia" w:ascii="Times New Roman" w:hAnsi="Times New Roman" w:eastAsia="宋体" w:cs="Times New Roman"/>
                      <w:color w:val="auto"/>
                      <w:szCs w:val="30"/>
                      <w:highlight w:val="none"/>
                    </w:rPr>
                    <w:t>m</w:t>
                  </w:r>
                  <w:r>
                    <w:rPr>
                      <w:rFonts w:hint="eastAsia" w:ascii="Times New Roman" w:hAnsi="Times New Roman" w:eastAsia="宋体" w:cs="Times New Roman"/>
                      <w:color w:val="auto"/>
                      <w:szCs w:val="30"/>
                      <w:highlight w:val="none"/>
                      <w:vertAlign w:val="superscript"/>
                    </w:rPr>
                    <w:t>3</w:t>
                  </w:r>
                  <w:r>
                    <w:rPr>
                      <w:rFonts w:hint="eastAsia" w:ascii="Times New Roman" w:hAnsi="Times New Roman" w:eastAsia="宋体" w:cs="Times New Roman"/>
                      <w:color w:val="auto"/>
                      <w:szCs w:val="30"/>
                      <w:highlight w:val="none"/>
                    </w:rPr>
                    <w:t>/h</w:t>
                  </w:r>
                  <w:r>
                    <w:rPr>
                      <w:rFonts w:hint="eastAsia" w:ascii="Times New Roman" w:hAnsi="Times New Roman" w:eastAsia="宋体" w:cs="Times New Roman"/>
                      <w:color w:val="auto"/>
                      <w:szCs w:val="30"/>
                      <w:highlight w:val="none"/>
                      <w:lang w:eastAsia="zh-CN"/>
                    </w:rPr>
                    <w:t>；</w:t>
                  </w:r>
                  <w:r>
                    <w:rPr>
                      <w:rFonts w:hint="eastAsia" w:cs="Times New Roman"/>
                      <w:color w:val="auto"/>
                      <w:highlight w:val="none"/>
                    </w:rPr>
                    <w:t>功率22kW</w:t>
                  </w:r>
                </w:p>
              </w:tc>
              <w:tc>
                <w:tcPr>
                  <w:tcW w:w="542" w:type="pct"/>
                  <w:noWrap w:val="0"/>
                  <w:vAlign w:val="center"/>
                </w:tcPr>
                <w:p w14:paraId="110722E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szCs w:val="21"/>
                      <w:highlight w:val="none"/>
                      <w:lang w:val="en-US" w:eastAsia="zh-CN"/>
                    </w:rPr>
                  </w:pPr>
                  <w:r>
                    <w:rPr>
                      <w:rFonts w:hint="eastAsia" w:ascii="Times New Roman" w:hAnsi="Times New Roman" w:eastAsia="宋体" w:cs="Times New Roman"/>
                      <w:strike w:val="0"/>
                      <w:dstrike w:val="0"/>
                      <w:color w:val="auto"/>
                      <w:szCs w:val="21"/>
                      <w:highlight w:val="none"/>
                      <w:lang w:val="en-US" w:eastAsia="zh-CN"/>
                    </w:rPr>
                    <w:t>2台</w:t>
                  </w:r>
                </w:p>
              </w:tc>
              <w:tc>
                <w:tcPr>
                  <w:tcW w:w="1189" w:type="pct"/>
                  <w:noWrap w:val="0"/>
                  <w:vAlign w:val="center"/>
                </w:tcPr>
                <w:p w14:paraId="6E3D7E7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lang w:val="en-US" w:eastAsia="zh-CN"/>
                    </w:rPr>
                    <w:t>/</w:t>
                  </w:r>
                </w:p>
              </w:tc>
              <w:tc>
                <w:tcPr>
                  <w:tcW w:w="730" w:type="pct"/>
                  <w:noWrap w:val="0"/>
                  <w:vAlign w:val="center"/>
                </w:tcPr>
                <w:p w14:paraId="761E6A5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szCs w:val="21"/>
                      <w:highlight w:val="none"/>
                      <w:lang w:val="en-US" w:eastAsia="zh-CN"/>
                    </w:rPr>
                  </w:pPr>
                  <w:r>
                    <w:rPr>
                      <w:rFonts w:hint="eastAsia" w:ascii="Times New Roman" w:hAnsi="Times New Roman" w:eastAsia="宋体" w:cs="Times New Roman"/>
                      <w:strike w:val="0"/>
                      <w:dstrike w:val="0"/>
                      <w:color w:val="auto"/>
                      <w:szCs w:val="21"/>
                      <w:highlight w:val="none"/>
                      <w:lang w:val="en-US" w:eastAsia="zh-CN"/>
                    </w:rPr>
                    <w:t>/</w:t>
                  </w:r>
                </w:p>
              </w:tc>
              <w:tc>
                <w:tcPr>
                  <w:tcW w:w="675" w:type="pct"/>
                  <w:noWrap w:val="0"/>
                  <w:vAlign w:val="center"/>
                </w:tcPr>
                <w:p w14:paraId="5F5DFD08">
                  <w:pPr>
                    <w:keepNext w:val="0"/>
                    <w:keepLines w:val="0"/>
                    <w:suppressLineNumbers w:val="0"/>
                    <w:adjustRightInd w:val="0"/>
                    <w:snapToGrid w:val="0"/>
                    <w:spacing w:before="0" w:beforeAutospacing="0" w:after="0" w:afterAutospacing="0"/>
                    <w:ind w:left="0" w:right="0"/>
                    <w:jc w:val="center"/>
                    <w:rPr>
                      <w:rFonts w:hint="eastAsia" w:cs="Times New Roman"/>
                      <w:strike w:val="0"/>
                      <w:dstrike w:val="0"/>
                      <w:color w:val="auto"/>
                      <w:szCs w:val="21"/>
                      <w:highlight w:val="none"/>
                      <w:lang w:eastAsia="zh-CN"/>
                    </w:rPr>
                  </w:pPr>
                  <w:r>
                    <w:rPr>
                      <w:rFonts w:hint="eastAsia" w:cs="Times New Roman"/>
                      <w:strike w:val="0"/>
                      <w:dstrike w:val="0"/>
                      <w:color w:val="auto"/>
                      <w:kern w:val="2"/>
                      <w:sz w:val="21"/>
                      <w:szCs w:val="21"/>
                      <w:highlight w:val="none"/>
                      <w:lang w:val="en-US" w:eastAsia="zh-CN" w:bidi="ar-SA"/>
                    </w:rPr>
                    <w:t>维持不变</w:t>
                  </w:r>
                </w:p>
              </w:tc>
            </w:tr>
            <w:tr w14:paraId="78EB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83" w:type="pct"/>
                  <w:noWrap w:val="0"/>
                  <w:vAlign w:val="center"/>
                </w:tcPr>
                <w:p w14:paraId="229A7B2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7</w:t>
                  </w:r>
                </w:p>
              </w:tc>
              <w:tc>
                <w:tcPr>
                  <w:tcW w:w="542" w:type="pct"/>
                  <w:noWrap w:val="0"/>
                  <w:vAlign w:val="center"/>
                </w:tcPr>
                <w:p w14:paraId="01BF6003">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低温冷却塔</w:t>
                  </w:r>
                </w:p>
              </w:tc>
              <w:tc>
                <w:tcPr>
                  <w:tcW w:w="937" w:type="pct"/>
                  <w:noWrap w:val="0"/>
                  <w:vAlign w:val="center"/>
                </w:tcPr>
                <w:p w14:paraId="2F951724">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玻璃钢</w:t>
                  </w:r>
                  <w:r>
                    <w:rPr>
                      <w:rFonts w:hint="eastAsia" w:ascii="Times New Roman" w:hAnsi="Times New Roman" w:eastAsia="宋体" w:cs="Times New Roman"/>
                      <w:color w:val="auto"/>
                      <w:szCs w:val="30"/>
                      <w:highlight w:val="none"/>
                      <w:lang w:val="en-US" w:eastAsia="zh-CN"/>
                    </w:rPr>
                    <w:t>材质</w:t>
                  </w:r>
                  <w:r>
                    <w:rPr>
                      <w:rFonts w:hint="eastAsia" w:ascii="Times New Roman" w:hAnsi="Times New Roman" w:eastAsia="宋体" w:cs="Times New Roman"/>
                      <w:color w:val="auto"/>
                      <w:szCs w:val="30"/>
                      <w:highlight w:val="none"/>
                    </w:rPr>
                    <w:t>Q=</w:t>
                  </w:r>
                  <w:r>
                    <w:rPr>
                      <w:rFonts w:hint="eastAsia" w:ascii="Times New Roman" w:hAnsi="Times New Roman" w:eastAsia="宋体" w:cs="Times New Roman"/>
                      <w:color w:val="auto"/>
                      <w:szCs w:val="30"/>
                      <w:highlight w:val="none"/>
                      <w:lang w:val="en-US" w:eastAsia="zh-CN"/>
                    </w:rPr>
                    <w:t>360</w:t>
                  </w:r>
                  <w:r>
                    <w:rPr>
                      <w:rFonts w:hint="eastAsia" w:ascii="Times New Roman" w:hAnsi="Times New Roman" w:eastAsia="宋体" w:cs="Times New Roman"/>
                      <w:color w:val="auto"/>
                      <w:szCs w:val="30"/>
                      <w:highlight w:val="none"/>
                    </w:rPr>
                    <w:t>m</w:t>
                  </w:r>
                  <w:r>
                    <w:rPr>
                      <w:rFonts w:hint="eastAsia" w:ascii="Times New Roman" w:hAnsi="Times New Roman" w:eastAsia="宋体" w:cs="Times New Roman"/>
                      <w:color w:val="auto"/>
                      <w:szCs w:val="30"/>
                      <w:highlight w:val="none"/>
                      <w:vertAlign w:val="superscript"/>
                    </w:rPr>
                    <w:t>3</w:t>
                  </w:r>
                  <w:r>
                    <w:rPr>
                      <w:rFonts w:hint="eastAsia" w:ascii="Times New Roman" w:hAnsi="Times New Roman" w:eastAsia="宋体" w:cs="Times New Roman"/>
                      <w:color w:val="auto"/>
                      <w:szCs w:val="30"/>
                      <w:highlight w:val="none"/>
                    </w:rPr>
                    <w:t>/h</w:t>
                  </w:r>
                </w:p>
              </w:tc>
              <w:tc>
                <w:tcPr>
                  <w:tcW w:w="542" w:type="pct"/>
                  <w:noWrap w:val="0"/>
                  <w:vAlign w:val="center"/>
                </w:tcPr>
                <w:p w14:paraId="238F2D9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lang w:val="en-US" w:eastAsia="zh-CN"/>
                    </w:rPr>
                    <w:t>2套</w:t>
                  </w:r>
                </w:p>
                <w:p w14:paraId="6A2E25A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lang w:val="en-US" w:eastAsia="zh-CN"/>
                    </w:rPr>
                    <w:t>（1用1备）</w:t>
                  </w:r>
                </w:p>
              </w:tc>
              <w:tc>
                <w:tcPr>
                  <w:tcW w:w="1189" w:type="pct"/>
                  <w:noWrap w:val="0"/>
                  <w:vAlign w:val="center"/>
                </w:tcPr>
                <w:p w14:paraId="3333290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lang w:val="en-US" w:eastAsia="zh-CN"/>
                    </w:rPr>
                    <w:t>/</w:t>
                  </w:r>
                </w:p>
              </w:tc>
              <w:tc>
                <w:tcPr>
                  <w:tcW w:w="730" w:type="pct"/>
                  <w:noWrap w:val="0"/>
                  <w:vAlign w:val="center"/>
                </w:tcPr>
                <w:p w14:paraId="46831F0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lang w:val="en-US" w:eastAsia="zh-CN"/>
                    </w:rPr>
                    <w:t>/</w:t>
                  </w:r>
                </w:p>
              </w:tc>
              <w:tc>
                <w:tcPr>
                  <w:tcW w:w="675" w:type="pct"/>
                  <w:noWrap w:val="0"/>
                  <w:vAlign w:val="center"/>
                </w:tcPr>
                <w:p w14:paraId="44C1E4C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lang w:val="en-US" w:eastAsia="zh-CN"/>
                    </w:rPr>
                    <w:t>维持不变</w:t>
                  </w:r>
                </w:p>
              </w:tc>
            </w:tr>
            <w:tr w14:paraId="7301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83" w:type="pct"/>
                  <w:noWrap w:val="0"/>
                  <w:vAlign w:val="center"/>
                </w:tcPr>
                <w:p w14:paraId="7239806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default" w:cs="Times New Roman"/>
                      <w:color w:val="auto"/>
                      <w:szCs w:val="21"/>
                    </w:rPr>
                    <w:t>8</w:t>
                  </w:r>
                </w:p>
              </w:tc>
              <w:tc>
                <w:tcPr>
                  <w:tcW w:w="542" w:type="pct"/>
                  <w:noWrap w:val="0"/>
                  <w:vAlign w:val="center"/>
                </w:tcPr>
                <w:p w14:paraId="7E60A83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软化水装置</w:t>
                  </w:r>
                </w:p>
              </w:tc>
              <w:tc>
                <w:tcPr>
                  <w:tcW w:w="937" w:type="pct"/>
                  <w:noWrap w:val="0"/>
                  <w:vAlign w:val="center"/>
                </w:tcPr>
                <w:p w14:paraId="572845D6">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处理能力</w:t>
                  </w:r>
                  <w:r>
                    <w:rPr>
                      <w:rFonts w:hint="eastAsia" w:ascii="Times New Roman" w:hAnsi="Times New Roman" w:eastAsia="宋体" w:cs="Times New Roman"/>
                      <w:color w:val="auto"/>
                      <w:szCs w:val="30"/>
                      <w:highlight w:val="none"/>
                      <w:lang w:val="en-US" w:eastAsia="zh-CN"/>
                    </w:rPr>
                    <w:t>20</w:t>
                  </w:r>
                  <w:r>
                    <w:rPr>
                      <w:rFonts w:hint="eastAsia" w:ascii="Times New Roman" w:hAnsi="Times New Roman" w:eastAsia="宋体" w:cs="Times New Roman"/>
                      <w:color w:val="auto"/>
                      <w:szCs w:val="30"/>
                      <w:highlight w:val="none"/>
                    </w:rPr>
                    <w:t>m</w:t>
                  </w:r>
                  <w:r>
                    <w:rPr>
                      <w:rFonts w:hint="eastAsia" w:ascii="Times New Roman" w:hAnsi="Times New Roman" w:eastAsia="宋体" w:cs="Times New Roman"/>
                      <w:color w:val="auto"/>
                      <w:szCs w:val="30"/>
                      <w:highlight w:val="none"/>
                      <w:vertAlign w:val="superscript"/>
                    </w:rPr>
                    <w:t>3</w:t>
                  </w:r>
                  <w:r>
                    <w:rPr>
                      <w:rFonts w:hint="eastAsia" w:ascii="Times New Roman" w:hAnsi="Times New Roman" w:eastAsia="宋体" w:cs="Times New Roman"/>
                      <w:color w:val="auto"/>
                      <w:szCs w:val="30"/>
                      <w:highlight w:val="none"/>
                    </w:rPr>
                    <w:t>/h</w:t>
                  </w:r>
                </w:p>
              </w:tc>
              <w:tc>
                <w:tcPr>
                  <w:tcW w:w="542" w:type="pct"/>
                  <w:noWrap w:val="0"/>
                  <w:vAlign w:val="center"/>
                </w:tcPr>
                <w:p w14:paraId="758363B6">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2套</w:t>
                  </w:r>
                </w:p>
                <w:p w14:paraId="20C37A3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strike w:val="0"/>
                      <w:dstrike w:val="0"/>
                      <w:color w:val="auto"/>
                      <w:szCs w:val="21"/>
                      <w:lang w:val="en-US" w:eastAsia="zh-CN"/>
                    </w:rPr>
                    <w:t>（1用1备）</w:t>
                  </w:r>
                </w:p>
              </w:tc>
              <w:tc>
                <w:tcPr>
                  <w:tcW w:w="1189" w:type="pct"/>
                  <w:noWrap w:val="0"/>
                  <w:vAlign w:val="center"/>
                </w:tcPr>
                <w:p w14:paraId="15FA543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lang w:val="en-US" w:eastAsia="zh-CN"/>
                    </w:rPr>
                    <w:t>/</w:t>
                  </w:r>
                </w:p>
              </w:tc>
              <w:tc>
                <w:tcPr>
                  <w:tcW w:w="730" w:type="pct"/>
                  <w:noWrap w:val="0"/>
                  <w:vAlign w:val="center"/>
                </w:tcPr>
                <w:p w14:paraId="1605AE7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w:t>
                  </w:r>
                </w:p>
              </w:tc>
              <w:tc>
                <w:tcPr>
                  <w:tcW w:w="675" w:type="pct"/>
                  <w:noWrap w:val="0"/>
                  <w:vAlign w:val="center"/>
                </w:tcPr>
                <w:p w14:paraId="7883BF6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lang w:eastAsia="zh-CN"/>
                    </w:rPr>
                  </w:pPr>
                  <w:r>
                    <w:rPr>
                      <w:rFonts w:hint="eastAsia" w:cs="Times New Roman"/>
                      <w:strike w:val="0"/>
                      <w:dstrike w:val="0"/>
                      <w:color w:val="auto"/>
                      <w:kern w:val="2"/>
                      <w:sz w:val="21"/>
                      <w:szCs w:val="21"/>
                      <w:highlight w:val="none"/>
                      <w:lang w:val="en-US" w:eastAsia="zh-CN" w:bidi="ar-SA"/>
                    </w:rPr>
                    <w:t>维持不变</w:t>
                  </w:r>
                </w:p>
              </w:tc>
            </w:tr>
            <w:tr w14:paraId="24B9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83" w:type="pct"/>
                  <w:noWrap w:val="0"/>
                  <w:vAlign w:val="center"/>
                </w:tcPr>
                <w:p w14:paraId="1C0D7F41">
                  <w:pPr>
                    <w:keepNext w:val="0"/>
                    <w:keepLines w:val="0"/>
                    <w:suppressLineNumbers w:val="0"/>
                    <w:spacing w:before="0" w:beforeAutospacing="0" w:after="0" w:afterAutospacing="0"/>
                    <w:ind w:left="0" w:right="0"/>
                    <w:jc w:val="center"/>
                    <w:rPr>
                      <w:rFonts w:hint="default" w:eastAsia="宋体" w:cs="Times New Roman"/>
                      <w:color w:val="auto"/>
                      <w:szCs w:val="21"/>
                      <w:lang w:val="en-US" w:eastAsia="zh-CN"/>
                    </w:rPr>
                  </w:pPr>
                  <w:r>
                    <w:rPr>
                      <w:rFonts w:hint="eastAsia" w:eastAsia="宋体" w:cs="Times New Roman"/>
                      <w:color w:val="auto"/>
                      <w:szCs w:val="21"/>
                      <w:lang w:val="en-US" w:eastAsia="zh-CN"/>
                    </w:rPr>
                    <w:t>9</w:t>
                  </w:r>
                </w:p>
              </w:tc>
              <w:tc>
                <w:tcPr>
                  <w:tcW w:w="542" w:type="pct"/>
                  <w:noWrap w:val="0"/>
                  <w:vAlign w:val="center"/>
                </w:tcPr>
                <w:p w14:paraId="4F96C9B2">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lang w:eastAsia="zh-CN"/>
                    </w:rPr>
                    <w:t>高压开关柜</w:t>
                  </w:r>
                </w:p>
              </w:tc>
              <w:tc>
                <w:tcPr>
                  <w:tcW w:w="937" w:type="pct"/>
                  <w:noWrap w:val="0"/>
                  <w:vAlign w:val="center"/>
                </w:tcPr>
                <w:p w14:paraId="65CEF6A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中置式</w:t>
                  </w:r>
                </w:p>
              </w:tc>
              <w:tc>
                <w:tcPr>
                  <w:tcW w:w="542" w:type="pct"/>
                  <w:noWrap w:val="0"/>
                  <w:vAlign w:val="center"/>
                </w:tcPr>
                <w:p w14:paraId="7879FB6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1</w:t>
                  </w:r>
                  <w:r>
                    <w:rPr>
                      <w:rFonts w:hint="eastAsia" w:ascii="Times New Roman" w:hAnsi="Times New Roman" w:eastAsia="宋体" w:cs="Times New Roman"/>
                      <w:color w:val="auto"/>
                      <w:szCs w:val="30"/>
                      <w:highlight w:val="none"/>
                      <w:lang w:val="en-US" w:eastAsia="zh-CN"/>
                    </w:rPr>
                    <w:t>4</w:t>
                  </w:r>
                  <w:r>
                    <w:rPr>
                      <w:rFonts w:hint="eastAsia" w:ascii="Times New Roman" w:hAnsi="Times New Roman" w:eastAsia="宋体" w:cs="Times New Roman"/>
                      <w:color w:val="auto"/>
                      <w:szCs w:val="30"/>
                      <w:highlight w:val="none"/>
                    </w:rPr>
                    <w:t>台</w:t>
                  </w:r>
                </w:p>
              </w:tc>
              <w:tc>
                <w:tcPr>
                  <w:tcW w:w="1189" w:type="pct"/>
                  <w:noWrap w:val="0"/>
                  <w:vAlign w:val="center"/>
                </w:tcPr>
                <w:p w14:paraId="6A521E21">
                  <w:pPr>
                    <w:keepNext w:val="0"/>
                    <w:keepLines w:val="0"/>
                    <w:suppressLineNumbers w:val="0"/>
                    <w:adjustRightInd w:val="0"/>
                    <w:snapToGrid w:val="0"/>
                    <w:spacing w:before="0" w:beforeAutospacing="0" w:after="0" w:afterAutospacing="0"/>
                    <w:ind w:left="0" w:right="0"/>
                    <w:jc w:val="center"/>
                    <w:rPr>
                      <w:rFonts w:hint="default" w:cs="Times New Roman"/>
                      <w:color w:val="auto"/>
                      <w:lang w:val="en-US" w:eastAsia="zh-CN"/>
                    </w:rPr>
                  </w:pPr>
                  <w:r>
                    <w:rPr>
                      <w:rFonts w:hint="eastAsia" w:ascii="Times New Roman" w:hAnsi="Times New Roman" w:eastAsia="宋体" w:cs="Times New Roman"/>
                      <w:color w:val="auto"/>
                      <w:szCs w:val="30"/>
                      <w:highlight w:val="none"/>
                    </w:rPr>
                    <w:t>中置式</w:t>
                  </w:r>
                </w:p>
              </w:tc>
              <w:tc>
                <w:tcPr>
                  <w:tcW w:w="730" w:type="pct"/>
                  <w:noWrap w:val="0"/>
                  <w:vAlign w:val="center"/>
                </w:tcPr>
                <w:p w14:paraId="5F50205E">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color w:val="auto"/>
                      <w:szCs w:val="30"/>
                      <w:highlight w:val="none"/>
                      <w:lang w:val="en-US" w:eastAsia="zh-CN"/>
                    </w:rPr>
                    <w:t>2</w:t>
                  </w:r>
                  <w:r>
                    <w:rPr>
                      <w:rFonts w:hint="eastAsia" w:ascii="Times New Roman" w:hAnsi="Times New Roman" w:eastAsia="宋体" w:cs="Times New Roman"/>
                      <w:color w:val="auto"/>
                      <w:szCs w:val="30"/>
                      <w:highlight w:val="none"/>
                    </w:rPr>
                    <w:t>台</w:t>
                  </w:r>
                </w:p>
              </w:tc>
              <w:tc>
                <w:tcPr>
                  <w:tcW w:w="675" w:type="pct"/>
                  <w:noWrap w:val="0"/>
                  <w:vAlign w:val="center"/>
                </w:tcPr>
                <w:p w14:paraId="646188B9">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新增2台</w:t>
                  </w:r>
                </w:p>
              </w:tc>
            </w:tr>
            <w:tr w14:paraId="718F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83" w:type="pct"/>
                  <w:noWrap w:val="0"/>
                  <w:vAlign w:val="center"/>
                </w:tcPr>
                <w:p w14:paraId="377EAB36">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Cs w:val="21"/>
                      <w:lang w:val="en-US" w:eastAsia="zh-CN"/>
                    </w:rPr>
                  </w:pPr>
                  <w:r>
                    <w:rPr>
                      <w:rFonts w:hint="eastAsia" w:cs="Times New Roman"/>
                      <w:color w:val="auto"/>
                      <w:szCs w:val="21"/>
                      <w:lang w:val="en-US" w:eastAsia="zh-CN"/>
                    </w:rPr>
                    <w:t>10</w:t>
                  </w:r>
                </w:p>
              </w:tc>
              <w:tc>
                <w:tcPr>
                  <w:tcW w:w="542" w:type="pct"/>
                  <w:noWrap w:val="0"/>
                  <w:vAlign w:val="center"/>
                </w:tcPr>
                <w:p w14:paraId="68869500">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低压开关柜</w:t>
                  </w:r>
                </w:p>
              </w:tc>
              <w:tc>
                <w:tcPr>
                  <w:tcW w:w="937" w:type="pct"/>
                  <w:noWrap w:val="0"/>
                  <w:vAlign w:val="center"/>
                </w:tcPr>
                <w:p w14:paraId="36D8644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抽出式</w:t>
                  </w:r>
                </w:p>
              </w:tc>
              <w:tc>
                <w:tcPr>
                  <w:tcW w:w="542" w:type="pct"/>
                  <w:noWrap w:val="0"/>
                  <w:vAlign w:val="center"/>
                </w:tcPr>
                <w:p w14:paraId="066692D8">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5台</w:t>
                  </w:r>
                </w:p>
              </w:tc>
              <w:tc>
                <w:tcPr>
                  <w:tcW w:w="1189" w:type="pct"/>
                  <w:noWrap w:val="0"/>
                  <w:vAlign w:val="center"/>
                </w:tcPr>
                <w:p w14:paraId="4E3B8E6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rPr>
                    <w:t>抽出式</w:t>
                  </w:r>
                </w:p>
              </w:tc>
              <w:tc>
                <w:tcPr>
                  <w:tcW w:w="730" w:type="pct"/>
                  <w:noWrap w:val="0"/>
                  <w:vAlign w:val="center"/>
                </w:tcPr>
                <w:p w14:paraId="229EB12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1台</w:t>
                  </w:r>
                </w:p>
              </w:tc>
              <w:tc>
                <w:tcPr>
                  <w:tcW w:w="675" w:type="pct"/>
                  <w:noWrap w:val="0"/>
                  <w:vAlign w:val="center"/>
                </w:tcPr>
                <w:p w14:paraId="3DEA627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新增1台</w:t>
                  </w:r>
                </w:p>
              </w:tc>
            </w:tr>
            <w:tr w14:paraId="000AF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83" w:type="pct"/>
                  <w:noWrap w:val="0"/>
                  <w:vAlign w:val="center"/>
                </w:tcPr>
                <w:p w14:paraId="11BFF227">
                  <w:pPr>
                    <w:keepNext w:val="0"/>
                    <w:keepLines w:val="0"/>
                    <w:suppressLineNumbers w:val="0"/>
                    <w:spacing w:before="0" w:beforeAutospacing="0" w:after="0" w:afterAutospacing="0"/>
                    <w:ind w:left="0" w:right="0"/>
                    <w:jc w:val="center"/>
                    <w:rPr>
                      <w:rFonts w:hint="default" w:eastAsia="宋体" w:cs="Times New Roman"/>
                      <w:color w:val="auto"/>
                      <w:szCs w:val="21"/>
                      <w:lang w:val="en-US" w:eastAsia="zh-CN"/>
                    </w:rPr>
                  </w:pPr>
                  <w:r>
                    <w:rPr>
                      <w:rFonts w:hint="eastAsia" w:cs="Times New Roman"/>
                      <w:color w:val="auto"/>
                      <w:szCs w:val="21"/>
                      <w:lang w:val="en-US" w:eastAsia="zh-CN"/>
                    </w:rPr>
                    <w:t>11</w:t>
                  </w:r>
                </w:p>
              </w:tc>
              <w:tc>
                <w:tcPr>
                  <w:tcW w:w="542" w:type="pct"/>
                  <w:noWrap w:val="0"/>
                  <w:vAlign w:val="center"/>
                </w:tcPr>
                <w:p w14:paraId="198B3FB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干式变压器</w:t>
                  </w:r>
                </w:p>
              </w:tc>
              <w:tc>
                <w:tcPr>
                  <w:tcW w:w="937" w:type="pct"/>
                  <w:noWrap w:val="0"/>
                  <w:vAlign w:val="center"/>
                </w:tcPr>
                <w:p w14:paraId="21B3A49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额定容量</w:t>
                  </w:r>
                  <w:r>
                    <w:rPr>
                      <w:rFonts w:hint="eastAsia" w:ascii="Times New Roman" w:hAnsi="Times New Roman" w:eastAsia="宋体" w:cs="Times New Roman"/>
                      <w:color w:val="auto"/>
                      <w:szCs w:val="30"/>
                      <w:highlight w:val="none"/>
                      <w:lang w:val="en-US" w:eastAsia="zh-CN"/>
                    </w:rPr>
                    <w:t>315</w:t>
                  </w:r>
                  <w:r>
                    <w:rPr>
                      <w:rFonts w:hint="eastAsia" w:ascii="Times New Roman" w:hAnsi="Times New Roman" w:eastAsia="宋体" w:cs="Times New Roman"/>
                      <w:color w:val="auto"/>
                      <w:szCs w:val="30"/>
                      <w:highlight w:val="none"/>
                    </w:rPr>
                    <w:t>kVA</w:t>
                  </w:r>
                </w:p>
              </w:tc>
              <w:tc>
                <w:tcPr>
                  <w:tcW w:w="542" w:type="pct"/>
                  <w:noWrap w:val="0"/>
                  <w:vAlign w:val="center"/>
                </w:tcPr>
                <w:p w14:paraId="67C22E6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lang w:val="en-US" w:eastAsia="zh-CN"/>
                    </w:rPr>
                    <w:t>2台</w:t>
                  </w:r>
                </w:p>
              </w:tc>
              <w:tc>
                <w:tcPr>
                  <w:tcW w:w="1189" w:type="pct"/>
                  <w:noWrap w:val="0"/>
                  <w:vAlign w:val="center"/>
                </w:tcPr>
                <w:p w14:paraId="6B7AF4E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lang w:val="en-US" w:eastAsia="zh-CN"/>
                    </w:rPr>
                    <w:t>/</w:t>
                  </w:r>
                </w:p>
              </w:tc>
              <w:tc>
                <w:tcPr>
                  <w:tcW w:w="730" w:type="pct"/>
                  <w:noWrap w:val="0"/>
                  <w:vAlign w:val="center"/>
                </w:tcPr>
                <w:p w14:paraId="2C8C0AE3">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w:t>
                  </w:r>
                </w:p>
              </w:tc>
              <w:tc>
                <w:tcPr>
                  <w:tcW w:w="675" w:type="pct"/>
                  <w:noWrap w:val="0"/>
                  <w:vAlign w:val="center"/>
                </w:tcPr>
                <w:p w14:paraId="538FC359">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依托原有</w:t>
                  </w:r>
                </w:p>
              </w:tc>
            </w:tr>
            <w:tr w14:paraId="032C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83" w:type="pct"/>
                  <w:noWrap w:val="0"/>
                  <w:vAlign w:val="center"/>
                </w:tcPr>
                <w:p w14:paraId="7EB99C24">
                  <w:pPr>
                    <w:keepNext w:val="0"/>
                    <w:keepLines w:val="0"/>
                    <w:suppressLineNumbers w:val="0"/>
                    <w:spacing w:before="0" w:beforeAutospacing="0" w:after="0" w:afterAutospacing="0"/>
                    <w:ind w:left="0" w:right="0"/>
                    <w:jc w:val="center"/>
                    <w:rPr>
                      <w:rFonts w:hint="eastAsia" w:eastAsia="宋体" w:cs="Times New Roman"/>
                      <w:color w:val="auto"/>
                      <w:szCs w:val="21"/>
                      <w:lang w:eastAsia="zh-CN"/>
                    </w:rPr>
                  </w:pPr>
                  <w:r>
                    <w:rPr>
                      <w:rFonts w:hint="default" w:cs="Times New Roman"/>
                      <w:color w:val="auto"/>
                      <w:szCs w:val="21"/>
                    </w:rPr>
                    <w:t>1</w:t>
                  </w:r>
                  <w:r>
                    <w:rPr>
                      <w:rFonts w:hint="eastAsia" w:cs="Times New Roman"/>
                      <w:color w:val="auto"/>
                      <w:szCs w:val="21"/>
                      <w:lang w:val="en-US" w:eastAsia="zh-CN"/>
                    </w:rPr>
                    <w:t>2</w:t>
                  </w:r>
                </w:p>
              </w:tc>
              <w:tc>
                <w:tcPr>
                  <w:tcW w:w="542" w:type="pct"/>
                  <w:noWrap w:val="0"/>
                  <w:vAlign w:val="center"/>
                </w:tcPr>
                <w:p w14:paraId="5503F30D">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直流电源屏</w:t>
                  </w:r>
                </w:p>
              </w:tc>
              <w:tc>
                <w:tcPr>
                  <w:tcW w:w="937" w:type="pct"/>
                  <w:noWrap w:val="0"/>
                  <w:vAlign w:val="center"/>
                </w:tcPr>
                <w:p w14:paraId="5D0E99D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65AH</w:t>
                  </w:r>
                </w:p>
              </w:tc>
              <w:tc>
                <w:tcPr>
                  <w:tcW w:w="542" w:type="pct"/>
                  <w:noWrap w:val="0"/>
                  <w:vAlign w:val="center"/>
                </w:tcPr>
                <w:p w14:paraId="628EA3E8">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rPr>
                    <w:t>1套</w:t>
                  </w:r>
                </w:p>
              </w:tc>
              <w:tc>
                <w:tcPr>
                  <w:tcW w:w="1189" w:type="pct"/>
                  <w:noWrap w:val="0"/>
                  <w:vAlign w:val="center"/>
                </w:tcPr>
                <w:p w14:paraId="43FE1B08">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lang w:val="en-US" w:eastAsia="zh-CN"/>
                    </w:rPr>
                    <w:t>/</w:t>
                  </w:r>
                </w:p>
              </w:tc>
              <w:tc>
                <w:tcPr>
                  <w:tcW w:w="730" w:type="pct"/>
                  <w:noWrap w:val="0"/>
                  <w:vAlign w:val="center"/>
                </w:tcPr>
                <w:p w14:paraId="729F7C1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w:t>
                  </w:r>
                </w:p>
              </w:tc>
              <w:tc>
                <w:tcPr>
                  <w:tcW w:w="675" w:type="pct"/>
                  <w:noWrap w:val="0"/>
                  <w:vAlign w:val="center"/>
                </w:tcPr>
                <w:p w14:paraId="77AC441E">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依托原有</w:t>
                  </w:r>
                </w:p>
              </w:tc>
            </w:tr>
            <w:tr w14:paraId="105A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83" w:type="pct"/>
                  <w:noWrap w:val="0"/>
                  <w:vAlign w:val="center"/>
                </w:tcPr>
                <w:p w14:paraId="2E58EC42">
                  <w:pPr>
                    <w:keepNext w:val="0"/>
                    <w:keepLines w:val="0"/>
                    <w:suppressLineNumbers w:val="0"/>
                    <w:spacing w:before="0" w:beforeAutospacing="0" w:after="0" w:afterAutospacing="0"/>
                    <w:ind w:left="0" w:right="0"/>
                    <w:jc w:val="center"/>
                    <w:rPr>
                      <w:rFonts w:hint="default" w:eastAsia="宋体" w:cs="Times New Roman"/>
                      <w:color w:val="auto"/>
                      <w:szCs w:val="21"/>
                      <w:lang w:val="en-US" w:eastAsia="zh-CN"/>
                    </w:rPr>
                  </w:pPr>
                  <w:r>
                    <w:rPr>
                      <w:rFonts w:hint="eastAsia" w:cs="Times New Roman"/>
                      <w:color w:val="auto"/>
                      <w:szCs w:val="21"/>
                      <w:lang w:val="en-US" w:eastAsia="zh-CN"/>
                    </w:rPr>
                    <w:t>13</w:t>
                  </w:r>
                </w:p>
              </w:tc>
              <w:tc>
                <w:tcPr>
                  <w:tcW w:w="542" w:type="pct"/>
                  <w:noWrap w:val="0"/>
                  <w:vAlign w:val="center"/>
                </w:tcPr>
                <w:p w14:paraId="4716F57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lang w:val="en-US" w:eastAsia="zh-CN"/>
                    </w:rPr>
                    <w:t>瓦斯抽采监控系统</w:t>
                  </w:r>
                </w:p>
              </w:tc>
              <w:tc>
                <w:tcPr>
                  <w:tcW w:w="937" w:type="pct"/>
                  <w:noWrap w:val="0"/>
                  <w:vAlign w:val="center"/>
                </w:tcPr>
                <w:p w14:paraId="3444FED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30"/>
                      <w:highlight w:val="none"/>
                      <w:lang w:val="en-US" w:eastAsia="zh-CN"/>
                    </w:rPr>
                  </w:pPr>
                  <w:r>
                    <w:rPr>
                      <w:rFonts w:hint="eastAsia" w:ascii="Times New Roman" w:hAnsi="Times New Roman" w:eastAsia="宋体" w:cs="Times New Roman"/>
                      <w:color w:val="auto"/>
                      <w:szCs w:val="30"/>
                      <w:highlight w:val="none"/>
                      <w:lang w:val="en-US" w:eastAsia="zh-CN"/>
                    </w:rPr>
                    <w:t>/</w:t>
                  </w:r>
                </w:p>
              </w:tc>
              <w:tc>
                <w:tcPr>
                  <w:tcW w:w="542" w:type="pct"/>
                  <w:noWrap w:val="0"/>
                  <w:vAlign w:val="center"/>
                </w:tcPr>
                <w:p w14:paraId="07F12520">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rPr>
                    <w:t>1套</w:t>
                  </w:r>
                </w:p>
              </w:tc>
              <w:tc>
                <w:tcPr>
                  <w:tcW w:w="1189" w:type="pct"/>
                  <w:noWrap w:val="0"/>
                  <w:vAlign w:val="center"/>
                </w:tcPr>
                <w:p w14:paraId="734AF1A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30"/>
                      <w:highlight w:val="none"/>
                      <w:lang w:eastAsia="zh-CN"/>
                    </w:rPr>
                  </w:pPr>
                  <w:r>
                    <w:rPr>
                      <w:rFonts w:hint="eastAsia" w:ascii="Times New Roman" w:hAnsi="Times New Roman" w:eastAsia="宋体" w:cs="Times New Roman"/>
                      <w:color w:val="auto"/>
                      <w:szCs w:val="30"/>
                      <w:highlight w:val="none"/>
                      <w:lang w:val="en-US" w:eastAsia="zh-CN"/>
                    </w:rPr>
                    <w:t>新增1台PLC柜和各类传感器，并对控制软件进行升级</w:t>
                  </w:r>
                </w:p>
              </w:tc>
              <w:tc>
                <w:tcPr>
                  <w:tcW w:w="730" w:type="pct"/>
                  <w:noWrap w:val="0"/>
                  <w:vAlign w:val="center"/>
                </w:tcPr>
                <w:p w14:paraId="5A04D380">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1套</w:t>
                  </w:r>
                </w:p>
              </w:tc>
              <w:tc>
                <w:tcPr>
                  <w:tcW w:w="675" w:type="pct"/>
                  <w:noWrap w:val="0"/>
                  <w:vAlign w:val="center"/>
                </w:tcPr>
                <w:p w14:paraId="7B895DD6">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30"/>
                      <w:highlight w:val="none"/>
                      <w:lang w:val="en-US" w:eastAsia="zh-CN"/>
                    </w:rPr>
                    <w:t>新增</w:t>
                  </w:r>
                </w:p>
              </w:tc>
            </w:tr>
          </w:tbl>
          <w:p w14:paraId="5868CC6E">
            <w:pPr>
              <w:pStyle w:val="102"/>
              <w:keepNext w:val="0"/>
              <w:keepLines w:val="0"/>
              <w:suppressLineNumbers w:val="0"/>
              <w:spacing w:before="0" w:beforeAutospacing="0" w:after="0" w:afterAutospacing="0"/>
              <w:ind w:left="0" w:right="0" w:firstLine="482"/>
              <w:rPr>
                <w:rFonts w:hint="eastAsia" w:ascii="Times New Roman" w:hAnsi="Times New Roman" w:eastAsia="宋体" w:cs="Times New Roman"/>
                <w:color w:val="auto"/>
                <w:kern w:val="2"/>
                <w:szCs w:val="24"/>
                <w:lang w:val="en-US" w:eastAsia="zh-CN"/>
              </w:rPr>
            </w:pPr>
            <w:r>
              <w:rPr>
                <w:rFonts w:hint="eastAsia" w:ascii="Times New Roman" w:hAnsi="Times New Roman" w:eastAsia="宋体" w:cs="Times New Roman"/>
                <w:color w:val="auto"/>
                <w:kern w:val="2"/>
                <w:szCs w:val="24"/>
                <w:lang w:val="en-US" w:eastAsia="zh-CN"/>
              </w:rPr>
              <w:t>4、瓦斯赋存情况</w:t>
            </w:r>
          </w:p>
          <w:p w14:paraId="355B4540">
            <w:pPr>
              <w:pStyle w:val="102"/>
              <w:keepNext w:val="0"/>
              <w:keepLines w:val="0"/>
              <w:numPr>
                <w:ilvl w:val="0"/>
                <w:numId w:val="0"/>
              </w:numPr>
              <w:suppressLineNumbers w:val="0"/>
              <w:spacing w:before="0" w:beforeAutospacing="0" w:after="0" w:afterAutospacing="0"/>
              <w:ind w:left="0" w:right="0" w:firstLine="480" w:firstLineChars="200"/>
              <w:rPr>
                <w:rFonts w:hint="eastAsia" w:ascii="Times New Roman" w:hAnsi="Times New Roman" w:eastAsia="宋体" w:cs="Times New Roman"/>
                <w:b w:val="0"/>
                <w:bCs w:val="0"/>
                <w:color w:val="auto"/>
                <w:kern w:val="2"/>
                <w:sz w:val="24"/>
                <w:szCs w:val="24"/>
                <w:lang w:val="en-US" w:eastAsia="zh-CN" w:bidi="ar-SA"/>
              </w:rPr>
            </w:pPr>
            <w:bookmarkStart w:id="20" w:name="OLE_LINK66"/>
            <w:bookmarkStart w:id="21" w:name="OLE_LINK65"/>
            <w:r>
              <w:rPr>
                <w:rFonts w:hint="eastAsia" w:ascii="Times New Roman" w:hAnsi="Times New Roman" w:eastAsia="宋体" w:cs="Times New Roman"/>
                <w:b w:val="0"/>
                <w:bCs w:val="0"/>
                <w:color w:val="auto"/>
                <w:kern w:val="2"/>
                <w:sz w:val="24"/>
                <w:szCs w:val="24"/>
                <w:lang w:val="en-US" w:eastAsia="zh-CN" w:bidi="ar-SA"/>
              </w:rPr>
              <w:t>根据矿井采掘接替规划，未来 20 年矿井将维持 A、B 组煤两条线同步生产，</w:t>
            </w:r>
            <w:bookmarkStart w:id="22" w:name="OLE_LINK47"/>
            <w:bookmarkStart w:id="23" w:name="OLE_LINK52"/>
            <w:r>
              <w:rPr>
                <w:rFonts w:hint="eastAsia" w:ascii="Times New Roman" w:hAnsi="Times New Roman" w:eastAsia="宋体" w:cs="Times New Roman"/>
                <w:b w:val="0"/>
                <w:bCs w:val="0"/>
                <w:color w:val="auto"/>
                <w:kern w:val="2"/>
                <w:sz w:val="24"/>
                <w:szCs w:val="24"/>
                <w:lang w:val="en-US" w:eastAsia="zh-CN" w:bidi="ar-SA"/>
              </w:rPr>
              <w:t>随着采场进入突出危险区和二水平投产</w:t>
            </w:r>
            <w:bookmarkEnd w:id="22"/>
            <w:bookmarkEnd w:id="23"/>
            <w:r>
              <w:rPr>
                <w:rFonts w:hint="eastAsia" w:ascii="Times New Roman" w:hAnsi="Times New Roman" w:eastAsia="宋体" w:cs="Times New Roman"/>
                <w:b w:val="0"/>
                <w:bCs w:val="0"/>
                <w:color w:val="auto"/>
                <w:kern w:val="2"/>
                <w:sz w:val="24"/>
                <w:szCs w:val="24"/>
                <w:lang w:val="en-US" w:eastAsia="zh-CN" w:bidi="ar-SA"/>
              </w:rPr>
              <w:t>，矿井瓦斯涌出量将显著提高。</w:t>
            </w:r>
          </w:p>
          <w:p w14:paraId="7131A3FC">
            <w:pPr>
              <w:pStyle w:val="102"/>
              <w:keepNext w:val="0"/>
              <w:keepLines w:val="0"/>
              <w:numPr>
                <w:ilvl w:val="0"/>
                <w:numId w:val="0"/>
              </w:numPr>
              <w:suppressLineNumbers w:val="0"/>
              <w:spacing w:before="0" w:beforeAutospacing="0" w:after="0" w:afterAutospacing="0"/>
              <w:ind w:left="0" w:right="0"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矿井目前开采的1煤均位于无突出危险区，</w:t>
            </w:r>
            <w:bookmarkStart w:id="24" w:name="OLE_LINK42"/>
            <w:bookmarkStart w:id="25" w:name="OLE_LINK43"/>
            <w:r>
              <w:rPr>
                <w:rFonts w:hint="eastAsia" w:ascii="Times New Roman" w:hAnsi="Times New Roman" w:eastAsia="宋体" w:cs="Times New Roman"/>
                <w:b w:val="0"/>
                <w:bCs w:val="0"/>
                <w:color w:val="auto"/>
                <w:kern w:val="2"/>
                <w:sz w:val="24"/>
                <w:szCs w:val="24"/>
                <w:lang w:val="en-US" w:eastAsia="zh-CN" w:bidi="ar-SA"/>
              </w:rPr>
              <w:t>预计2029年6月</w:t>
            </w:r>
            <w:bookmarkEnd w:id="24"/>
            <w:bookmarkEnd w:id="25"/>
            <w:r>
              <w:rPr>
                <w:rFonts w:hint="eastAsia" w:ascii="Times New Roman" w:hAnsi="Times New Roman" w:eastAsia="宋体" w:cs="Times New Roman"/>
                <w:b w:val="0"/>
                <w:bCs w:val="0"/>
                <w:color w:val="auto"/>
                <w:kern w:val="2"/>
                <w:sz w:val="24"/>
                <w:szCs w:val="24"/>
                <w:lang w:val="en-US" w:eastAsia="zh-CN" w:bidi="ar-SA"/>
              </w:rPr>
              <w:t>，北一1煤将开采至-610m等高线以深，进入突出危险区，届时矿井将布置1个北一1煤下采区综采工作面、1 个一水平南一采区 6 煤综采工作面，配套 4 个煤巷综掘工作面；预计2033年6月二水平投产时，矿井将布置1个二水平南一1煤采区1煤综采工作面、1个一水平南一采区6煤综采工作面，配套4个煤巷综掘工作面。</w:t>
            </w:r>
          </w:p>
          <w:bookmarkEnd w:id="20"/>
          <w:bookmarkEnd w:id="21"/>
          <w:p w14:paraId="56ABF2F5">
            <w:pPr>
              <w:pStyle w:val="102"/>
              <w:keepNext w:val="0"/>
              <w:keepLines w:val="0"/>
              <w:numPr>
                <w:ilvl w:val="0"/>
                <w:numId w:val="0"/>
              </w:numPr>
              <w:suppressLineNumbers w:val="0"/>
              <w:spacing w:before="0" w:beforeAutospacing="0" w:after="0" w:afterAutospacing="0"/>
              <w:ind w:left="0" w:right="0"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针对上述两个时期的矿井瓦斯涌出量预测如下：</w:t>
            </w:r>
          </w:p>
          <w:p w14:paraId="6DA20BED">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 xml:space="preserve">  顾北煤矿瓦斯涌出量及抽采量预测汇总表</w:t>
            </w:r>
          </w:p>
          <w:tbl>
            <w:tblPr>
              <w:tblStyle w:val="28"/>
              <w:tblW w:w="4997" w:type="pct"/>
              <w:tblInd w:w="0" w:type="dxa"/>
              <w:tblLayout w:type="autofit"/>
              <w:tblCellMar>
                <w:top w:w="0" w:type="dxa"/>
                <w:left w:w="108" w:type="dxa"/>
                <w:bottom w:w="0" w:type="dxa"/>
                <w:right w:w="108" w:type="dxa"/>
              </w:tblCellMar>
            </w:tblPr>
            <w:tblGrid>
              <w:gridCol w:w="303"/>
              <w:gridCol w:w="1088"/>
              <w:gridCol w:w="530"/>
              <w:gridCol w:w="530"/>
              <w:gridCol w:w="530"/>
              <w:gridCol w:w="347"/>
              <w:gridCol w:w="530"/>
              <w:gridCol w:w="530"/>
              <w:gridCol w:w="347"/>
              <w:gridCol w:w="530"/>
              <w:gridCol w:w="530"/>
              <w:gridCol w:w="347"/>
              <w:gridCol w:w="530"/>
              <w:gridCol w:w="531"/>
              <w:gridCol w:w="531"/>
            </w:tblGrid>
            <w:tr w14:paraId="2BC9AB2C">
              <w:tblPrEx>
                <w:tblCellMar>
                  <w:top w:w="0" w:type="dxa"/>
                  <w:left w:w="108" w:type="dxa"/>
                  <w:bottom w:w="0" w:type="dxa"/>
                  <w:right w:w="108" w:type="dxa"/>
                </w:tblCellMar>
              </w:tblPrEx>
              <w:trPr>
                <w:trHeight w:val="285" w:hRule="atLeast"/>
              </w:trPr>
              <w:tc>
                <w:tcPr>
                  <w:tcW w:w="183" w:type="pct"/>
                  <w:vMerge w:val="restart"/>
                  <w:tcBorders>
                    <w:top w:val="single" w:color="auto" w:sz="4" w:space="0"/>
                    <w:left w:val="single" w:color="auto" w:sz="4" w:space="0"/>
                    <w:bottom w:val="single" w:color="auto" w:sz="4" w:space="0"/>
                    <w:right w:val="single" w:color="auto" w:sz="4" w:space="0"/>
                  </w:tcBorders>
                  <w:noWrap w:val="0"/>
                  <w:vAlign w:val="center"/>
                </w:tcPr>
                <w:p w14:paraId="6BD8F27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617" w:type="pct"/>
                  <w:vMerge w:val="restart"/>
                  <w:tcBorders>
                    <w:top w:val="single" w:color="auto" w:sz="4" w:space="0"/>
                    <w:left w:val="single" w:color="auto" w:sz="4" w:space="0"/>
                    <w:bottom w:val="single" w:color="auto" w:sz="4" w:space="0"/>
                    <w:right w:val="single" w:color="auto" w:sz="4" w:space="0"/>
                  </w:tcBorders>
                  <w:noWrap w:val="0"/>
                  <w:vAlign w:val="center"/>
                </w:tcPr>
                <w:p w14:paraId="66BD67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瓦斯涌出地点</w:t>
                  </w:r>
                </w:p>
              </w:tc>
              <w:tc>
                <w:tcPr>
                  <w:tcW w:w="310" w:type="pct"/>
                  <w:tcBorders>
                    <w:top w:val="single" w:color="auto" w:sz="4" w:space="0"/>
                    <w:left w:val="nil"/>
                    <w:bottom w:val="single" w:color="auto" w:sz="4" w:space="0"/>
                    <w:right w:val="single" w:color="auto" w:sz="4" w:space="0"/>
                  </w:tcBorders>
                  <w:noWrap w:val="0"/>
                  <w:vAlign w:val="center"/>
                </w:tcPr>
                <w:p w14:paraId="32CC5B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瓦斯涌出量</w:t>
                  </w:r>
                </w:p>
              </w:tc>
              <w:tc>
                <w:tcPr>
                  <w:tcW w:w="311" w:type="pct"/>
                  <w:vMerge w:val="restart"/>
                  <w:tcBorders>
                    <w:top w:val="single" w:color="auto" w:sz="4" w:space="0"/>
                    <w:left w:val="single" w:color="auto" w:sz="4" w:space="0"/>
                    <w:bottom w:val="single" w:color="auto" w:sz="4" w:space="0"/>
                    <w:right w:val="single" w:color="auto" w:sz="4" w:space="0"/>
                  </w:tcBorders>
                  <w:noWrap w:val="0"/>
                  <w:vAlign w:val="center"/>
                </w:tcPr>
                <w:p w14:paraId="58951D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风排瓦</w:t>
                  </w:r>
                </w:p>
                <w:p w14:paraId="293310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斯量(m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310" w:type="pct"/>
                  <w:vMerge w:val="restart"/>
                  <w:tcBorders>
                    <w:top w:val="single" w:color="auto" w:sz="4" w:space="0"/>
                    <w:left w:val="single" w:color="auto" w:sz="4" w:space="0"/>
                    <w:bottom w:val="single" w:color="auto" w:sz="4" w:space="0"/>
                    <w:right w:val="single" w:color="auto" w:sz="4" w:space="0"/>
                  </w:tcBorders>
                  <w:noWrap w:val="0"/>
                  <w:vAlign w:val="center"/>
                </w:tcPr>
                <w:p w14:paraId="7F1B57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井下抽采瓦斯量(m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2898" w:type="pct"/>
                  <w:gridSpan w:val="9"/>
                  <w:tcBorders>
                    <w:top w:val="single" w:color="auto" w:sz="4" w:space="0"/>
                    <w:left w:val="nil"/>
                    <w:bottom w:val="single" w:color="auto" w:sz="4" w:space="0"/>
                    <w:right w:val="single" w:color="auto" w:sz="4" w:space="0"/>
                  </w:tcBorders>
                  <w:noWrap/>
                  <w:vAlign w:val="center"/>
                </w:tcPr>
                <w:p w14:paraId="60D293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其中：分浓度、抽采量计算的混合量</w:t>
                  </w:r>
                </w:p>
              </w:tc>
              <w:tc>
                <w:tcPr>
                  <w:tcW w:w="368" w:type="pct"/>
                  <w:vMerge w:val="restart"/>
                  <w:tcBorders>
                    <w:top w:val="single" w:color="auto" w:sz="4" w:space="0"/>
                    <w:left w:val="single" w:color="auto" w:sz="4" w:space="0"/>
                    <w:bottom w:val="single" w:color="auto" w:sz="4" w:space="0"/>
                    <w:right w:val="single" w:color="auto" w:sz="4" w:space="0"/>
                  </w:tcBorders>
                  <w:noWrap w:val="0"/>
                  <w:vAlign w:val="center"/>
                </w:tcPr>
                <w:p w14:paraId="7E028E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井下瓦斯抽采混合量(m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r>
            <w:tr w14:paraId="35D86C95">
              <w:tblPrEx>
                <w:tblCellMar>
                  <w:top w:w="0" w:type="dxa"/>
                  <w:left w:w="108" w:type="dxa"/>
                  <w:bottom w:w="0" w:type="dxa"/>
                  <w:right w:w="108" w:type="dxa"/>
                </w:tblCellMar>
              </w:tblPrEx>
              <w:trPr>
                <w:trHeight w:val="450" w:hRule="atLeast"/>
              </w:trPr>
              <w:tc>
                <w:tcPr>
                  <w:tcW w:w="183" w:type="pct"/>
                  <w:vMerge w:val="continue"/>
                  <w:tcBorders>
                    <w:top w:val="single" w:color="auto" w:sz="4" w:space="0"/>
                    <w:left w:val="single" w:color="auto" w:sz="4" w:space="0"/>
                    <w:bottom w:val="single" w:color="auto" w:sz="4" w:space="0"/>
                    <w:right w:val="single" w:color="auto" w:sz="4" w:space="0"/>
                  </w:tcBorders>
                  <w:noWrap w:val="0"/>
                  <w:vAlign w:val="center"/>
                </w:tcPr>
                <w:p w14:paraId="436B3A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p>
              </w:tc>
              <w:tc>
                <w:tcPr>
                  <w:tcW w:w="617" w:type="pct"/>
                  <w:vMerge w:val="continue"/>
                  <w:tcBorders>
                    <w:top w:val="single" w:color="auto" w:sz="4" w:space="0"/>
                    <w:left w:val="single" w:color="auto" w:sz="4" w:space="0"/>
                    <w:bottom w:val="single" w:color="auto" w:sz="4" w:space="0"/>
                    <w:right w:val="single" w:color="auto" w:sz="4" w:space="0"/>
                  </w:tcBorders>
                  <w:noWrap w:val="0"/>
                  <w:vAlign w:val="center"/>
                </w:tcPr>
                <w:p w14:paraId="6C61A5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p>
              </w:tc>
              <w:tc>
                <w:tcPr>
                  <w:tcW w:w="310" w:type="pct"/>
                  <w:tcBorders>
                    <w:top w:val="nil"/>
                    <w:left w:val="nil"/>
                    <w:bottom w:val="single" w:color="auto" w:sz="4" w:space="0"/>
                    <w:right w:val="single" w:color="auto" w:sz="4" w:space="0"/>
                  </w:tcBorders>
                  <w:noWrap w:val="0"/>
                  <w:vAlign w:val="center"/>
                </w:tcPr>
                <w:p w14:paraId="495231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绝对量(m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311" w:type="pct"/>
                  <w:vMerge w:val="continue"/>
                  <w:tcBorders>
                    <w:top w:val="single" w:color="auto" w:sz="4" w:space="0"/>
                    <w:left w:val="single" w:color="auto" w:sz="4" w:space="0"/>
                    <w:bottom w:val="single" w:color="auto" w:sz="4" w:space="0"/>
                    <w:right w:val="single" w:color="auto" w:sz="4" w:space="0"/>
                  </w:tcBorders>
                  <w:noWrap w:val="0"/>
                  <w:vAlign w:val="center"/>
                </w:tcPr>
                <w:p w14:paraId="5F00E8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p>
              </w:tc>
              <w:tc>
                <w:tcPr>
                  <w:tcW w:w="310" w:type="pct"/>
                  <w:vMerge w:val="continue"/>
                  <w:tcBorders>
                    <w:top w:val="single" w:color="auto" w:sz="4" w:space="0"/>
                    <w:left w:val="single" w:color="auto" w:sz="4" w:space="0"/>
                    <w:bottom w:val="single" w:color="auto" w:sz="4" w:space="0"/>
                    <w:right w:val="single" w:color="auto" w:sz="4" w:space="0"/>
                  </w:tcBorders>
                  <w:noWrap w:val="0"/>
                  <w:vAlign w:val="center"/>
                </w:tcPr>
                <w:p w14:paraId="218958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p>
              </w:tc>
              <w:tc>
                <w:tcPr>
                  <w:tcW w:w="271" w:type="pct"/>
                  <w:tcBorders>
                    <w:top w:val="nil"/>
                    <w:left w:val="nil"/>
                    <w:bottom w:val="single" w:color="auto" w:sz="4" w:space="0"/>
                    <w:right w:val="single" w:color="auto" w:sz="4" w:space="0"/>
                  </w:tcBorders>
                  <w:noWrap w:val="0"/>
                  <w:vAlign w:val="center"/>
                </w:tcPr>
                <w:p w14:paraId="573CE0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浓度</w:t>
                  </w:r>
                  <w:r>
                    <w:rPr>
                      <w:rFonts w:hint="default" w:ascii="Times New Roman" w:hAnsi="Times New Roman" w:eastAsia="宋体" w:cs="Times New Roman"/>
                      <w:color w:val="auto"/>
                      <w:kern w:val="0"/>
                      <w:sz w:val="21"/>
                      <w:szCs w:val="21"/>
                    </w:rPr>
                    <w:br w:type="textWrapping"/>
                  </w:r>
                  <w:r>
                    <w:rPr>
                      <w:rFonts w:hint="default" w:ascii="Times New Roman" w:hAnsi="Times New Roman" w:eastAsia="宋体" w:cs="Times New Roman"/>
                      <w:color w:val="auto"/>
                      <w:kern w:val="0"/>
                      <w:sz w:val="21"/>
                      <w:szCs w:val="21"/>
                    </w:rPr>
                    <w:t>(%)</w:t>
                  </w:r>
                </w:p>
              </w:tc>
              <w:tc>
                <w:tcPr>
                  <w:tcW w:w="309" w:type="pct"/>
                  <w:tcBorders>
                    <w:top w:val="nil"/>
                    <w:left w:val="nil"/>
                    <w:bottom w:val="single" w:color="auto" w:sz="4" w:space="0"/>
                    <w:right w:val="single" w:color="auto" w:sz="4" w:space="0"/>
                  </w:tcBorders>
                  <w:noWrap w:val="0"/>
                  <w:vAlign w:val="center"/>
                </w:tcPr>
                <w:p w14:paraId="56DB28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抽采量(m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383" w:type="pct"/>
                  <w:tcBorders>
                    <w:top w:val="nil"/>
                    <w:left w:val="nil"/>
                    <w:bottom w:val="single" w:color="auto" w:sz="4" w:space="0"/>
                    <w:right w:val="single" w:color="auto" w:sz="4" w:space="0"/>
                  </w:tcBorders>
                  <w:noWrap w:val="0"/>
                  <w:vAlign w:val="center"/>
                </w:tcPr>
                <w:p w14:paraId="213791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抽采混合量(m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271" w:type="pct"/>
                  <w:tcBorders>
                    <w:top w:val="nil"/>
                    <w:left w:val="nil"/>
                    <w:bottom w:val="single" w:color="auto" w:sz="4" w:space="0"/>
                    <w:right w:val="single" w:color="auto" w:sz="4" w:space="0"/>
                  </w:tcBorders>
                  <w:noWrap w:val="0"/>
                  <w:vAlign w:val="center"/>
                </w:tcPr>
                <w:p w14:paraId="77CFAD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浓度</w:t>
                  </w:r>
                  <w:r>
                    <w:rPr>
                      <w:rFonts w:hint="default" w:ascii="Times New Roman" w:hAnsi="Times New Roman" w:eastAsia="宋体" w:cs="Times New Roman"/>
                      <w:color w:val="auto"/>
                      <w:kern w:val="0"/>
                      <w:sz w:val="21"/>
                      <w:szCs w:val="21"/>
                    </w:rPr>
                    <w:br w:type="textWrapping"/>
                  </w:r>
                  <w:r>
                    <w:rPr>
                      <w:rFonts w:hint="default" w:ascii="Times New Roman" w:hAnsi="Times New Roman" w:eastAsia="宋体" w:cs="Times New Roman"/>
                      <w:color w:val="auto"/>
                      <w:kern w:val="0"/>
                      <w:sz w:val="21"/>
                      <w:szCs w:val="21"/>
                    </w:rPr>
                    <w:t>(%)</w:t>
                  </w:r>
                </w:p>
              </w:tc>
              <w:tc>
                <w:tcPr>
                  <w:tcW w:w="308" w:type="pct"/>
                  <w:tcBorders>
                    <w:top w:val="nil"/>
                    <w:left w:val="nil"/>
                    <w:bottom w:val="single" w:color="auto" w:sz="4" w:space="0"/>
                    <w:right w:val="single" w:color="auto" w:sz="4" w:space="0"/>
                  </w:tcBorders>
                  <w:noWrap w:val="0"/>
                  <w:vAlign w:val="center"/>
                </w:tcPr>
                <w:p w14:paraId="29984A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抽采量(m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383" w:type="pct"/>
                  <w:tcBorders>
                    <w:top w:val="nil"/>
                    <w:left w:val="nil"/>
                    <w:bottom w:val="single" w:color="auto" w:sz="4" w:space="0"/>
                    <w:right w:val="single" w:color="auto" w:sz="4" w:space="0"/>
                  </w:tcBorders>
                  <w:noWrap w:val="0"/>
                  <w:vAlign w:val="center"/>
                </w:tcPr>
                <w:p w14:paraId="329F91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抽采混合量(m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271" w:type="pct"/>
                  <w:tcBorders>
                    <w:top w:val="nil"/>
                    <w:left w:val="nil"/>
                    <w:bottom w:val="single" w:color="auto" w:sz="4" w:space="0"/>
                    <w:right w:val="single" w:color="auto" w:sz="4" w:space="0"/>
                  </w:tcBorders>
                  <w:noWrap w:val="0"/>
                  <w:vAlign w:val="center"/>
                </w:tcPr>
                <w:p w14:paraId="0E9F2C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浓度</w:t>
                  </w:r>
                  <w:r>
                    <w:rPr>
                      <w:rFonts w:hint="default" w:ascii="Times New Roman" w:hAnsi="Times New Roman" w:eastAsia="宋体" w:cs="Times New Roman"/>
                      <w:color w:val="auto"/>
                      <w:kern w:val="0"/>
                      <w:sz w:val="21"/>
                      <w:szCs w:val="21"/>
                    </w:rPr>
                    <w:br w:type="textWrapping"/>
                  </w:r>
                  <w:r>
                    <w:rPr>
                      <w:rFonts w:hint="default" w:ascii="Times New Roman" w:hAnsi="Times New Roman" w:eastAsia="宋体" w:cs="Times New Roman"/>
                      <w:color w:val="auto"/>
                      <w:kern w:val="0"/>
                      <w:sz w:val="21"/>
                      <w:szCs w:val="21"/>
                    </w:rPr>
                    <w:t>(%)</w:t>
                  </w:r>
                </w:p>
              </w:tc>
              <w:tc>
                <w:tcPr>
                  <w:tcW w:w="309" w:type="pct"/>
                  <w:tcBorders>
                    <w:top w:val="nil"/>
                    <w:left w:val="nil"/>
                    <w:bottom w:val="single" w:color="auto" w:sz="4" w:space="0"/>
                    <w:right w:val="single" w:color="auto" w:sz="4" w:space="0"/>
                  </w:tcBorders>
                  <w:noWrap w:val="0"/>
                  <w:vAlign w:val="center"/>
                </w:tcPr>
                <w:p w14:paraId="444A26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抽采量(m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387" w:type="pct"/>
                  <w:tcBorders>
                    <w:top w:val="nil"/>
                    <w:left w:val="nil"/>
                    <w:bottom w:val="single" w:color="auto" w:sz="4" w:space="0"/>
                    <w:right w:val="single" w:color="auto" w:sz="4" w:space="0"/>
                  </w:tcBorders>
                  <w:noWrap w:val="0"/>
                  <w:vAlign w:val="center"/>
                </w:tcPr>
                <w:p w14:paraId="1BE368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抽采混合量(m</w:t>
                  </w:r>
                  <w:r>
                    <w:rPr>
                      <w:rFonts w:hint="default" w:ascii="Times New Roman" w:hAnsi="Times New Roman" w:eastAsia="宋体" w:cs="Times New Roman"/>
                      <w:color w:val="auto"/>
                      <w:kern w:val="0"/>
                      <w:sz w:val="21"/>
                      <w:szCs w:val="21"/>
                      <w:vertAlign w:val="superscript"/>
                    </w:rPr>
                    <w:t>3</w:t>
                  </w:r>
                  <w:r>
                    <w:rPr>
                      <w:rFonts w:hint="default" w:ascii="Times New Roman" w:hAnsi="Times New Roman" w:eastAsia="宋体" w:cs="Times New Roman"/>
                      <w:color w:val="auto"/>
                      <w:kern w:val="0"/>
                      <w:sz w:val="21"/>
                      <w:szCs w:val="21"/>
                    </w:rPr>
                    <w:t>/min)</w:t>
                  </w:r>
                </w:p>
              </w:tc>
              <w:tc>
                <w:tcPr>
                  <w:tcW w:w="368" w:type="pct"/>
                  <w:vMerge w:val="continue"/>
                  <w:tcBorders>
                    <w:top w:val="single" w:color="auto" w:sz="4" w:space="0"/>
                    <w:left w:val="single" w:color="auto" w:sz="4" w:space="0"/>
                    <w:bottom w:val="single" w:color="auto" w:sz="4" w:space="0"/>
                    <w:right w:val="single" w:color="auto" w:sz="4" w:space="0"/>
                  </w:tcBorders>
                  <w:noWrap w:val="0"/>
                  <w:vAlign w:val="center"/>
                </w:tcPr>
                <w:p w14:paraId="0126B2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p>
              </w:tc>
            </w:tr>
            <w:tr w14:paraId="0B6E5734">
              <w:tblPrEx>
                <w:tblCellMar>
                  <w:top w:w="0" w:type="dxa"/>
                  <w:left w:w="108" w:type="dxa"/>
                  <w:bottom w:w="0" w:type="dxa"/>
                  <w:right w:w="108" w:type="dxa"/>
                </w:tblCellMar>
              </w:tblPrEx>
              <w:trPr>
                <w:trHeight w:val="285" w:hRule="atLeast"/>
              </w:trPr>
              <w:tc>
                <w:tcPr>
                  <w:tcW w:w="5000" w:type="pct"/>
                  <w:gridSpan w:val="15"/>
                  <w:tcBorders>
                    <w:top w:val="nil"/>
                    <w:left w:val="single" w:color="auto" w:sz="4" w:space="0"/>
                    <w:bottom w:val="single" w:color="auto" w:sz="4" w:space="0"/>
                    <w:right w:val="single" w:color="auto" w:sz="4" w:space="0"/>
                  </w:tcBorders>
                  <w:noWrap/>
                  <w:vAlign w:val="bottom"/>
                </w:tcPr>
                <w:p w14:paraId="0DB52F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bookmarkStart w:id="26" w:name="OLE_LINK36" w:colFirst="0" w:colLast="64"/>
                  <w:bookmarkStart w:id="27" w:name="OLE_LINK37" w:colFirst="0" w:colLast="64"/>
                  <w:bookmarkStart w:id="28" w:name="_Hlk231285884"/>
                  <w:r>
                    <w:rPr>
                      <w:rFonts w:hint="default" w:ascii="Times New Roman" w:hAnsi="Times New Roman" w:eastAsia="宋体" w:cs="Times New Roman"/>
                      <w:color w:val="auto"/>
                      <w:kern w:val="0"/>
                      <w:sz w:val="21"/>
                      <w:szCs w:val="21"/>
                    </w:rPr>
                    <w:t>北一1煤-610m以深突出危险区工作面生产时</w:t>
                  </w:r>
                </w:p>
              </w:tc>
            </w:tr>
            <w:bookmarkEnd w:id="26"/>
            <w:bookmarkEnd w:id="27"/>
            <w:bookmarkEnd w:id="28"/>
            <w:tr w14:paraId="6F465656">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392377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 </w:t>
                  </w:r>
                </w:p>
              </w:tc>
              <w:tc>
                <w:tcPr>
                  <w:tcW w:w="617" w:type="pct"/>
                  <w:tcBorders>
                    <w:top w:val="nil"/>
                    <w:left w:val="nil"/>
                    <w:bottom w:val="single" w:color="auto" w:sz="4" w:space="0"/>
                    <w:right w:val="single" w:color="auto" w:sz="4" w:space="0"/>
                  </w:tcBorders>
                  <w:noWrap/>
                  <w:vAlign w:val="bottom"/>
                </w:tcPr>
                <w:p w14:paraId="3741C9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北一1煤深部工作面</w:t>
                  </w:r>
                </w:p>
              </w:tc>
              <w:tc>
                <w:tcPr>
                  <w:tcW w:w="310" w:type="pct"/>
                  <w:tcBorders>
                    <w:top w:val="nil"/>
                    <w:left w:val="nil"/>
                    <w:bottom w:val="single" w:color="auto" w:sz="4" w:space="0"/>
                    <w:right w:val="single" w:color="auto" w:sz="4" w:space="0"/>
                  </w:tcBorders>
                  <w:noWrap/>
                  <w:vAlign w:val="bottom"/>
                </w:tcPr>
                <w:p w14:paraId="0FD709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28.07 </w:t>
                  </w:r>
                </w:p>
              </w:tc>
              <w:tc>
                <w:tcPr>
                  <w:tcW w:w="311" w:type="pct"/>
                  <w:tcBorders>
                    <w:top w:val="nil"/>
                    <w:left w:val="nil"/>
                    <w:bottom w:val="single" w:color="auto" w:sz="4" w:space="0"/>
                    <w:right w:val="single" w:color="auto" w:sz="4" w:space="0"/>
                  </w:tcBorders>
                  <w:noWrap/>
                  <w:vAlign w:val="bottom"/>
                </w:tcPr>
                <w:p w14:paraId="221E58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7.20 </w:t>
                  </w:r>
                </w:p>
              </w:tc>
              <w:tc>
                <w:tcPr>
                  <w:tcW w:w="310" w:type="pct"/>
                  <w:tcBorders>
                    <w:top w:val="nil"/>
                    <w:left w:val="nil"/>
                    <w:bottom w:val="single" w:color="auto" w:sz="4" w:space="0"/>
                    <w:right w:val="single" w:color="auto" w:sz="4" w:space="0"/>
                  </w:tcBorders>
                  <w:noWrap/>
                  <w:vAlign w:val="bottom"/>
                </w:tcPr>
                <w:p w14:paraId="150C45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20.87 </w:t>
                  </w:r>
                </w:p>
              </w:tc>
              <w:tc>
                <w:tcPr>
                  <w:tcW w:w="271" w:type="pct"/>
                  <w:tcBorders>
                    <w:top w:val="nil"/>
                    <w:left w:val="nil"/>
                    <w:bottom w:val="single" w:color="auto" w:sz="4" w:space="0"/>
                    <w:right w:val="single" w:color="auto" w:sz="4" w:space="0"/>
                  </w:tcBorders>
                  <w:noWrap/>
                  <w:vAlign w:val="bottom"/>
                </w:tcPr>
                <w:p w14:paraId="316586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20 </w:t>
                  </w:r>
                </w:p>
              </w:tc>
              <w:tc>
                <w:tcPr>
                  <w:tcW w:w="309" w:type="pct"/>
                  <w:tcBorders>
                    <w:top w:val="nil"/>
                    <w:left w:val="nil"/>
                    <w:bottom w:val="single" w:color="auto" w:sz="4" w:space="0"/>
                    <w:right w:val="single" w:color="auto" w:sz="4" w:space="0"/>
                  </w:tcBorders>
                  <w:noWrap/>
                  <w:vAlign w:val="bottom"/>
                </w:tcPr>
                <w:p w14:paraId="7508E1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13.57 </w:t>
                  </w:r>
                </w:p>
              </w:tc>
              <w:tc>
                <w:tcPr>
                  <w:tcW w:w="383" w:type="pct"/>
                  <w:tcBorders>
                    <w:top w:val="nil"/>
                    <w:left w:val="nil"/>
                    <w:bottom w:val="single" w:color="auto" w:sz="4" w:space="0"/>
                    <w:right w:val="single" w:color="auto" w:sz="4" w:space="0"/>
                  </w:tcBorders>
                  <w:noWrap/>
                  <w:vAlign w:val="bottom"/>
                </w:tcPr>
                <w:p w14:paraId="5B236D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67.83 </w:t>
                  </w:r>
                </w:p>
              </w:tc>
              <w:tc>
                <w:tcPr>
                  <w:tcW w:w="271" w:type="pct"/>
                  <w:tcBorders>
                    <w:top w:val="nil"/>
                    <w:left w:val="nil"/>
                    <w:bottom w:val="single" w:color="auto" w:sz="4" w:space="0"/>
                    <w:right w:val="single" w:color="auto" w:sz="4" w:space="0"/>
                  </w:tcBorders>
                  <w:noWrap/>
                  <w:vAlign w:val="bottom"/>
                </w:tcPr>
                <w:p w14:paraId="34C7BB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10 </w:t>
                  </w:r>
                </w:p>
              </w:tc>
              <w:tc>
                <w:tcPr>
                  <w:tcW w:w="308" w:type="pct"/>
                  <w:tcBorders>
                    <w:top w:val="nil"/>
                    <w:left w:val="nil"/>
                    <w:bottom w:val="single" w:color="auto" w:sz="4" w:space="0"/>
                    <w:right w:val="single" w:color="auto" w:sz="4" w:space="0"/>
                  </w:tcBorders>
                  <w:noWrap/>
                  <w:vAlign w:val="bottom"/>
                </w:tcPr>
                <w:p w14:paraId="5BF490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4.17 </w:t>
                  </w:r>
                </w:p>
              </w:tc>
              <w:tc>
                <w:tcPr>
                  <w:tcW w:w="383" w:type="pct"/>
                  <w:tcBorders>
                    <w:top w:val="nil"/>
                    <w:left w:val="nil"/>
                    <w:bottom w:val="single" w:color="auto" w:sz="4" w:space="0"/>
                    <w:right w:val="single" w:color="auto" w:sz="4" w:space="0"/>
                  </w:tcBorders>
                  <w:noWrap/>
                  <w:vAlign w:val="bottom"/>
                </w:tcPr>
                <w:p w14:paraId="4314C3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41.74 </w:t>
                  </w:r>
                </w:p>
              </w:tc>
              <w:tc>
                <w:tcPr>
                  <w:tcW w:w="271" w:type="pct"/>
                  <w:tcBorders>
                    <w:top w:val="nil"/>
                    <w:left w:val="nil"/>
                    <w:bottom w:val="single" w:color="auto" w:sz="4" w:space="0"/>
                    <w:right w:val="single" w:color="auto" w:sz="4" w:space="0"/>
                  </w:tcBorders>
                  <w:noWrap/>
                  <w:vAlign w:val="bottom"/>
                </w:tcPr>
                <w:p w14:paraId="564FE8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 </w:t>
                  </w:r>
                </w:p>
              </w:tc>
              <w:tc>
                <w:tcPr>
                  <w:tcW w:w="309" w:type="pct"/>
                  <w:tcBorders>
                    <w:top w:val="nil"/>
                    <w:left w:val="nil"/>
                    <w:bottom w:val="single" w:color="auto" w:sz="4" w:space="0"/>
                    <w:right w:val="single" w:color="auto" w:sz="4" w:space="0"/>
                  </w:tcBorders>
                  <w:noWrap/>
                  <w:vAlign w:val="bottom"/>
                </w:tcPr>
                <w:p w14:paraId="7A318C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3.13 </w:t>
                  </w:r>
                </w:p>
              </w:tc>
              <w:tc>
                <w:tcPr>
                  <w:tcW w:w="387" w:type="pct"/>
                  <w:tcBorders>
                    <w:top w:val="nil"/>
                    <w:left w:val="nil"/>
                    <w:bottom w:val="single" w:color="auto" w:sz="4" w:space="0"/>
                    <w:right w:val="single" w:color="auto" w:sz="4" w:space="0"/>
                  </w:tcBorders>
                  <w:noWrap/>
                  <w:vAlign w:val="bottom"/>
                </w:tcPr>
                <w:p w14:paraId="49F4E0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104.35 </w:t>
                  </w:r>
                </w:p>
              </w:tc>
              <w:tc>
                <w:tcPr>
                  <w:tcW w:w="368" w:type="pct"/>
                  <w:tcBorders>
                    <w:top w:val="nil"/>
                    <w:left w:val="nil"/>
                    <w:bottom w:val="single" w:color="auto" w:sz="4" w:space="0"/>
                    <w:right w:val="single" w:color="auto" w:sz="4" w:space="0"/>
                  </w:tcBorders>
                  <w:noWrap/>
                  <w:vAlign w:val="bottom"/>
                </w:tcPr>
                <w:p w14:paraId="481FF1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213.92 </w:t>
                  </w:r>
                </w:p>
              </w:tc>
            </w:tr>
            <w:tr w14:paraId="1C756889">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578FF2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 </w:t>
                  </w:r>
                </w:p>
              </w:tc>
              <w:tc>
                <w:tcPr>
                  <w:tcW w:w="617" w:type="pct"/>
                  <w:tcBorders>
                    <w:top w:val="nil"/>
                    <w:left w:val="nil"/>
                    <w:bottom w:val="single" w:color="auto" w:sz="4" w:space="0"/>
                    <w:right w:val="single" w:color="auto" w:sz="4" w:space="0"/>
                  </w:tcBorders>
                  <w:noWrap/>
                  <w:vAlign w:val="bottom"/>
                </w:tcPr>
                <w:p w14:paraId="607568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一水平南一6煤工作面</w:t>
                  </w:r>
                </w:p>
              </w:tc>
              <w:tc>
                <w:tcPr>
                  <w:tcW w:w="310" w:type="pct"/>
                  <w:tcBorders>
                    <w:top w:val="nil"/>
                    <w:left w:val="nil"/>
                    <w:bottom w:val="single" w:color="auto" w:sz="4" w:space="0"/>
                    <w:right w:val="single" w:color="auto" w:sz="4" w:space="0"/>
                  </w:tcBorders>
                  <w:noWrap/>
                  <w:vAlign w:val="bottom"/>
                </w:tcPr>
                <w:p w14:paraId="6E186C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42.68 </w:t>
                  </w:r>
                </w:p>
              </w:tc>
              <w:tc>
                <w:tcPr>
                  <w:tcW w:w="311" w:type="pct"/>
                  <w:tcBorders>
                    <w:top w:val="nil"/>
                    <w:left w:val="nil"/>
                    <w:bottom w:val="single" w:color="auto" w:sz="4" w:space="0"/>
                    <w:right w:val="single" w:color="auto" w:sz="4" w:space="0"/>
                  </w:tcBorders>
                  <w:noWrap/>
                  <w:vAlign w:val="bottom"/>
                </w:tcPr>
                <w:p w14:paraId="11F408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7.20 </w:t>
                  </w:r>
                </w:p>
              </w:tc>
              <w:tc>
                <w:tcPr>
                  <w:tcW w:w="310" w:type="pct"/>
                  <w:tcBorders>
                    <w:top w:val="nil"/>
                    <w:left w:val="nil"/>
                    <w:bottom w:val="single" w:color="auto" w:sz="4" w:space="0"/>
                    <w:right w:val="single" w:color="auto" w:sz="4" w:space="0"/>
                  </w:tcBorders>
                  <w:noWrap/>
                  <w:vAlign w:val="bottom"/>
                </w:tcPr>
                <w:p w14:paraId="76B946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35.48 </w:t>
                  </w:r>
                </w:p>
              </w:tc>
              <w:tc>
                <w:tcPr>
                  <w:tcW w:w="271" w:type="pct"/>
                  <w:tcBorders>
                    <w:top w:val="nil"/>
                    <w:left w:val="nil"/>
                    <w:bottom w:val="single" w:color="auto" w:sz="4" w:space="0"/>
                    <w:right w:val="single" w:color="auto" w:sz="4" w:space="0"/>
                  </w:tcBorders>
                  <w:noWrap/>
                  <w:vAlign w:val="bottom"/>
                </w:tcPr>
                <w:p w14:paraId="074518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20 </w:t>
                  </w:r>
                </w:p>
              </w:tc>
              <w:tc>
                <w:tcPr>
                  <w:tcW w:w="309" w:type="pct"/>
                  <w:tcBorders>
                    <w:top w:val="nil"/>
                    <w:left w:val="nil"/>
                    <w:bottom w:val="single" w:color="auto" w:sz="4" w:space="0"/>
                    <w:right w:val="single" w:color="auto" w:sz="4" w:space="0"/>
                  </w:tcBorders>
                  <w:noWrap/>
                  <w:vAlign w:val="bottom"/>
                </w:tcPr>
                <w:p w14:paraId="5A2C0F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23.06 </w:t>
                  </w:r>
                </w:p>
              </w:tc>
              <w:tc>
                <w:tcPr>
                  <w:tcW w:w="383" w:type="pct"/>
                  <w:tcBorders>
                    <w:top w:val="nil"/>
                    <w:left w:val="nil"/>
                    <w:bottom w:val="single" w:color="auto" w:sz="4" w:space="0"/>
                    <w:right w:val="single" w:color="auto" w:sz="4" w:space="0"/>
                  </w:tcBorders>
                  <w:noWrap/>
                  <w:vAlign w:val="bottom"/>
                </w:tcPr>
                <w:p w14:paraId="5E3102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115.31 </w:t>
                  </w:r>
                </w:p>
              </w:tc>
              <w:tc>
                <w:tcPr>
                  <w:tcW w:w="271" w:type="pct"/>
                  <w:tcBorders>
                    <w:top w:val="nil"/>
                    <w:left w:val="nil"/>
                    <w:bottom w:val="single" w:color="auto" w:sz="4" w:space="0"/>
                    <w:right w:val="single" w:color="auto" w:sz="4" w:space="0"/>
                  </w:tcBorders>
                  <w:noWrap/>
                  <w:vAlign w:val="bottom"/>
                </w:tcPr>
                <w:p w14:paraId="0AD804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10 </w:t>
                  </w:r>
                </w:p>
              </w:tc>
              <w:tc>
                <w:tcPr>
                  <w:tcW w:w="308" w:type="pct"/>
                  <w:tcBorders>
                    <w:top w:val="nil"/>
                    <w:left w:val="nil"/>
                    <w:bottom w:val="single" w:color="auto" w:sz="4" w:space="0"/>
                    <w:right w:val="single" w:color="auto" w:sz="4" w:space="0"/>
                  </w:tcBorders>
                  <w:noWrap/>
                  <w:vAlign w:val="bottom"/>
                </w:tcPr>
                <w:p w14:paraId="6E09B3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8.87 </w:t>
                  </w:r>
                </w:p>
              </w:tc>
              <w:tc>
                <w:tcPr>
                  <w:tcW w:w="383" w:type="pct"/>
                  <w:tcBorders>
                    <w:top w:val="nil"/>
                    <w:left w:val="nil"/>
                    <w:bottom w:val="single" w:color="auto" w:sz="4" w:space="0"/>
                    <w:right w:val="single" w:color="auto" w:sz="4" w:space="0"/>
                  </w:tcBorders>
                  <w:noWrap/>
                  <w:vAlign w:val="bottom"/>
                </w:tcPr>
                <w:p w14:paraId="06B6BF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88.70 </w:t>
                  </w:r>
                </w:p>
              </w:tc>
              <w:tc>
                <w:tcPr>
                  <w:tcW w:w="271" w:type="pct"/>
                  <w:tcBorders>
                    <w:top w:val="nil"/>
                    <w:left w:val="nil"/>
                    <w:bottom w:val="single" w:color="auto" w:sz="4" w:space="0"/>
                    <w:right w:val="single" w:color="auto" w:sz="4" w:space="0"/>
                  </w:tcBorders>
                  <w:noWrap/>
                  <w:vAlign w:val="bottom"/>
                </w:tcPr>
                <w:p w14:paraId="0F3D16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 </w:t>
                  </w:r>
                </w:p>
              </w:tc>
              <w:tc>
                <w:tcPr>
                  <w:tcW w:w="309" w:type="pct"/>
                  <w:tcBorders>
                    <w:top w:val="nil"/>
                    <w:left w:val="nil"/>
                    <w:bottom w:val="single" w:color="auto" w:sz="4" w:space="0"/>
                    <w:right w:val="single" w:color="auto" w:sz="4" w:space="0"/>
                  </w:tcBorders>
                  <w:noWrap/>
                  <w:vAlign w:val="bottom"/>
                </w:tcPr>
                <w:p w14:paraId="51CA4D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3.55 </w:t>
                  </w:r>
                </w:p>
              </w:tc>
              <w:tc>
                <w:tcPr>
                  <w:tcW w:w="387" w:type="pct"/>
                  <w:tcBorders>
                    <w:top w:val="nil"/>
                    <w:left w:val="nil"/>
                    <w:bottom w:val="single" w:color="auto" w:sz="4" w:space="0"/>
                    <w:right w:val="single" w:color="auto" w:sz="4" w:space="0"/>
                  </w:tcBorders>
                  <w:noWrap/>
                  <w:vAlign w:val="bottom"/>
                </w:tcPr>
                <w:p w14:paraId="1F2E0A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118.26 </w:t>
                  </w:r>
                </w:p>
              </w:tc>
              <w:tc>
                <w:tcPr>
                  <w:tcW w:w="368" w:type="pct"/>
                  <w:tcBorders>
                    <w:top w:val="nil"/>
                    <w:left w:val="nil"/>
                    <w:bottom w:val="single" w:color="auto" w:sz="4" w:space="0"/>
                    <w:right w:val="single" w:color="auto" w:sz="4" w:space="0"/>
                  </w:tcBorders>
                  <w:noWrap/>
                  <w:vAlign w:val="bottom"/>
                </w:tcPr>
                <w:p w14:paraId="687607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322.27 </w:t>
                  </w:r>
                </w:p>
              </w:tc>
            </w:tr>
            <w:tr w14:paraId="66CB9C1E">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33FB6C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 </w:t>
                  </w:r>
                </w:p>
              </w:tc>
              <w:tc>
                <w:tcPr>
                  <w:tcW w:w="617" w:type="pct"/>
                  <w:tcBorders>
                    <w:top w:val="nil"/>
                    <w:left w:val="nil"/>
                    <w:bottom w:val="single" w:color="auto" w:sz="4" w:space="0"/>
                    <w:right w:val="single" w:color="auto" w:sz="4" w:space="0"/>
                  </w:tcBorders>
                  <w:noWrap/>
                  <w:vAlign w:val="bottom"/>
                </w:tcPr>
                <w:p w14:paraId="18F91B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8煤掘进工作面</w:t>
                  </w:r>
                </w:p>
              </w:tc>
              <w:tc>
                <w:tcPr>
                  <w:tcW w:w="310" w:type="pct"/>
                  <w:tcBorders>
                    <w:top w:val="nil"/>
                    <w:left w:val="nil"/>
                    <w:bottom w:val="single" w:color="auto" w:sz="4" w:space="0"/>
                    <w:right w:val="single" w:color="auto" w:sz="4" w:space="0"/>
                  </w:tcBorders>
                  <w:noWrap/>
                  <w:vAlign w:val="bottom"/>
                </w:tcPr>
                <w:p w14:paraId="6BBD61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1.29 </w:t>
                  </w:r>
                </w:p>
              </w:tc>
              <w:tc>
                <w:tcPr>
                  <w:tcW w:w="311" w:type="pct"/>
                  <w:tcBorders>
                    <w:top w:val="nil"/>
                    <w:left w:val="nil"/>
                    <w:bottom w:val="single" w:color="auto" w:sz="4" w:space="0"/>
                    <w:right w:val="single" w:color="auto" w:sz="4" w:space="0"/>
                  </w:tcBorders>
                  <w:noWrap/>
                  <w:vAlign w:val="bottom"/>
                </w:tcPr>
                <w:p w14:paraId="309E95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1.29 </w:t>
                  </w:r>
                </w:p>
              </w:tc>
              <w:tc>
                <w:tcPr>
                  <w:tcW w:w="310" w:type="pct"/>
                  <w:tcBorders>
                    <w:top w:val="nil"/>
                    <w:left w:val="nil"/>
                    <w:bottom w:val="single" w:color="auto" w:sz="4" w:space="0"/>
                    <w:right w:val="single" w:color="auto" w:sz="4" w:space="0"/>
                  </w:tcBorders>
                  <w:noWrap/>
                  <w:vAlign w:val="bottom"/>
                </w:tcPr>
                <w:p w14:paraId="2B76B2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62CD14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70173E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35AD53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02A7D6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24312C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7CFC0A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447CF5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2191DA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bottom"/>
                </w:tcPr>
                <w:p w14:paraId="0B5388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39C222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r>
            <w:tr w14:paraId="6CD26D37">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363A2F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4 </w:t>
                  </w:r>
                </w:p>
              </w:tc>
              <w:tc>
                <w:tcPr>
                  <w:tcW w:w="617" w:type="pct"/>
                  <w:tcBorders>
                    <w:top w:val="nil"/>
                    <w:left w:val="nil"/>
                    <w:bottom w:val="single" w:color="auto" w:sz="4" w:space="0"/>
                    <w:right w:val="single" w:color="auto" w:sz="4" w:space="0"/>
                  </w:tcBorders>
                  <w:noWrap/>
                  <w:vAlign w:val="bottom"/>
                </w:tcPr>
                <w:p w14:paraId="3A872C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8煤掘进工作面</w:t>
                  </w:r>
                </w:p>
              </w:tc>
              <w:tc>
                <w:tcPr>
                  <w:tcW w:w="310" w:type="pct"/>
                  <w:tcBorders>
                    <w:top w:val="nil"/>
                    <w:left w:val="nil"/>
                    <w:bottom w:val="single" w:color="auto" w:sz="4" w:space="0"/>
                    <w:right w:val="single" w:color="auto" w:sz="4" w:space="0"/>
                  </w:tcBorders>
                  <w:noWrap/>
                  <w:vAlign w:val="bottom"/>
                </w:tcPr>
                <w:p w14:paraId="35C49C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1.26 </w:t>
                  </w:r>
                </w:p>
              </w:tc>
              <w:tc>
                <w:tcPr>
                  <w:tcW w:w="311" w:type="pct"/>
                  <w:tcBorders>
                    <w:top w:val="nil"/>
                    <w:left w:val="nil"/>
                    <w:bottom w:val="single" w:color="auto" w:sz="4" w:space="0"/>
                    <w:right w:val="single" w:color="auto" w:sz="4" w:space="0"/>
                  </w:tcBorders>
                  <w:noWrap/>
                  <w:vAlign w:val="bottom"/>
                </w:tcPr>
                <w:p w14:paraId="6EC9A2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1.26 </w:t>
                  </w:r>
                </w:p>
              </w:tc>
              <w:tc>
                <w:tcPr>
                  <w:tcW w:w="310" w:type="pct"/>
                  <w:tcBorders>
                    <w:top w:val="nil"/>
                    <w:left w:val="nil"/>
                    <w:bottom w:val="single" w:color="auto" w:sz="4" w:space="0"/>
                    <w:right w:val="single" w:color="auto" w:sz="4" w:space="0"/>
                  </w:tcBorders>
                  <w:noWrap/>
                  <w:vAlign w:val="bottom"/>
                </w:tcPr>
                <w:p w14:paraId="7E9AA6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20641A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521EDE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3AED08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511E24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129441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7C0EE1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6DF7E9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082E46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bottom"/>
                </w:tcPr>
                <w:p w14:paraId="2E13A4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137C30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r>
            <w:tr w14:paraId="01616704">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679539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5 </w:t>
                  </w:r>
                </w:p>
              </w:tc>
              <w:tc>
                <w:tcPr>
                  <w:tcW w:w="617" w:type="pct"/>
                  <w:tcBorders>
                    <w:top w:val="nil"/>
                    <w:left w:val="nil"/>
                    <w:bottom w:val="single" w:color="auto" w:sz="4" w:space="0"/>
                    <w:right w:val="single" w:color="auto" w:sz="4" w:space="0"/>
                  </w:tcBorders>
                  <w:noWrap/>
                  <w:vAlign w:val="center"/>
                </w:tcPr>
                <w:p w14:paraId="4786B3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1煤掘进工作面</w:t>
                  </w:r>
                </w:p>
              </w:tc>
              <w:tc>
                <w:tcPr>
                  <w:tcW w:w="310" w:type="pct"/>
                  <w:tcBorders>
                    <w:top w:val="nil"/>
                    <w:left w:val="nil"/>
                    <w:bottom w:val="single" w:color="auto" w:sz="4" w:space="0"/>
                    <w:right w:val="single" w:color="auto" w:sz="4" w:space="0"/>
                  </w:tcBorders>
                  <w:noWrap/>
                  <w:vAlign w:val="bottom"/>
                </w:tcPr>
                <w:p w14:paraId="729814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2.75 </w:t>
                  </w:r>
                </w:p>
              </w:tc>
              <w:tc>
                <w:tcPr>
                  <w:tcW w:w="311" w:type="pct"/>
                  <w:tcBorders>
                    <w:top w:val="nil"/>
                    <w:left w:val="nil"/>
                    <w:bottom w:val="single" w:color="auto" w:sz="4" w:space="0"/>
                    <w:right w:val="single" w:color="auto" w:sz="4" w:space="0"/>
                  </w:tcBorders>
                  <w:noWrap/>
                  <w:vAlign w:val="bottom"/>
                </w:tcPr>
                <w:p w14:paraId="52F52D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2.75 </w:t>
                  </w:r>
                </w:p>
              </w:tc>
              <w:tc>
                <w:tcPr>
                  <w:tcW w:w="310" w:type="pct"/>
                  <w:tcBorders>
                    <w:top w:val="nil"/>
                    <w:left w:val="nil"/>
                    <w:bottom w:val="single" w:color="auto" w:sz="4" w:space="0"/>
                    <w:right w:val="single" w:color="auto" w:sz="4" w:space="0"/>
                  </w:tcBorders>
                  <w:noWrap/>
                  <w:vAlign w:val="bottom"/>
                </w:tcPr>
                <w:p w14:paraId="2F0B93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78AA54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4BA829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395FCD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43601B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05EAA7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4EE2EA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1BEDA3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108C79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bottom"/>
                </w:tcPr>
                <w:p w14:paraId="2C4EB1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00EA16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r>
            <w:tr w14:paraId="57FA03FF">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58CEA1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6 </w:t>
                  </w:r>
                </w:p>
              </w:tc>
              <w:tc>
                <w:tcPr>
                  <w:tcW w:w="617" w:type="pct"/>
                  <w:tcBorders>
                    <w:top w:val="nil"/>
                    <w:left w:val="nil"/>
                    <w:bottom w:val="single" w:color="auto" w:sz="4" w:space="0"/>
                    <w:right w:val="single" w:color="auto" w:sz="4" w:space="0"/>
                  </w:tcBorders>
                  <w:noWrap/>
                  <w:vAlign w:val="center"/>
                </w:tcPr>
                <w:p w14:paraId="644492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1煤掘进工作面</w:t>
                  </w:r>
                </w:p>
              </w:tc>
              <w:tc>
                <w:tcPr>
                  <w:tcW w:w="310" w:type="pct"/>
                  <w:tcBorders>
                    <w:top w:val="nil"/>
                    <w:left w:val="nil"/>
                    <w:bottom w:val="single" w:color="auto" w:sz="4" w:space="0"/>
                    <w:right w:val="single" w:color="auto" w:sz="4" w:space="0"/>
                  </w:tcBorders>
                  <w:noWrap/>
                  <w:vAlign w:val="bottom"/>
                </w:tcPr>
                <w:p w14:paraId="19E612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2.61 </w:t>
                  </w:r>
                </w:p>
              </w:tc>
              <w:tc>
                <w:tcPr>
                  <w:tcW w:w="311" w:type="pct"/>
                  <w:tcBorders>
                    <w:top w:val="nil"/>
                    <w:left w:val="nil"/>
                    <w:bottom w:val="single" w:color="auto" w:sz="4" w:space="0"/>
                    <w:right w:val="single" w:color="auto" w:sz="4" w:space="0"/>
                  </w:tcBorders>
                  <w:noWrap/>
                  <w:vAlign w:val="bottom"/>
                </w:tcPr>
                <w:p w14:paraId="7D7ED2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2.61 </w:t>
                  </w:r>
                </w:p>
              </w:tc>
              <w:tc>
                <w:tcPr>
                  <w:tcW w:w="310" w:type="pct"/>
                  <w:tcBorders>
                    <w:top w:val="nil"/>
                    <w:left w:val="nil"/>
                    <w:bottom w:val="single" w:color="auto" w:sz="4" w:space="0"/>
                    <w:right w:val="single" w:color="auto" w:sz="4" w:space="0"/>
                  </w:tcBorders>
                  <w:noWrap/>
                  <w:vAlign w:val="bottom"/>
                </w:tcPr>
                <w:p w14:paraId="49D1BF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391DCD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0BFB02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5901DC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2C1865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06CA3F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3526A7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1276FF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1A1975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bottom"/>
                </w:tcPr>
                <w:p w14:paraId="7A1249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53DDDB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r>
            <w:tr w14:paraId="7AF2AF01">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342F5B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7 </w:t>
                  </w:r>
                </w:p>
              </w:tc>
              <w:tc>
                <w:tcPr>
                  <w:tcW w:w="617" w:type="pct"/>
                  <w:tcBorders>
                    <w:top w:val="nil"/>
                    <w:left w:val="nil"/>
                    <w:bottom w:val="single" w:color="auto" w:sz="4" w:space="0"/>
                    <w:right w:val="single" w:color="auto" w:sz="4" w:space="0"/>
                  </w:tcBorders>
                  <w:noWrap/>
                  <w:vAlign w:val="center"/>
                </w:tcPr>
                <w:p w14:paraId="6CCDB3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采空区</w:t>
                  </w:r>
                </w:p>
              </w:tc>
              <w:tc>
                <w:tcPr>
                  <w:tcW w:w="310" w:type="pct"/>
                  <w:tcBorders>
                    <w:top w:val="nil"/>
                    <w:left w:val="nil"/>
                    <w:bottom w:val="single" w:color="auto" w:sz="4" w:space="0"/>
                    <w:right w:val="single" w:color="auto" w:sz="4" w:space="0"/>
                  </w:tcBorders>
                  <w:noWrap/>
                  <w:vAlign w:val="center"/>
                </w:tcPr>
                <w:p w14:paraId="65CC5A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20.45</w:t>
                  </w:r>
                </w:p>
              </w:tc>
              <w:tc>
                <w:tcPr>
                  <w:tcW w:w="311" w:type="pct"/>
                  <w:tcBorders>
                    <w:top w:val="nil"/>
                    <w:left w:val="nil"/>
                    <w:bottom w:val="single" w:color="auto" w:sz="4" w:space="0"/>
                    <w:right w:val="single" w:color="auto" w:sz="4" w:space="0"/>
                  </w:tcBorders>
                  <w:noWrap/>
                  <w:vAlign w:val="center"/>
                </w:tcPr>
                <w:p w14:paraId="2929B6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6.45</w:t>
                  </w:r>
                </w:p>
              </w:tc>
              <w:tc>
                <w:tcPr>
                  <w:tcW w:w="310" w:type="pct"/>
                  <w:tcBorders>
                    <w:top w:val="nil"/>
                    <w:left w:val="nil"/>
                    <w:bottom w:val="single" w:color="auto" w:sz="4" w:space="0"/>
                    <w:right w:val="single" w:color="auto" w:sz="4" w:space="0"/>
                  </w:tcBorders>
                  <w:noWrap/>
                  <w:vAlign w:val="center"/>
                </w:tcPr>
                <w:p w14:paraId="365318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14.00</w:t>
                  </w:r>
                </w:p>
              </w:tc>
              <w:tc>
                <w:tcPr>
                  <w:tcW w:w="271" w:type="pct"/>
                  <w:tcBorders>
                    <w:top w:val="nil"/>
                    <w:left w:val="nil"/>
                    <w:bottom w:val="single" w:color="auto" w:sz="4" w:space="0"/>
                    <w:right w:val="single" w:color="auto" w:sz="4" w:space="0"/>
                  </w:tcBorders>
                  <w:noWrap/>
                  <w:vAlign w:val="center"/>
                </w:tcPr>
                <w:p w14:paraId="49FD3F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09" w:type="pct"/>
                  <w:tcBorders>
                    <w:top w:val="nil"/>
                    <w:left w:val="nil"/>
                    <w:bottom w:val="single" w:color="auto" w:sz="4" w:space="0"/>
                    <w:right w:val="single" w:color="auto" w:sz="4" w:space="0"/>
                  </w:tcBorders>
                  <w:noWrap/>
                  <w:vAlign w:val="center"/>
                </w:tcPr>
                <w:p w14:paraId="0D7236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83" w:type="pct"/>
                  <w:tcBorders>
                    <w:top w:val="nil"/>
                    <w:left w:val="nil"/>
                    <w:bottom w:val="single" w:color="auto" w:sz="4" w:space="0"/>
                    <w:right w:val="single" w:color="auto" w:sz="4" w:space="0"/>
                  </w:tcBorders>
                  <w:noWrap/>
                  <w:vAlign w:val="center"/>
                </w:tcPr>
                <w:p w14:paraId="086C25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271" w:type="pct"/>
                  <w:tcBorders>
                    <w:top w:val="nil"/>
                    <w:left w:val="nil"/>
                    <w:bottom w:val="single" w:color="auto" w:sz="4" w:space="0"/>
                    <w:right w:val="single" w:color="auto" w:sz="4" w:space="0"/>
                  </w:tcBorders>
                  <w:noWrap/>
                  <w:vAlign w:val="center"/>
                </w:tcPr>
                <w:p w14:paraId="3CA1D5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08" w:type="pct"/>
                  <w:tcBorders>
                    <w:top w:val="nil"/>
                    <w:left w:val="nil"/>
                    <w:bottom w:val="single" w:color="auto" w:sz="4" w:space="0"/>
                    <w:right w:val="single" w:color="auto" w:sz="4" w:space="0"/>
                  </w:tcBorders>
                  <w:noWrap/>
                  <w:vAlign w:val="center"/>
                </w:tcPr>
                <w:p w14:paraId="3A29E5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83" w:type="pct"/>
                  <w:tcBorders>
                    <w:top w:val="nil"/>
                    <w:left w:val="nil"/>
                    <w:bottom w:val="single" w:color="auto" w:sz="4" w:space="0"/>
                    <w:right w:val="single" w:color="auto" w:sz="4" w:space="0"/>
                  </w:tcBorders>
                  <w:noWrap/>
                  <w:vAlign w:val="center"/>
                </w:tcPr>
                <w:p w14:paraId="70F4D5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271" w:type="pct"/>
                  <w:tcBorders>
                    <w:top w:val="nil"/>
                    <w:left w:val="nil"/>
                    <w:bottom w:val="single" w:color="auto" w:sz="4" w:space="0"/>
                    <w:right w:val="single" w:color="auto" w:sz="4" w:space="0"/>
                  </w:tcBorders>
                  <w:noWrap/>
                  <w:vAlign w:val="center"/>
                </w:tcPr>
                <w:p w14:paraId="0B5BD2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10</w:t>
                  </w:r>
                </w:p>
              </w:tc>
              <w:tc>
                <w:tcPr>
                  <w:tcW w:w="309" w:type="pct"/>
                  <w:tcBorders>
                    <w:top w:val="nil"/>
                    <w:left w:val="nil"/>
                    <w:bottom w:val="single" w:color="auto" w:sz="4" w:space="0"/>
                    <w:right w:val="single" w:color="auto" w:sz="4" w:space="0"/>
                  </w:tcBorders>
                  <w:noWrap/>
                  <w:vAlign w:val="center"/>
                </w:tcPr>
                <w:p w14:paraId="684730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14.00</w:t>
                  </w:r>
                </w:p>
              </w:tc>
              <w:tc>
                <w:tcPr>
                  <w:tcW w:w="387" w:type="pct"/>
                  <w:tcBorders>
                    <w:top w:val="nil"/>
                    <w:left w:val="nil"/>
                    <w:bottom w:val="single" w:color="auto" w:sz="4" w:space="0"/>
                    <w:right w:val="single" w:color="auto" w:sz="4" w:space="0"/>
                  </w:tcBorders>
                  <w:noWrap/>
                  <w:vAlign w:val="center"/>
                </w:tcPr>
                <w:p w14:paraId="78F6EF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140.00</w:t>
                  </w:r>
                </w:p>
              </w:tc>
              <w:tc>
                <w:tcPr>
                  <w:tcW w:w="368" w:type="pct"/>
                  <w:tcBorders>
                    <w:top w:val="nil"/>
                    <w:left w:val="nil"/>
                    <w:bottom w:val="single" w:color="auto" w:sz="4" w:space="0"/>
                    <w:right w:val="single" w:color="auto" w:sz="4" w:space="0"/>
                  </w:tcBorders>
                  <w:noWrap/>
                  <w:vAlign w:val="center"/>
                </w:tcPr>
                <w:p w14:paraId="380BE0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140.00</w:t>
                  </w:r>
                </w:p>
              </w:tc>
            </w:tr>
            <w:tr w14:paraId="0061D8D3">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194B79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8 </w:t>
                  </w:r>
                </w:p>
              </w:tc>
              <w:tc>
                <w:tcPr>
                  <w:tcW w:w="617" w:type="pct"/>
                  <w:tcBorders>
                    <w:top w:val="nil"/>
                    <w:left w:val="nil"/>
                    <w:bottom w:val="single" w:color="auto" w:sz="4" w:space="0"/>
                    <w:right w:val="single" w:color="auto" w:sz="4" w:space="0"/>
                  </w:tcBorders>
                  <w:noWrap/>
                  <w:vAlign w:val="center"/>
                </w:tcPr>
                <w:p w14:paraId="437624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预抽地点</w:t>
                  </w:r>
                </w:p>
              </w:tc>
              <w:tc>
                <w:tcPr>
                  <w:tcW w:w="310" w:type="pct"/>
                  <w:tcBorders>
                    <w:top w:val="nil"/>
                    <w:left w:val="nil"/>
                    <w:bottom w:val="single" w:color="auto" w:sz="4" w:space="0"/>
                    <w:right w:val="single" w:color="auto" w:sz="4" w:space="0"/>
                  </w:tcBorders>
                  <w:noWrap/>
                  <w:vAlign w:val="center"/>
                </w:tcPr>
                <w:p w14:paraId="60DB54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8.16</w:t>
                  </w:r>
                </w:p>
              </w:tc>
              <w:tc>
                <w:tcPr>
                  <w:tcW w:w="311" w:type="pct"/>
                  <w:tcBorders>
                    <w:top w:val="nil"/>
                    <w:left w:val="nil"/>
                    <w:bottom w:val="single" w:color="auto" w:sz="4" w:space="0"/>
                    <w:right w:val="single" w:color="auto" w:sz="4" w:space="0"/>
                  </w:tcBorders>
                  <w:noWrap/>
                  <w:vAlign w:val="center"/>
                </w:tcPr>
                <w:p w14:paraId="166147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10" w:type="pct"/>
                  <w:tcBorders>
                    <w:top w:val="nil"/>
                    <w:left w:val="nil"/>
                    <w:bottom w:val="single" w:color="auto" w:sz="4" w:space="0"/>
                    <w:right w:val="single" w:color="auto" w:sz="4" w:space="0"/>
                  </w:tcBorders>
                  <w:noWrap/>
                  <w:vAlign w:val="center"/>
                </w:tcPr>
                <w:p w14:paraId="6C375C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8.16</w:t>
                  </w:r>
                </w:p>
              </w:tc>
              <w:tc>
                <w:tcPr>
                  <w:tcW w:w="271" w:type="pct"/>
                  <w:tcBorders>
                    <w:top w:val="nil"/>
                    <w:left w:val="nil"/>
                    <w:bottom w:val="single" w:color="auto" w:sz="4" w:space="0"/>
                    <w:right w:val="single" w:color="auto" w:sz="4" w:space="0"/>
                  </w:tcBorders>
                  <w:noWrap/>
                  <w:vAlign w:val="center"/>
                </w:tcPr>
                <w:p w14:paraId="2B2591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09" w:type="pct"/>
                  <w:tcBorders>
                    <w:top w:val="nil"/>
                    <w:left w:val="nil"/>
                    <w:bottom w:val="single" w:color="auto" w:sz="4" w:space="0"/>
                    <w:right w:val="single" w:color="auto" w:sz="4" w:space="0"/>
                  </w:tcBorders>
                  <w:noWrap/>
                  <w:vAlign w:val="center"/>
                </w:tcPr>
                <w:p w14:paraId="6A3AD7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83" w:type="pct"/>
                  <w:tcBorders>
                    <w:top w:val="nil"/>
                    <w:left w:val="nil"/>
                    <w:bottom w:val="single" w:color="auto" w:sz="4" w:space="0"/>
                    <w:right w:val="single" w:color="auto" w:sz="4" w:space="0"/>
                  </w:tcBorders>
                  <w:noWrap/>
                  <w:vAlign w:val="center"/>
                </w:tcPr>
                <w:p w14:paraId="3C8F82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271" w:type="pct"/>
                  <w:tcBorders>
                    <w:top w:val="nil"/>
                    <w:left w:val="nil"/>
                    <w:bottom w:val="single" w:color="auto" w:sz="4" w:space="0"/>
                    <w:right w:val="single" w:color="auto" w:sz="4" w:space="0"/>
                  </w:tcBorders>
                  <w:noWrap/>
                  <w:vAlign w:val="center"/>
                </w:tcPr>
                <w:p w14:paraId="3AF029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08" w:type="pct"/>
                  <w:tcBorders>
                    <w:top w:val="nil"/>
                    <w:left w:val="nil"/>
                    <w:bottom w:val="single" w:color="auto" w:sz="4" w:space="0"/>
                    <w:right w:val="single" w:color="auto" w:sz="4" w:space="0"/>
                  </w:tcBorders>
                  <w:noWrap/>
                  <w:vAlign w:val="center"/>
                </w:tcPr>
                <w:p w14:paraId="60346D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83" w:type="pct"/>
                  <w:tcBorders>
                    <w:top w:val="nil"/>
                    <w:left w:val="nil"/>
                    <w:bottom w:val="single" w:color="auto" w:sz="4" w:space="0"/>
                    <w:right w:val="single" w:color="auto" w:sz="4" w:space="0"/>
                  </w:tcBorders>
                  <w:noWrap/>
                  <w:vAlign w:val="center"/>
                </w:tcPr>
                <w:p w14:paraId="0770E6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271" w:type="pct"/>
                  <w:tcBorders>
                    <w:top w:val="nil"/>
                    <w:left w:val="nil"/>
                    <w:bottom w:val="single" w:color="auto" w:sz="4" w:space="0"/>
                    <w:right w:val="single" w:color="auto" w:sz="4" w:space="0"/>
                  </w:tcBorders>
                  <w:noWrap/>
                  <w:vAlign w:val="center"/>
                </w:tcPr>
                <w:p w14:paraId="1195F1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20</w:t>
                  </w:r>
                </w:p>
              </w:tc>
              <w:tc>
                <w:tcPr>
                  <w:tcW w:w="309" w:type="pct"/>
                  <w:tcBorders>
                    <w:top w:val="nil"/>
                    <w:left w:val="nil"/>
                    <w:bottom w:val="single" w:color="auto" w:sz="4" w:space="0"/>
                    <w:right w:val="single" w:color="auto" w:sz="4" w:space="0"/>
                  </w:tcBorders>
                  <w:noWrap/>
                  <w:vAlign w:val="center"/>
                </w:tcPr>
                <w:p w14:paraId="50E461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8.16</w:t>
                  </w:r>
                </w:p>
              </w:tc>
              <w:tc>
                <w:tcPr>
                  <w:tcW w:w="387" w:type="pct"/>
                  <w:tcBorders>
                    <w:top w:val="nil"/>
                    <w:left w:val="nil"/>
                    <w:bottom w:val="single" w:color="auto" w:sz="4" w:space="0"/>
                    <w:right w:val="single" w:color="auto" w:sz="4" w:space="0"/>
                  </w:tcBorders>
                  <w:noWrap/>
                  <w:vAlign w:val="center"/>
                </w:tcPr>
                <w:p w14:paraId="791E91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40.80</w:t>
                  </w:r>
                </w:p>
              </w:tc>
              <w:tc>
                <w:tcPr>
                  <w:tcW w:w="368" w:type="pct"/>
                  <w:tcBorders>
                    <w:top w:val="nil"/>
                    <w:left w:val="nil"/>
                    <w:bottom w:val="single" w:color="auto" w:sz="4" w:space="0"/>
                    <w:right w:val="single" w:color="auto" w:sz="4" w:space="0"/>
                  </w:tcBorders>
                  <w:noWrap/>
                  <w:vAlign w:val="center"/>
                </w:tcPr>
                <w:p w14:paraId="405E2B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40.80</w:t>
                  </w:r>
                </w:p>
              </w:tc>
            </w:tr>
            <w:tr w14:paraId="52F9C24C">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406143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9 </w:t>
                  </w:r>
                </w:p>
              </w:tc>
              <w:tc>
                <w:tcPr>
                  <w:tcW w:w="617" w:type="pct"/>
                  <w:tcBorders>
                    <w:top w:val="nil"/>
                    <w:left w:val="nil"/>
                    <w:bottom w:val="single" w:color="auto" w:sz="4" w:space="0"/>
                    <w:right w:val="single" w:color="auto" w:sz="4" w:space="0"/>
                  </w:tcBorders>
                  <w:noWrap/>
                  <w:vAlign w:val="center"/>
                </w:tcPr>
                <w:p w14:paraId="0DE044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合计</w:t>
                  </w:r>
                </w:p>
              </w:tc>
              <w:tc>
                <w:tcPr>
                  <w:tcW w:w="310" w:type="pct"/>
                  <w:tcBorders>
                    <w:top w:val="nil"/>
                    <w:left w:val="nil"/>
                    <w:bottom w:val="single" w:color="auto" w:sz="4" w:space="0"/>
                    <w:right w:val="single" w:color="auto" w:sz="4" w:space="0"/>
                  </w:tcBorders>
                  <w:noWrap/>
                  <w:vAlign w:val="center"/>
                </w:tcPr>
                <w:p w14:paraId="2558FE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107.27</w:t>
                  </w:r>
                </w:p>
              </w:tc>
              <w:tc>
                <w:tcPr>
                  <w:tcW w:w="311" w:type="pct"/>
                  <w:tcBorders>
                    <w:top w:val="nil"/>
                    <w:left w:val="nil"/>
                    <w:bottom w:val="single" w:color="auto" w:sz="4" w:space="0"/>
                    <w:right w:val="single" w:color="auto" w:sz="4" w:space="0"/>
                  </w:tcBorders>
                  <w:noWrap/>
                  <w:vAlign w:val="center"/>
                </w:tcPr>
                <w:p w14:paraId="51C2D9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28.76</w:t>
                  </w:r>
                </w:p>
              </w:tc>
              <w:tc>
                <w:tcPr>
                  <w:tcW w:w="310" w:type="pct"/>
                  <w:tcBorders>
                    <w:top w:val="nil"/>
                    <w:left w:val="nil"/>
                    <w:bottom w:val="single" w:color="auto" w:sz="4" w:space="0"/>
                    <w:right w:val="single" w:color="auto" w:sz="4" w:space="0"/>
                  </w:tcBorders>
                  <w:noWrap/>
                  <w:vAlign w:val="center"/>
                </w:tcPr>
                <w:p w14:paraId="0C44F0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78.51</w:t>
                  </w:r>
                </w:p>
              </w:tc>
              <w:tc>
                <w:tcPr>
                  <w:tcW w:w="271" w:type="pct"/>
                  <w:tcBorders>
                    <w:top w:val="nil"/>
                    <w:left w:val="nil"/>
                    <w:bottom w:val="single" w:color="auto" w:sz="4" w:space="0"/>
                    <w:right w:val="single" w:color="auto" w:sz="4" w:space="0"/>
                  </w:tcBorders>
                  <w:noWrap/>
                  <w:vAlign w:val="center"/>
                </w:tcPr>
                <w:p w14:paraId="603DC4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09" w:type="pct"/>
                  <w:tcBorders>
                    <w:top w:val="nil"/>
                    <w:left w:val="nil"/>
                    <w:bottom w:val="single" w:color="auto" w:sz="4" w:space="0"/>
                    <w:right w:val="single" w:color="auto" w:sz="4" w:space="0"/>
                  </w:tcBorders>
                  <w:noWrap/>
                  <w:vAlign w:val="center"/>
                </w:tcPr>
                <w:p w14:paraId="26742B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83" w:type="pct"/>
                  <w:tcBorders>
                    <w:top w:val="nil"/>
                    <w:left w:val="nil"/>
                    <w:bottom w:val="single" w:color="auto" w:sz="4" w:space="0"/>
                    <w:right w:val="single" w:color="auto" w:sz="4" w:space="0"/>
                  </w:tcBorders>
                  <w:noWrap/>
                  <w:vAlign w:val="center"/>
                </w:tcPr>
                <w:p w14:paraId="7423C8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271" w:type="pct"/>
                  <w:tcBorders>
                    <w:top w:val="nil"/>
                    <w:left w:val="nil"/>
                    <w:bottom w:val="single" w:color="auto" w:sz="4" w:space="0"/>
                    <w:right w:val="single" w:color="auto" w:sz="4" w:space="0"/>
                  </w:tcBorders>
                  <w:noWrap/>
                  <w:vAlign w:val="center"/>
                </w:tcPr>
                <w:p w14:paraId="210C5A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08" w:type="pct"/>
                  <w:tcBorders>
                    <w:top w:val="nil"/>
                    <w:left w:val="nil"/>
                    <w:bottom w:val="single" w:color="auto" w:sz="4" w:space="0"/>
                    <w:right w:val="single" w:color="auto" w:sz="4" w:space="0"/>
                  </w:tcBorders>
                  <w:noWrap/>
                  <w:vAlign w:val="center"/>
                </w:tcPr>
                <w:p w14:paraId="6EAA1C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83" w:type="pct"/>
                  <w:tcBorders>
                    <w:top w:val="nil"/>
                    <w:left w:val="nil"/>
                    <w:bottom w:val="single" w:color="auto" w:sz="4" w:space="0"/>
                    <w:right w:val="single" w:color="auto" w:sz="4" w:space="0"/>
                  </w:tcBorders>
                  <w:noWrap/>
                  <w:vAlign w:val="center"/>
                </w:tcPr>
                <w:p w14:paraId="4CBE1E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271" w:type="pct"/>
                  <w:tcBorders>
                    <w:top w:val="nil"/>
                    <w:left w:val="nil"/>
                    <w:bottom w:val="single" w:color="auto" w:sz="4" w:space="0"/>
                    <w:right w:val="single" w:color="auto" w:sz="4" w:space="0"/>
                  </w:tcBorders>
                  <w:noWrap/>
                  <w:vAlign w:val="center"/>
                </w:tcPr>
                <w:p w14:paraId="2CF512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09" w:type="pct"/>
                  <w:tcBorders>
                    <w:top w:val="nil"/>
                    <w:left w:val="nil"/>
                    <w:bottom w:val="single" w:color="auto" w:sz="4" w:space="0"/>
                    <w:right w:val="single" w:color="auto" w:sz="4" w:space="0"/>
                  </w:tcBorders>
                  <w:noWrap/>
                  <w:vAlign w:val="center"/>
                </w:tcPr>
                <w:p w14:paraId="146EB0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87" w:type="pct"/>
                  <w:tcBorders>
                    <w:top w:val="nil"/>
                    <w:left w:val="nil"/>
                    <w:bottom w:val="single" w:color="auto" w:sz="4" w:space="0"/>
                    <w:right w:val="single" w:color="auto" w:sz="4" w:space="0"/>
                  </w:tcBorders>
                  <w:noWrap/>
                  <w:vAlign w:val="center"/>
                </w:tcPr>
                <w:p w14:paraId="7B65C1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p>
              </w:tc>
              <w:tc>
                <w:tcPr>
                  <w:tcW w:w="368" w:type="pct"/>
                  <w:tcBorders>
                    <w:top w:val="nil"/>
                    <w:left w:val="nil"/>
                    <w:bottom w:val="single" w:color="auto" w:sz="4" w:space="0"/>
                    <w:right w:val="single" w:color="auto" w:sz="4" w:space="0"/>
                  </w:tcBorders>
                  <w:noWrap/>
                  <w:vAlign w:val="center"/>
                </w:tcPr>
                <w:p w14:paraId="2E3DC2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717.00</w:t>
                  </w:r>
                </w:p>
              </w:tc>
            </w:tr>
            <w:tr w14:paraId="61D5098D">
              <w:tblPrEx>
                <w:tblCellMar>
                  <w:top w:w="0" w:type="dxa"/>
                  <w:left w:w="108" w:type="dxa"/>
                  <w:bottom w:w="0" w:type="dxa"/>
                  <w:right w:w="108" w:type="dxa"/>
                </w:tblCellMar>
              </w:tblPrEx>
              <w:trPr>
                <w:trHeight w:val="285" w:hRule="atLeast"/>
              </w:trPr>
              <w:tc>
                <w:tcPr>
                  <w:tcW w:w="5000" w:type="pct"/>
                  <w:gridSpan w:val="15"/>
                  <w:tcBorders>
                    <w:top w:val="nil"/>
                    <w:left w:val="single" w:color="auto" w:sz="4" w:space="0"/>
                    <w:bottom w:val="single" w:color="auto" w:sz="4" w:space="0"/>
                    <w:right w:val="single" w:color="auto" w:sz="4" w:space="0"/>
                  </w:tcBorders>
                  <w:noWrap/>
                  <w:vAlign w:val="bottom"/>
                </w:tcPr>
                <w:p w14:paraId="0AB8D5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二水平南一1煤工作面生产时</w:t>
                  </w:r>
                </w:p>
              </w:tc>
            </w:tr>
            <w:tr w14:paraId="5E05562D">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60D984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 </w:t>
                  </w:r>
                </w:p>
              </w:tc>
              <w:tc>
                <w:tcPr>
                  <w:tcW w:w="617" w:type="pct"/>
                  <w:tcBorders>
                    <w:top w:val="nil"/>
                    <w:left w:val="nil"/>
                    <w:bottom w:val="single" w:color="auto" w:sz="4" w:space="0"/>
                    <w:right w:val="single" w:color="auto" w:sz="4" w:space="0"/>
                  </w:tcBorders>
                  <w:noWrap/>
                  <w:vAlign w:val="bottom"/>
                </w:tcPr>
                <w:p w14:paraId="057AB5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二水平南一1煤工作面</w:t>
                  </w:r>
                </w:p>
              </w:tc>
              <w:tc>
                <w:tcPr>
                  <w:tcW w:w="310" w:type="pct"/>
                  <w:tcBorders>
                    <w:top w:val="nil"/>
                    <w:left w:val="nil"/>
                    <w:bottom w:val="single" w:color="auto" w:sz="4" w:space="0"/>
                    <w:right w:val="single" w:color="auto" w:sz="4" w:space="0"/>
                  </w:tcBorders>
                  <w:noWrap/>
                  <w:vAlign w:val="center"/>
                </w:tcPr>
                <w:p w14:paraId="0A1E18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30.06 </w:t>
                  </w:r>
                </w:p>
              </w:tc>
              <w:tc>
                <w:tcPr>
                  <w:tcW w:w="311" w:type="pct"/>
                  <w:tcBorders>
                    <w:top w:val="nil"/>
                    <w:left w:val="nil"/>
                    <w:bottom w:val="single" w:color="auto" w:sz="4" w:space="0"/>
                    <w:right w:val="single" w:color="auto" w:sz="4" w:space="0"/>
                  </w:tcBorders>
                  <w:noWrap/>
                  <w:vAlign w:val="center"/>
                </w:tcPr>
                <w:p w14:paraId="4DF5E2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7.20 </w:t>
                  </w:r>
                </w:p>
              </w:tc>
              <w:tc>
                <w:tcPr>
                  <w:tcW w:w="310" w:type="pct"/>
                  <w:tcBorders>
                    <w:top w:val="nil"/>
                    <w:left w:val="nil"/>
                    <w:bottom w:val="single" w:color="auto" w:sz="4" w:space="0"/>
                    <w:right w:val="single" w:color="auto" w:sz="4" w:space="0"/>
                  </w:tcBorders>
                  <w:noWrap/>
                  <w:vAlign w:val="bottom"/>
                </w:tcPr>
                <w:p w14:paraId="011071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22.86 </w:t>
                  </w:r>
                </w:p>
              </w:tc>
              <w:tc>
                <w:tcPr>
                  <w:tcW w:w="271" w:type="pct"/>
                  <w:tcBorders>
                    <w:top w:val="nil"/>
                    <w:left w:val="nil"/>
                    <w:bottom w:val="single" w:color="auto" w:sz="4" w:space="0"/>
                    <w:right w:val="single" w:color="auto" w:sz="4" w:space="0"/>
                  </w:tcBorders>
                  <w:noWrap/>
                  <w:vAlign w:val="bottom"/>
                </w:tcPr>
                <w:p w14:paraId="108AC0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20 </w:t>
                  </w:r>
                </w:p>
              </w:tc>
              <w:tc>
                <w:tcPr>
                  <w:tcW w:w="309" w:type="pct"/>
                  <w:tcBorders>
                    <w:top w:val="nil"/>
                    <w:left w:val="nil"/>
                    <w:bottom w:val="single" w:color="auto" w:sz="4" w:space="0"/>
                    <w:right w:val="single" w:color="auto" w:sz="4" w:space="0"/>
                  </w:tcBorders>
                  <w:noWrap/>
                  <w:vAlign w:val="bottom"/>
                </w:tcPr>
                <w:p w14:paraId="1F0023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14.86 </w:t>
                  </w:r>
                </w:p>
              </w:tc>
              <w:tc>
                <w:tcPr>
                  <w:tcW w:w="383" w:type="pct"/>
                  <w:tcBorders>
                    <w:top w:val="nil"/>
                    <w:left w:val="nil"/>
                    <w:bottom w:val="single" w:color="auto" w:sz="4" w:space="0"/>
                    <w:right w:val="single" w:color="auto" w:sz="4" w:space="0"/>
                  </w:tcBorders>
                  <w:noWrap/>
                  <w:vAlign w:val="bottom"/>
                </w:tcPr>
                <w:p w14:paraId="743696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74.28 </w:t>
                  </w:r>
                </w:p>
              </w:tc>
              <w:tc>
                <w:tcPr>
                  <w:tcW w:w="271" w:type="pct"/>
                  <w:tcBorders>
                    <w:top w:val="nil"/>
                    <w:left w:val="nil"/>
                    <w:bottom w:val="single" w:color="auto" w:sz="4" w:space="0"/>
                    <w:right w:val="single" w:color="auto" w:sz="4" w:space="0"/>
                  </w:tcBorders>
                  <w:noWrap/>
                  <w:vAlign w:val="bottom"/>
                </w:tcPr>
                <w:p w14:paraId="1198D1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10 </w:t>
                  </w:r>
                </w:p>
              </w:tc>
              <w:tc>
                <w:tcPr>
                  <w:tcW w:w="308" w:type="pct"/>
                  <w:tcBorders>
                    <w:top w:val="nil"/>
                    <w:left w:val="nil"/>
                    <w:bottom w:val="single" w:color="auto" w:sz="4" w:space="0"/>
                    <w:right w:val="single" w:color="auto" w:sz="4" w:space="0"/>
                  </w:tcBorders>
                  <w:noWrap/>
                  <w:vAlign w:val="bottom"/>
                </w:tcPr>
                <w:p w14:paraId="49DE17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4.57 </w:t>
                  </w:r>
                </w:p>
              </w:tc>
              <w:tc>
                <w:tcPr>
                  <w:tcW w:w="383" w:type="pct"/>
                  <w:tcBorders>
                    <w:top w:val="nil"/>
                    <w:left w:val="nil"/>
                    <w:bottom w:val="single" w:color="auto" w:sz="4" w:space="0"/>
                    <w:right w:val="single" w:color="auto" w:sz="4" w:space="0"/>
                  </w:tcBorders>
                  <w:noWrap/>
                  <w:vAlign w:val="bottom"/>
                </w:tcPr>
                <w:p w14:paraId="49E92E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45.71 </w:t>
                  </w:r>
                </w:p>
              </w:tc>
              <w:tc>
                <w:tcPr>
                  <w:tcW w:w="271" w:type="pct"/>
                  <w:tcBorders>
                    <w:top w:val="nil"/>
                    <w:left w:val="nil"/>
                    <w:bottom w:val="single" w:color="auto" w:sz="4" w:space="0"/>
                    <w:right w:val="single" w:color="auto" w:sz="4" w:space="0"/>
                  </w:tcBorders>
                  <w:noWrap/>
                  <w:vAlign w:val="bottom"/>
                </w:tcPr>
                <w:p w14:paraId="2CBC27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 </w:t>
                  </w:r>
                </w:p>
              </w:tc>
              <w:tc>
                <w:tcPr>
                  <w:tcW w:w="309" w:type="pct"/>
                  <w:tcBorders>
                    <w:top w:val="nil"/>
                    <w:left w:val="nil"/>
                    <w:bottom w:val="single" w:color="auto" w:sz="4" w:space="0"/>
                    <w:right w:val="single" w:color="auto" w:sz="4" w:space="0"/>
                  </w:tcBorders>
                  <w:noWrap/>
                  <w:vAlign w:val="bottom"/>
                </w:tcPr>
                <w:p w14:paraId="56F948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3.43 </w:t>
                  </w:r>
                </w:p>
              </w:tc>
              <w:tc>
                <w:tcPr>
                  <w:tcW w:w="387" w:type="pct"/>
                  <w:tcBorders>
                    <w:top w:val="nil"/>
                    <w:left w:val="nil"/>
                    <w:bottom w:val="single" w:color="auto" w:sz="4" w:space="0"/>
                    <w:right w:val="single" w:color="auto" w:sz="4" w:space="0"/>
                  </w:tcBorders>
                  <w:noWrap/>
                  <w:vAlign w:val="bottom"/>
                </w:tcPr>
                <w:p w14:paraId="493A60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114.28 </w:t>
                  </w:r>
                </w:p>
              </w:tc>
              <w:tc>
                <w:tcPr>
                  <w:tcW w:w="368" w:type="pct"/>
                  <w:tcBorders>
                    <w:top w:val="nil"/>
                    <w:left w:val="nil"/>
                    <w:bottom w:val="single" w:color="auto" w:sz="4" w:space="0"/>
                    <w:right w:val="single" w:color="auto" w:sz="4" w:space="0"/>
                  </w:tcBorders>
                  <w:noWrap/>
                  <w:vAlign w:val="bottom"/>
                </w:tcPr>
                <w:p w14:paraId="43DF11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234.27 </w:t>
                  </w:r>
                </w:p>
              </w:tc>
            </w:tr>
            <w:tr w14:paraId="603E5340">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740309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 </w:t>
                  </w:r>
                </w:p>
              </w:tc>
              <w:tc>
                <w:tcPr>
                  <w:tcW w:w="617" w:type="pct"/>
                  <w:tcBorders>
                    <w:top w:val="nil"/>
                    <w:left w:val="nil"/>
                    <w:bottom w:val="single" w:color="auto" w:sz="4" w:space="0"/>
                    <w:right w:val="single" w:color="auto" w:sz="4" w:space="0"/>
                  </w:tcBorders>
                  <w:noWrap/>
                  <w:vAlign w:val="bottom"/>
                </w:tcPr>
                <w:p w14:paraId="15EBC1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一水平南二6煤工作面</w:t>
                  </w:r>
                </w:p>
              </w:tc>
              <w:tc>
                <w:tcPr>
                  <w:tcW w:w="310" w:type="pct"/>
                  <w:tcBorders>
                    <w:top w:val="nil"/>
                    <w:left w:val="nil"/>
                    <w:bottom w:val="single" w:color="auto" w:sz="4" w:space="0"/>
                    <w:right w:val="single" w:color="auto" w:sz="4" w:space="0"/>
                  </w:tcBorders>
                  <w:noWrap/>
                  <w:vAlign w:val="center"/>
                </w:tcPr>
                <w:p w14:paraId="28BF14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45.50 </w:t>
                  </w:r>
                </w:p>
              </w:tc>
              <w:tc>
                <w:tcPr>
                  <w:tcW w:w="311" w:type="pct"/>
                  <w:tcBorders>
                    <w:top w:val="nil"/>
                    <w:left w:val="nil"/>
                    <w:bottom w:val="single" w:color="auto" w:sz="4" w:space="0"/>
                    <w:right w:val="single" w:color="auto" w:sz="4" w:space="0"/>
                  </w:tcBorders>
                  <w:noWrap/>
                  <w:vAlign w:val="center"/>
                </w:tcPr>
                <w:p w14:paraId="4D1C4F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7.20 </w:t>
                  </w:r>
                </w:p>
              </w:tc>
              <w:tc>
                <w:tcPr>
                  <w:tcW w:w="310" w:type="pct"/>
                  <w:tcBorders>
                    <w:top w:val="nil"/>
                    <w:left w:val="nil"/>
                    <w:bottom w:val="single" w:color="auto" w:sz="4" w:space="0"/>
                    <w:right w:val="single" w:color="auto" w:sz="4" w:space="0"/>
                  </w:tcBorders>
                  <w:noWrap/>
                  <w:vAlign w:val="bottom"/>
                </w:tcPr>
                <w:p w14:paraId="348A2D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38.30 </w:t>
                  </w:r>
                </w:p>
              </w:tc>
              <w:tc>
                <w:tcPr>
                  <w:tcW w:w="271" w:type="pct"/>
                  <w:tcBorders>
                    <w:top w:val="nil"/>
                    <w:left w:val="nil"/>
                    <w:bottom w:val="single" w:color="auto" w:sz="4" w:space="0"/>
                    <w:right w:val="single" w:color="auto" w:sz="4" w:space="0"/>
                  </w:tcBorders>
                  <w:noWrap/>
                  <w:vAlign w:val="bottom"/>
                </w:tcPr>
                <w:p w14:paraId="0D67E2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20 </w:t>
                  </w:r>
                </w:p>
              </w:tc>
              <w:tc>
                <w:tcPr>
                  <w:tcW w:w="309" w:type="pct"/>
                  <w:tcBorders>
                    <w:top w:val="nil"/>
                    <w:left w:val="nil"/>
                    <w:bottom w:val="single" w:color="auto" w:sz="4" w:space="0"/>
                    <w:right w:val="single" w:color="auto" w:sz="4" w:space="0"/>
                  </w:tcBorders>
                  <w:noWrap/>
                  <w:vAlign w:val="bottom"/>
                </w:tcPr>
                <w:p w14:paraId="05BCC1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24.90 </w:t>
                  </w:r>
                </w:p>
              </w:tc>
              <w:tc>
                <w:tcPr>
                  <w:tcW w:w="383" w:type="pct"/>
                  <w:tcBorders>
                    <w:top w:val="nil"/>
                    <w:left w:val="nil"/>
                    <w:bottom w:val="single" w:color="auto" w:sz="4" w:space="0"/>
                    <w:right w:val="single" w:color="auto" w:sz="4" w:space="0"/>
                  </w:tcBorders>
                  <w:noWrap/>
                  <w:vAlign w:val="bottom"/>
                </w:tcPr>
                <w:p w14:paraId="1EA04A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124.48 </w:t>
                  </w:r>
                </w:p>
              </w:tc>
              <w:tc>
                <w:tcPr>
                  <w:tcW w:w="271" w:type="pct"/>
                  <w:tcBorders>
                    <w:top w:val="nil"/>
                    <w:left w:val="nil"/>
                    <w:bottom w:val="single" w:color="auto" w:sz="4" w:space="0"/>
                    <w:right w:val="single" w:color="auto" w:sz="4" w:space="0"/>
                  </w:tcBorders>
                  <w:noWrap/>
                  <w:vAlign w:val="bottom"/>
                </w:tcPr>
                <w:p w14:paraId="58C2BA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10 </w:t>
                  </w:r>
                </w:p>
              </w:tc>
              <w:tc>
                <w:tcPr>
                  <w:tcW w:w="308" w:type="pct"/>
                  <w:tcBorders>
                    <w:top w:val="nil"/>
                    <w:left w:val="nil"/>
                    <w:bottom w:val="single" w:color="auto" w:sz="4" w:space="0"/>
                    <w:right w:val="single" w:color="auto" w:sz="4" w:space="0"/>
                  </w:tcBorders>
                  <w:noWrap/>
                  <w:vAlign w:val="bottom"/>
                </w:tcPr>
                <w:p w14:paraId="4C4DEE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9.58 </w:t>
                  </w:r>
                </w:p>
              </w:tc>
              <w:tc>
                <w:tcPr>
                  <w:tcW w:w="383" w:type="pct"/>
                  <w:tcBorders>
                    <w:top w:val="nil"/>
                    <w:left w:val="nil"/>
                    <w:bottom w:val="single" w:color="auto" w:sz="4" w:space="0"/>
                    <w:right w:val="single" w:color="auto" w:sz="4" w:space="0"/>
                  </w:tcBorders>
                  <w:noWrap/>
                  <w:vAlign w:val="bottom"/>
                </w:tcPr>
                <w:p w14:paraId="410562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95.75 </w:t>
                  </w:r>
                </w:p>
              </w:tc>
              <w:tc>
                <w:tcPr>
                  <w:tcW w:w="271" w:type="pct"/>
                  <w:tcBorders>
                    <w:top w:val="nil"/>
                    <w:left w:val="nil"/>
                    <w:bottom w:val="single" w:color="auto" w:sz="4" w:space="0"/>
                    <w:right w:val="single" w:color="auto" w:sz="4" w:space="0"/>
                  </w:tcBorders>
                  <w:noWrap/>
                  <w:vAlign w:val="bottom"/>
                </w:tcPr>
                <w:p w14:paraId="342E5E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 </w:t>
                  </w:r>
                </w:p>
              </w:tc>
              <w:tc>
                <w:tcPr>
                  <w:tcW w:w="309" w:type="pct"/>
                  <w:tcBorders>
                    <w:top w:val="nil"/>
                    <w:left w:val="nil"/>
                    <w:bottom w:val="single" w:color="auto" w:sz="4" w:space="0"/>
                    <w:right w:val="single" w:color="auto" w:sz="4" w:space="0"/>
                  </w:tcBorders>
                  <w:noWrap/>
                  <w:vAlign w:val="bottom"/>
                </w:tcPr>
                <w:p w14:paraId="312D3D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3.83 </w:t>
                  </w:r>
                </w:p>
              </w:tc>
              <w:tc>
                <w:tcPr>
                  <w:tcW w:w="387" w:type="pct"/>
                  <w:tcBorders>
                    <w:top w:val="nil"/>
                    <w:left w:val="nil"/>
                    <w:bottom w:val="single" w:color="auto" w:sz="4" w:space="0"/>
                    <w:right w:val="single" w:color="auto" w:sz="4" w:space="0"/>
                  </w:tcBorders>
                  <w:noWrap/>
                  <w:vAlign w:val="bottom"/>
                </w:tcPr>
                <w:p w14:paraId="31FEAB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127.67 </w:t>
                  </w:r>
                </w:p>
              </w:tc>
              <w:tc>
                <w:tcPr>
                  <w:tcW w:w="368" w:type="pct"/>
                  <w:tcBorders>
                    <w:top w:val="nil"/>
                    <w:left w:val="nil"/>
                    <w:bottom w:val="single" w:color="auto" w:sz="4" w:space="0"/>
                    <w:right w:val="single" w:color="auto" w:sz="4" w:space="0"/>
                  </w:tcBorders>
                  <w:noWrap/>
                  <w:vAlign w:val="bottom"/>
                </w:tcPr>
                <w:p w14:paraId="32A3BD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347.90 </w:t>
                  </w:r>
                </w:p>
              </w:tc>
            </w:tr>
            <w:tr w14:paraId="37AB5A3F">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0FCC3B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3 </w:t>
                  </w:r>
                </w:p>
              </w:tc>
              <w:tc>
                <w:tcPr>
                  <w:tcW w:w="617" w:type="pct"/>
                  <w:tcBorders>
                    <w:top w:val="nil"/>
                    <w:left w:val="nil"/>
                    <w:bottom w:val="single" w:color="auto" w:sz="4" w:space="0"/>
                    <w:right w:val="single" w:color="auto" w:sz="4" w:space="0"/>
                  </w:tcBorders>
                  <w:noWrap/>
                  <w:vAlign w:val="bottom"/>
                </w:tcPr>
                <w:p w14:paraId="6851D1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8煤掘进工作面</w:t>
                  </w:r>
                </w:p>
              </w:tc>
              <w:tc>
                <w:tcPr>
                  <w:tcW w:w="310" w:type="pct"/>
                  <w:tcBorders>
                    <w:top w:val="nil"/>
                    <w:left w:val="nil"/>
                    <w:bottom w:val="single" w:color="auto" w:sz="4" w:space="0"/>
                    <w:right w:val="single" w:color="auto" w:sz="4" w:space="0"/>
                  </w:tcBorders>
                  <w:noWrap/>
                  <w:vAlign w:val="center"/>
                </w:tcPr>
                <w:p w14:paraId="204E94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1.17 </w:t>
                  </w:r>
                </w:p>
              </w:tc>
              <w:tc>
                <w:tcPr>
                  <w:tcW w:w="311" w:type="pct"/>
                  <w:tcBorders>
                    <w:top w:val="nil"/>
                    <w:left w:val="nil"/>
                    <w:bottom w:val="single" w:color="auto" w:sz="4" w:space="0"/>
                    <w:right w:val="single" w:color="auto" w:sz="4" w:space="0"/>
                  </w:tcBorders>
                  <w:noWrap/>
                  <w:vAlign w:val="center"/>
                </w:tcPr>
                <w:p w14:paraId="750669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1.17 </w:t>
                  </w:r>
                </w:p>
              </w:tc>
              <w:tc>
                <w:tcPr>
                  <w:tcW w:w="310" w:type="pct"/>
                  <w:tcBorders>
                    <w:top w:val="nil"/>
                    <w:left w:val="nil"/>
                    <w:bottom w:val="single" w:color="auto" w:sz="4" w:space="0"/>
                    <w:right w:val="single" w:color="auto" w:sz="4" w:space="0"/>
                  </w:tcBorders>
                  <w:noWrap/>
                  <w:vAlign w:val="bottom"/>
                </w:tcPr>
                <w:p w14:paraId="3202BE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23091C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19816A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6FABA6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5D1D8E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7A214E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025E5C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3C9096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3D1D18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bottom"/>
                </w:tcPr>
                <w:p w14:paraId="0E8E67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3EA59D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r>
            <w:tr w14:paraId="75F45350">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760A6E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4 </w:t>
                  </w:r>
                </w:p>
              </w:tc>
              <w:tc>
                <w:tcPr>
                  <w:tcW w:w="617" w:type="pct"/>
                  <w:tcBorders>
                    <w:top w:val="nil"/>
                    <w:left w:val="nil"/>
                    <w:bottom w:val="single" w:color="auto" w:sz="4" w:space="0"/>
                    <w:right w:val="single" w:color="auto" w:sz="4" w:space="0"/>
                  </w:tcBorders>
                  <w:noWrap/>
                  <w:vAlign w:val="bottom"/>
                </w:tcPr>
                <w:p w14:paraId="41BC52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8煤掘进工作面</w:t>
                  </w:r>
                </w:p>
              </w:tc>
              <w:tc>
                <w:tcPr>
                  <w:tcW w:w="310" w:type="pct"/>
                  <w:tcBorders>
                    <w:top w:val="nil"/>
                    <w:left w:val="nil"/>
                    <w:bottom w:val="single" w:color="auto" w:sz="4" w:space="0"/>
                    <w:right w:val="single" w:color="auto" w:sz="4" w:space="0"/>
                  </w:tcBorders>
                  <w:noWrap/>
                  <w:vAlign w:val="center"/>
                </w:tcPr>
                <w:p w14:paraId="7F048F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1.14 </w:t>
                  </w:r>
                </w:p>
              </w:tc>
              <w:tc>
                <w:tcPr>
                  <w:tcW w:w="311" w:type="pct"/>
                  <w:tcBorders>
                    <w:top w:val="nil"/>
                    <w:left w:val="nil"/>
                    <w:bottom w:val="single" w:color="auto" w:sz="4" w:space="0"/>
                    <w:right w:val="single" w:color="auto" w:sz="4" w:space="0"/>
                  </w:tcBorders>
                  <w:noWrap/>
                  <w:vAlign w:val="center"/>
                </w:tcPr>
                <w:p w14:paraId="534D04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1.14 </w:t>
                  </w:r>
                </w:p>
              </w:tc>
              <w:tc>
                <w:tcPr>
                  <w:tcW w:w="310" w:type="pct"/>
                  <w:tcBorders>
                    <w:top w:val="nil"/>
                    <w:left w:val="nil"/>
                    <w:bottom w:val="single" w:color="auto" w:sz="4" w:space="0"/>
                    <w:right w:val="single" w:color="auto" w:sz="4" w:space="0"/>
                  </w:tcBorders>
                  <w:noWrap/>
                  <w:vAlign w:val="bottom"/>
                </w:tcPr>
                <w:p w14:paraId="004F46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4E00C1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5CE59C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53E5A8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1A244D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54FC17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0A4646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78967A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18E2A8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bottom"/>
                </w:tcPr>
                <w:p w14:paraId="40D606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191EE7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r>
            <w:tr w14:paraId="7985A0BF">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69BF7F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5 </w:t>
                  </w:r>
                </w:p>
              </w:tc>
              <w:tc>
                <w:tcPr>
                  <w:tcW w:w="617" w:type="pct"/>
                  <w:tcBorders>
                    <w:top w:val="nil"/>
                    <w:left w:val="nil"/>
                    <w:bottom w:val="single" w:color="auto" w:sz="4" w:space="0"/>
                    <w:right w:val="single" w:color="auto" w:sz="4" w:space="0"/>
                  </w:tcBorders>
                  <w:noWrap/>
                  <w:vAlign w:val="bottom"/>
                </w:tcPr>
                <w:p w14:paraId="52145E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1煤掘进工作面</w:t>
                  </w:r>
                </w:p>
              </w:tc>
              <w:tc>
                <w:tcPr>
                  <w:tcW w:w="310" w:type="pct"/>
                  <w:tcBorders>
                    <w:top w:val="nil"/>
                    <w:left w:val="nil"/>
                    <w:bottom w:val="single" w:color="auto" w:sz="4" w:space="0"/>
                    <w:right w:val="single" w:color="auto" w:sz="4" w:space="0"/>
                  </w:tcBorders>
                  <w:noWrap/>
                  <w:vAlign w:val="center"/>
                </w:tcPr>
                <w:p w14:paraId="50E485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2.91 </w:t>
                  </w:r>
                </w:p>
              </w:tc>
              <w:tc>
                <w:tcPr>
                  <w:tcW w:w="311" w:type="pct"/>
                  <w:tcBorders>
                    <w:top w:val="nil"/>
                    <w:left w:val="nil"/>
                    <w:bottom w:val="single" w:color="auto" w:sz="4" w:space="0"/>
                    <w:right w:val="single" w:color="auto" w:sz="4" w:space="0"/>
                  </w:tcBorders>
                  <w:noWrap/>
                  <w:vAlign w:val="center"/>
                </w:tcPr>
                <w:p w14:paraId="01D6F1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2.91 </w:t>
                  </w:r>
                </w:p>
              </w:tc>
              <w:tc>
                <w:tcPr>
                  <w:tcW w:w="310" w:type="pct"/>
                  <w:tcBorders>
                    <w:top w:val="nil"/>
                    <w:left w:val="nil"/>
                    <w:bottom w:val="single" w:color="auto" w:sz="4" w:space="0"/>
                    <w:right w:val="single" w:color="auto" w:sz="4" w:space="0"/>
                  </w:tcBorders>
                  <w:noWrap/>
                  <w:vAlign w:val="bottom"/>
                </w:tcPr>
                <w:p w14:paraId="2751FB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152D81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1741B6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7F9362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063F14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7B6951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2D2936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52963D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2F6C22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bottom"/>
                </w:tcPr>
                <w:p w14:paraId="143733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3D04D6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r>
            <w:tr w14:paraId="277004D1">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635746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6 </w:t>
                  </w:r>
                </w:p>
              </w:tc>
              <w:tc>
                <w:tcPr>
                  <w:tcW w:w="617" w:type="pct"/>
                  <w:tcBorders>
                    <w:top w:val="nil"/>
                    <w:left w:val="nil"/>
                    <w:bottom w:val="single" w:color="auto" w:sz="4" w:space="0"/>
                    <w:right w:val="single" w:color="auto" w:sz="4" w:space="0"/>
                  </w:tcBorders>
                  <w:noWrap/>
                  <w:vAlign w:val="bottom"/>
                </w:tcPr>
                <w:p w14:paraId="573E00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1煤掘进工作面</w:t>
                  </w:r>
                </w:p>
              </w:tc>
              <w:tc>
                <w:tcPr>
                  <w:tcW w:w="310" w:type="pct"/>
                  <w:tcBorders>
                    <w:top w:val="nil"/>
                    <w:left w:val="nil"/>
                    <w:bottom w:val="single" w:color="auto" w:sz="4" w:space="0"/>
                    <w:right w:val="single" w:color="auto" w:sz="4" w:space="0"/>
                  </w:tcBorders>
                  <w:noWrap/>
                  <w:vAlign w:val="center"/>
                </w:tcPr>
                <w:p w14:paraId="26C219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2.91 </w:t>
                  </w:r>
                </w:p>
              </w:tc>
              <w:tc>
                <w:tcPr>
                  <w:tcW w:w="311" w:type="pct"/>
                  <w:tcBorders>
                    <w:top w:val="nil"/>
                    <w:left w:val="nil"/>
                    <w:bottom w:val="single" w:color="auto" w:sz="4" w:space="0"/>
                    <w:right w:val="single" w:color="auto" w:sz="4" w:space="0"/>
                  </w:tcBorders>
                  <w:noWrap/>
                  <w:vAlign w:val="center"/>
                </w:tcPr>
                <w:p w14:paraId="18FD73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2.91 </w:t>
                  </w:r>
                </w:p>
              </w:tc>
              <w:tc>
                <w:tcPr>
                  <w:tcW w:w="310" w:type="pct"/>
                  <w:tcBorders>
                    <w:top w:val="nil"/>
                    <w:left w:val="nil"/>
                    <w:bottom w:val="single" w:color="auto" w:sz="4" w:space="0"/>
                    <w:right w:val="single" w:color="auto" w:sz="4" w:space="0"/>
                  </w:tcBorders>
                  <w:noWrap/>
                  <w:vAlign w:val="bottom"/>
                </w:tcPr>
                <w:p w14:paraId="120D88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35061E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16F46A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32F089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2DAAAC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7F92BC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6870DB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77EB36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18A404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bottom"/>
                </w:tcPr>
                <w:p w14:paraId="5DBD64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20DB49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r>
            <w:tr w14:paraId="76E24C94">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285FDA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7 </w:t>
                  </w:r>
                </w:p>
              </w:tc>
              <w:tc>
                <w:tcPr>
                  <w:tcW w:w="617" w:type="pct"/>
                  <w:tcBorders>
                    <w:top w:val="nil"/>
                    <w:left w:val="nil"/>
                    <w:bottom w:val="single" w:color="auto" w:sz="4" w:space="0"/>
                    <w:right w:val="single" w:color="auto" w:sz="4" w:space="0"/>
                  </w:tcBorders>
                  <w:noWrap/>
                  <w:vAlign w:val="bottom"/>
                </w:tcPr>
                <w:p w14:paraId="56116A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采空区</w:t>
                  </w:r>
                </w:p>
              </w:tc>
              <w:tc>
                <w:tcPr>
                  <w:tcW w:w="310" w:type="pct"/>
                  <w:tcBorders>
                    <w:top w:val="nil"/>
                    <w:left w:val="nil"/>
                    <w:bottom w:val="single" w:color="auto" w:sz="4" w:space="0"/>
                    <w:right w:val="single" w:color="auto" w:sz="4" w:space="0"/>
                  </w:tcBorders>
                  <w:noWrap/>
                  <w:vAlign w:val="center"/>
                </w:tcPr>
                <w:p w14:paraId="64C04D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21.59 </w:t>
                  </w:r>
                </w:p>
              </w:tc>
              <w:tc>
                <w:tcPr>
                  <w:tcW w:w="311" w:type="pct"/>
                  <w:tcBorders>
                    <w:top w:val="nil"/>
                    <w:left w:val="nil"/>
                    <w:bottom w:val="single" w:color="auto" w:sz="4" w:space="0"/>
                    <w:right w:val="single" w:color="auto" w:sz="4" w:space="0"/>
                  </w:tcBorders>
                  <w:noWrap/>
                  <w:vAlign w:val="bottom"/>
                </w:tcPr>
                <w:p w14:paraId="5BFB15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5.59 </w:t>
                  </w:r>
                </w:p>
              </w:tc>
              <w:tc>
                <w:tcPr>
                  <w:tcW w:w="310" w:type="pct"/>
                  <w:tcBorders>
                    <w:top w:val="nil"/>
                    <w:left w:val="nil"/>
                    <w:bottom w:val="single" w:color="auto" w:sz="4" w:space="0"/>
                    <w:right w:val="single" w:color="auto" w:sz="4" w:space="0"/>
                  </w:tcBorders>
                  <w:noWrap/>
                  <w:vAlign w:val="bottom"/>
                </w:tcPr>
                <w:p w14:paraId="59CBC5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16.00 </w:t>
                  </w:r>
                </w:p>
              </w:tc>
              <w:tc>
                <w:tcPr>
                  <w:tcW w:w="271" w:type="pct"/>
                  <w:tcBorders>
                    <w:top w:val="nil"/>
                    <w:left w:val="nil"/>
                    <w:bottom w:val="single" w:color="auto" w:sz="4" w:space="0"/>
                    <w:right w:val="single" w:color="auto" w:sz="4" w:space="0"/>
                  </w:tcBorders>
                  <w:noWrap/>
                  <w:vAlign w:val="bottom"/>
                </w:tcPr>
                <w:p w14:paraId="25566D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607EFA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2FAB1D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2A777A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733276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699B99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7B285B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15 </w:t>
                  </w:r>
                </w:p>
              </w:tc>
              <w:tc>
                <w:tcPr>
                  <w:tcW w:w="309" w:type="pct"/>
                  <w:tcBorders>
                    <w:top w:val="nil"/>
                    <w:left w:val="nil"/>
                    <w:bottom w:val="single" w:color="auto" w:sz="4" w:space="0"/>
                    <w:right w:val="single" w:color="auto" w:sz="4" w:space="0"/>
                  </w:tcBorders>
                  <w:noWrap/>
                  <w:vAlign w:val="bottom"/>
                </w:tcPr>
                <w:p w14:paraId="61DB64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16.00 </w:t>
                  </w:r>
                </w:p>
              </w:tc>
              <w:tc>
                <w:tcPr>
                  <w:tcW w:w="387" w:type="pct"/>
                  <w:tcBorders>
                    <w:top w:val="nil"/>
                    <w:left w:val="nil"/>
                    <w:bottom w:val="single" w:color="auto" w:sz="4" w:space="0"/>
                    <w:right w:val="single" w:color="auto" w:sz="4" w:space="0"/>
                  </w:tcBorders>
                  <w:noWrap/>
                  <w:vAlign w:val="bottom"/>
                </w:tcPr>
                <w:p w14:paraId="3A4F31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106.67 </w:t>
                  </w:r>
                </w:p>
              </w:tc>
              <w:tc>
                <w:tcPr>
                  <w:tcW w:w="368" w:type="pct"/>
                  <w:tcBorders>
                    <w:top w:val="nil"/>
                    <w:left w:val="nil"/>
                    <w:bottom w:val="single" w:color="auto" w:sz="4" w:space="0"/>
                    <w:right w:val="single" w:color="auto" w:sz="4" w:space="0"/>
                  </w:tcBorders>
                  <w:noWrap/>
                  <w:vAlign w:val="bottom"/>
                </w:tcPr>
                <w:p w14:paraId="5D0557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106.67 </w:t>
                  </w:r>
                </w:p>
              </w:tc>
            </w:tr>
            <w:tr w14:paraId="112D87D6">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3F1B28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8 </w:t>
                  </w:r>
                </w:p>
              </w:tc>
              <w:tc>
                <w:tcPr>
                  <w:tcW w:w="617" w:type="pct"/>
                  <w:tcBorders>
                    <w:top w:val="nil"/>
                    <w:left w:val="nil"/>
                    <w:bottom w:val="single" w:color="auto" w:sz="4" w:space="0"/>
                    <w:right w:val="single" w:color="auto" w:sz="4" w:space="0"/>
                  </w:tcBorders>
                  <w:noWrap/>
                  <w:vAlign w:val="bottom"/>
                </w:tcPr>
                <w:p w14:paraId="272E8C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预抽地点</w:t>
                  </w:r>
                </w:p>
              </w:tc>
              <w:tc>
                <w:tcPr>
                  <w:tcW w:w="310" w:type="pct"/>
                  <w:tcBorders>
                    <w:top w:val="nil"/>
                    <w:left w:val="nil"/>
                    <w:bottom w:val="single" w:color="auto" w:sz="4" w:space="0"/>
                    <w:right w:val="single" w:color="auto" w:sz="4" w:space="0"/>
                  </w:tcBorders>
                  <w:noWrap/>
                  <w:vAlign w:val="center"/>
                </w:tcPr>
                <w:p w14:paraId="783EF6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11.89 </w:t>
                  </w:r>
                </w:p>
              </w:tc>
              <w:tc>
                <w:tcPr>
                  <w:tcW w:w="311" w:type="pct"/>
                  <w:tcBorders>
                    <w:top w:val="nil"/>
                    <w:left w:val="nil"/>
                    <w:bottom w:val="single" w:color="auto" w:sz="4" w:space="0"/>
                    <w:right w:val="single" w:color="auto" w:sz="4" w:space="0"/>
                  </w:tcBorders>
                  <w:noWrap/>
                  <w:vAlign w:val="center"/>
                </w:tcPr>
                <w:p w14:paraId="1C61DD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10" w:type="pct"/>
                  <w:tcBorders>
                    <w:top w:val="nil"/>
                    <w:left w:val="nil"/>
                    <w:bottom w:val="single" w:color="auto" w:sz="4" w:space="0"/>
                    <w:right w:val="single" w:color="auto" w:sz="4" w:space="0"/>
                  </w:tcBorders>
                  <w:noWrap/>
                  <w:vAlign w:val="bottom"/>
                </w:tcPr>
                <w:p w14:paraId="16F064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11.89 </w:t>
                  </w:r>
                </w:p>
              </w:tc>
              <w:tc>
                <w:tcPr>
                  <w:tcW w:w="271" w:type="pct"/>
                  <w:tcBorders>
                    <w:top w:val="nil"/>
                    <w:left w:val="nil"/>
                    <w:bottom w:val="single" w:color="auto" w:sz="4" w:space="0"/>
                    <w:right w:val="single" w:color="auto" w:sz="4" w:space="0"/>
                  </w:tcBorders>
                  <w:noWrap/>
                  <w:vAlign w:val="bottom"/>
                </w:tcPr>
                <w:p w14:paraId="5F8079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bottom"/>
                </w:tcPr>
                <w:p w14:paraId="797A13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1EF221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546370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bottom"/>
                </w:tcPr>
                <w:p w14:paraId="64C5AB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bottom"/>
                </w:tcPr>
                <w:p w14:paraId="4C53B1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bottom"/>
                </w:tcPr>
                <w:p w14:paraId="1FD405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20 </w:t>
                  </w:r>
                </w:p>
              </w:tc>
              <w:tc>
                <w:tcPr>
                  <w:tcW w:w="309" w:type="pct"/>
                  <w:tcBorders>
                    <w:top w:val="nil"/>
                    <w:left w:val="nil"/>
                    <w:bottom w:val="single" w:color="auto" w:sz="4" w:space="0"/>
                    <w:right w:val="single" w:color="auto" w:sz="4" w:space="0"/>
                  </w:tcBorders>
                  <w:noWrap/>
                  <w:vAlign w:val="bottom"/>
                </w:tcPr>
                <w:p w14:paraId="3719A3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11.89 </w:t>
                  </w:r>
                </w:p>
              </w:tc>
              <w:tc>
                <w:tcPr>
                  <w:tcW w:w="387" w:type="pct"/>
                  <w:tcBorders>
                    <w:top w:val="nil"/>
                    <w:left w:val="nil"/>
                    <w:bottom w:val="single" w:color="auto" w:sz="4" w:space="0"/>
                    <w:right w:val="single" w:color="auto" w:sz="4" w:space="0"/>
                  </w:tcBorders>
                  <w:noWrap/>
                  <w:vAlign w:val="bottom"/>
                </w:tcPr>
                <w:p w14:paraId="12CCA6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59.45 </w:t>
                  </w:r>
                </w:p>
              </w:tc>
              <w:tc>
                <w:tcPr>
                  <w:tcW w:w="368" w:type="pct"/>
                  <w:tcBorders>
                    <w:top w:val="nil"/>
                    <w:left w:val="nil"/>
                    <w:bottom w:val="single" w:color="auto" w:sz="4" w:space="0"/>
                    <w:right w:val="single" w:color="auto" w:sz="4" w:space="0"/>
                  </w:tcBorders>
                  <w:noWrap/>
                  <w:vAlign w:val="bottom"/>
                </w:tcPr>
                <w:p w14:paraId="08A885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59.45 </w:t>
                  </w:r>
                </w:p>
              </w:tc>
            </w:tr>
            <w:tr w14:paraId="55442913">
              <w:tblPrEx>
                <w:tblCellMar>
                  <w:top w:w="0" w:type="dxa"/>
                  <w:left w:w="108" w:type="dxa"/>
                  <w:bottom w:w="0" w:type="dxa"/>
                  <w:right w:w="108" w:type="dxa"/>
                </w:tblCellMar>
              </w:tblPrEx>
              <w:trPr>
                <w:trHeight w:val="285" w:hRule="atLeast"/>
              </w:trPr>
              <w:tc>
                <w:tcPr>
                  <w:tcW w:w="183" w:type="pct"/>
                  <w:tcBorders>
                    <w:top w:val="nil"/>
                    <w:left w:val="single" w:color="auto" w:sz="4" w:space="0"/>
                    <w:bottom w:val="single" w:color="auto" w:sz="4" w:space="0"/>
                    <w:right w:val="single" w:color="auto" w:sz="4" w:space="0"/>
                  </w:tcBorders>
                  <w:noWrap/>
                  <w:vAlign w:val="bottom"/>
                </w:tcPr>
                <w:p w14:paraId="709CD4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9 </w:t>
                  </w:r>
                </w:p>
              </w:tc>
              <w:tc>
                <w:tcPr>
                  <w:tcW w:w="617" w:type="pct"/>
                  <w:tcBorders>
                    <w:top w:val="nil"/>
                    <w:left w:val="nil"/>
                    <w:bottom w:val="single" w:color="auto" w:sz="4" w:space="0"/>
                    <w:right w:val="single" w:color="auto" w:sz="4" w:space="0"/>
                  </w:tcBorders>
                  <w:noWrap/>
                  <w:vAlign w:val="center"/>
                </w:tcPr>
                <w:p w14:paraId="595EBE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合计</w:t>
                  </w:r>
                </w:p>
              </w:tc>
              <w:tc>
                <w:tcPr>
                  <w:tcW w:w="310" w:type="pct"/>
                  <w:tcBorders>
                    <w:top w:val="nil"/>
                    <w:left w:val="nil"/>
                    <w:bottom w:val="single" w:color="auto" w:sz="4" w:space="0"/>
                    <w:right w:val="single" w:color="auto" w:sz="4" w:space="0"/>
                  </w:tcBorders>
                  <w:noWrap/>
                  <w:vAlign w:val="center"/>
                </w:tcPr>
                <w:p w14:paraId="18B86E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117.17 </w:t>
                  </w:r>
                </w:p>
              </w:tc>
              <w:tc>
                <w:tcPr>
                  <w:tcW w:w="311" w:type="pct"/>
                  <w:tcBorders>
                    <w:top w:val="nil"/>
                    <w:left w:val="nil"/>
                    <w:bottom w:val="single" w:color="auto" w:sz="4" w:space="0"/>
                    <w:right w:val="single" w:color="auto" w:sz="4" w:space="0"/>
                  </w:tcBorders>
                  <w:noWrap/>
                  <w:vAlign w:val="center"/>
                </w:tcPr>
                <w:p w14:paraId="04677A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28.12 </w:t>
                  </w:r>
                </w:p>
              </w:tc>
              <w:tc>
                <w:tcPr>
                  <w:tcW w:w="310" w:type="pct"/>
                  <w:tcBorders>
                    <w:top w:val="nil"/>
                    <w:left w:val="nil"/>
                    <w:bottom w:val="single" w:color="auto" w:sz="4" w:space="0"/>
                    <w:right w:val="single" w:color="auto" w:sz="4" w:space="0"/>
                  </w:tcBorders>
                  <w:noWrap/>
                  <w:vAlign w:val="bottom"/>
                </w:tcPr>
                <w:p w14:paraId="0F0362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89.05 </w:t>
                  </w:r>
                </w:p>
              </w:tc>
              <w:tc>
                <w:tcPr>
                  <w:tcW w:w="271" w:type="pct"/>
                  <w:tcBorders>
                    <w:top w:val="nil"/>
                    <w:left w:val="nil"/>
                    <w:bottom w:val="single" w:color="auto" w:sz="4" w:space="0"/>
                    <w:right w:val="single" w:color="auto" w:sz="4" w:space="0"/>
                  </w:tcBorders>
                  <w:noWrap/>
                  <w:vAlign w:val="center"/>
                </w:tcPr>
                <w:p w14:paraId="0F7ADC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center"/>
                </w:tcPr>
                <w:p w14:paraId="16A46D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center"/>
                </w:tcPr>
                <w:p w14:paraId="204658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center"/>
                </w:tcPr>
                <w:p w14:paraId="4871F4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8" w:type="pct"/>
                  <w:tcBorders>
                    <w:top w:val="nil"/>
                    <w:left w:val="nil"/>
                    <w:bottom w:val="single" w:color="auto" w:sz="4" w:space="0"/>
                    <w:right w:val="single" w:color="auto" w:sz="4" w:space="0"/>
                  </w:tcBorders>
                  <w:noWrap/>
                  <w:vAlign w:val="center"/>
                </w:tcPr>
                <w:p w14:paraId="06F9B9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3" w:type="pct"/>
                  <w:tcBorders>
                    <w:top w:val="nil"/>
                    <w:left w:val="nil"/>
                    <w:bottom w:val="single" w:color="auto" w:sz="4" w:space="0"/>
                    <w:right w:val="single" w:color="auto" w:sz="4" w:space="0"/>
                  </w:tcBorders>
                  <w:noWrap/>
                  <w:vAlign w:val="center"/>
                </w:tcPr>
                <w:p w14:paraId="3C978C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271" w:type="pct"/>
                  <w:tcBorders>
                    <w:top w:val="nil"/>
                    <w:left w:val="nil"/>
                    <w:bottom w:val="single" w:color="auto" w:sz="4" w:space="0"/>
                    <w:right w:val="single" w:color="auto" w:sz="4" w:space="0"/>
                  </w:tcBorders>
                  <w:noWrap/>
                  <w:vAlign w:val="center"/>
                </w:tcPr>
                <w:p w14:paraId="1C7AD4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09" w:type="pct"/>
                  <w:tcBorders>
                    <w:top w:val="nil"/>
                    <w:left w:val="nil"/>
                    <w:bottom w:val="single" w:color="auto" w:sz="4" w:space="0"/>
                    <w:right w:val="single" w:color="auto" w:sz="4" w:space="0"/>
                  </w:tcBorders>
                  <w:noWrap/>
                  <w:vAlign w:val="center"/>
                </w:tcPr>
                <w:p w14:paraId="68B05E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87" w:type="pct"/>
                  <w:tcBorders>
                    <w:top w:val="nil"/>
                    <w:left w:val="nil"/>
                    <w:bottom w:val="single" w:color="auto" w:sz="4" w:space="0"/>
                    <w:right w:val="single" w:color="auto" w:sz="4" w:space="0"/>
                  </w:tcBorders>
                  <w:noWrap/>
                  <w:vAlign w:val="center"/>
                </w:tcPr>
                <w:p w14:paraId="2CCF0F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w:t>
                  </w:r>
                </w:p>
              </w:tc>
              <w:tc>
                <w:tcPr>
                  <w:tcW w:w="368" w:type="pct"/>
                  <w:tcBorders>
                    <w:top w:val="nil"/>
                    <w:left w:val="nil"/>
                    <w:bottom w:val="single" w:color="auto" w:sz="4" w:space="0"/>
                    <w:right w:val="single" w:color="auto" w:sz="4" w:space="0"/>
                  </w:tcBorders>
                  <w:noWrap/>
                  <w:vAlign w:val="bottom"/>
                </w:tcPr>
                <w:p w14:paraId="4B85FA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 xml:space="preserve">748.29 </w:t>
                  </w:r>
                </w:p>
              </w:tc>
            </w:tr>
          </w:tbl>
          <w:p w14:paraId="1EDF8AA4">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根据矿井瓦斯涌出量预测结果，顾北煤矿瓦斯绝对涌出量最大为117.17m</w:t>
            </w:r>
            <w:r>
              <w:rPr>
                <w:rFonts w:hint="eastAsia"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lang w:val="en-US" w:eastAsia="zh-CN" w:bidi="ar-SA"/>
              </w:rPr>
              <w:t>/min。</w:t>
            </w:r>
          </w:p>
          <w:p w14:paraId="196CD10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矿井回采工作面一般配风为1800～3000m</w:t>
            </w:r>
            <w:r>
              <w:rPr>
                <w:rFonts w:hint="eastAsia"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lang w:val="en-US" w:eastAsia="zh-CN" w:bidi="ar-SA"/>
              </w:rPr>
              <w:t>/min，掘进工作面一般配风为600～1200m</w:t>
            </w:r>
            <w:r>
              <w:rPr>
                <w:rFonts w:hint="eastAsia"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lang w:val="en-US" w:eastAsia="zh-CN" w:bidi="ar-SA"/>
              </w:rPr>
              <w:t>/min，工作面配风不能完全稀释回采工作面涌出的瓦斯，剩余的瓦斯采用瓦斯抽采的方法，采掘工作面风排瓦斯量取2.0～10.0m</w:t>
            </w:r>
            <w:r>
              <w:rPr>
                <w:rFonts w:hint="eastAsia"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lang w:val="en-US" w:eastAsia="zh-CN" w:bidi="ar-SA"/>
              </w:rPr>
              <w:t>/min；其他地点的瓦斯抽采情况参考风排瓦斯量以及有关规范对瓦斯抽采率的要求，按瓦斯涌出量的40％～80％进行抽采。</w:t>
            </w:r>
          </w:p>
          <w:p w14:paraId="418E1F76">
            <w:pPr>
              <w:pStyle w:val="102"/>
              <w:keepNext w:val="0"/>
              <w:keepLines w:val="0"/>
              <w:numPr>
                <w:ilvl w:val="0"/>
                <w:numId w:val="0"/>
              </w:numPr>
              <w:suppressLineNumbers w:val="0"/>
              <w:spacing w:before="0" w:beforeAutospacing="0" w:after="0" w:afterAutospacing="0"/>
              <w:ind w:left="0" w:right="0"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因此，根据瓦斯抽采达标需要以及拟采用的瓦斯分源抽采方法和参数，预计矿井需要抽采的最大瓦斯量为89.05m</w:t>
            </w:r>
            <w:r>
              <w:rPr>
                <w:rFonts w:hint="eastAsia"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lang w:val="en-US" w:eastAsia="zh-CN" w:bidi="ar-SA"/>
              </w:rPr>
              <w:t>/min，矿井瓦斯抽采率76.0%。</w:t>
            </w:r>
          </w:p>
          <w:p w14:paraId="662BC837">
            <w:pPr>
              <w:pStyle w:val="102"/>
              <w:keepNext w:val="0"/>
              <w:keepLines w:val="0"/>
              <w:numPr>
                <w:ilvl w:val="0"/>
                <w:numId w:val="0"/>
              </w:numPr>
              <w:suppressLineNumbers w:val="0"/>
              <w:spacing w:before="0" w:beforeAutospacing="0" w:after="0" w:afterAutospacing="0"/>
              <w:ind w:left="0" w:right="0" w:firstLine="480" w:firstLineChars="200"/>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sz w:val="24"/>
                <w:szCs w:val="24"/>
                <w:highlight w:val="none"/>
                <w:lang w:bidi="ar"/>
              </w:rPr>
              <w:t>矿井瓦斯抽采系统能力包括瓦斯抽采泵、地面及入井抽采管路、井下抽采干管通过能力</w:t>
            </w:r>
            <w:r>
              <w:rPr>
                <w:rFonts w:hint="default" w:ascii="Times New Roman" w:hAnsi="Times New Roman" w:eastAsia="宋体" w:cs="Times New Roman"/>
                <w:b w:val="0"/>
                <w:bCs w:val="0"/>
                <w:sz w:val="24"/>
                <w:szCs w:val="24"/>
                <w:highlight w:val="none"/>
                <w:lang w:eastAsia="zh-CN" w:bidi="ar"/>
              </w:rPr>
              <w:t>，</w:t>
            </w:r>
            <w:r>
              <w:rPr>
                <w:rFonts w:hint="default" w:ascii="Times New Roman" w:hAnsi="Times New Roman" w:eastAsia="宋体" w:cs="Times New Roman"/>
                <w:b w:val="0"/>
                <w:bCs w:val="0"/>
                <w:sz w:val="24"/>
                <w:szCs w:val="24"/>
                <w:highlight w:val="none"/>
              </w:rPr>
              <w:t>根据</w:t>
            </w:r>
            <w:bookmarkStart w:id="29" w:name="OLE_LINK67"/>
            <w:bookmarkStart w:id="30" w:name="OLE_LINK68"/>
            <w:r>
              <w:rPr>
                <w:rFonts w:hint="default" w:ascii="Times New Roman" w:hAnsi="Times New Roman" w:eastAsia="宋体" w:cs="Times New Roman"/>
                <w:b w:val="0"/>
                <w:bCs w:val="0"/>
                <w:sz w:val="24"/>
                <w:szCs w:val="24"/>
                <w:highlight w:val="none"/>
              </w:rPr>
              <w:t>《煤矿瓦斯抽采工程设计标准》（GB 50471-2018）和《安徽省煤矿瓦斯综合治理与利用办法（修订版）》</w:t>
            </w:r>
            <w:bookmarkEnd w:id="29"/>
            <w:bookmarkEnd w:id="30"/>
            <w:r>
              <w:rPr>
                <w:rFonts w:hint="default" w:ascii="Times New Roman" w:hAnsi="Times New Roman" w:eastAsia="宋体" w:cs="Times New Roman"/>
                <w:b w:val="0"/>
                <w:bCs w:val="0"/>
                <w:sz w:val="24"/>
                <w:szCs w:val="24"/>
                <w:highlight w:val="none"/>
                <w:lang w:val="en-US" w:eastAsia="zh-CN"/>
              </w:rPr>
              <w:t>经建设单位预测，</w:t>
            </w:r>
            <w:r>
              <w:rPr>
                <w:rFonts w:hint="default" w:ascii="Times New Roman" w:hAnsi="Times New Roman" w:eastAsia="宋体" w:cs="Times New Roman"/>
                <w:b w:val="0"/>
                <w:bCs w:val="0"/>
                <w:sz w:val="24"/>
                <w:szCs w:val="24"/>
                <w:highlight w:val="none"/>
              </w:rPr>
              <w:t>二水平生产后，井下瓦斯抽采混合量（标况）最大为748.29m</w:t>
            </w:r>
            <w:r>
              <w:rPr>
                <w:rFonts w:hint="default" w:ascii="Times New Roman" w:hAnsi="Times New Roman" w:eastAsia="宋体" w:cs="Times New Roman"/>
                <w:b w:val="0"/>
                <w:bCs w:val="0"/>
                <w:sz w:val="24"/>
                <w:szCs w:val="24"/>
                <w:highlight w:val="none"/>
                <w:vertAlign w:val="superscript"/>
              </w:rPr>
              <w:t>3</w:t>
            </w:r>
            <w:r>
              <w:rPr>
                <w:rFonts w:hint="default" w:ascii="Times New Roman" w:hAnsi="Times New Roman" w:eastAsia="宋体" w:cs="Times New Roman"/>
                <w:b w:val="0"/>
                <w:bCs w:val="0"/>
                <w:sz w:val="24"/>
                <w:szCs w:val="24"/>
                <w:highlight w:val="none"/>
              </w:rPr>
              <w:t>/min，需要管路抽采能</w:t>
            </w:r>
            <w:r>
              <w:rPr>
                <w:rFonts w:hint="default" w:ascii="Times New Roman" w:hAnsi="Times New Roman" w:eastAsia="宋体" w:cs="Times New Roman"/>
                <w:b w:val="0"/>
                <w:bCs w:val="0"/>
                <w:color w:val="auto"/>
                <w:sz w:val="24"/>
                <w:szCs w:val="24"/>
                <w:highlight w:val="none"/>
              </w:rPr>
              <w:t>力为1122.4m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/min，需要标况下抽采泵能力1870.7m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/min，需要瓦斯抽采泵额定能力约为3316.0m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/min。</w:t>
            </w:r>
          </w:p>
          <w:p w14:paraId="2E55D05C">
            <w:pPr>
              <w:pStyle w:val="71"/>
              <w:keepNext w:val="0"/>
              <w:keepLines w:val="0"/>
              <w:numPr>
                <w:ilvl w:val="1"/>
                <w:numId w:val="4"/>
              </w:numPr>
              <w:suppressLineNumbers w:val="0"/>
              <w:tabs>
                <w:tab w:val="left" w:pos="1260"/>
                <w:tab w:val="clear" w:pos="1440"/>
              </w:tabs>
              <w:spacing w:before="0" w:beforeAutospacing="0" w:afterAutospacing="0" w:line="240" w:lineRule="auto"/>
              <w:ind w:left="3290" w:leftChars="0" w:right="0" w:hanging="2650" w:firstLineChars="0"/>
              <w:jc w:val="both"/>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 xml:space="preserve"> 顾北煤矿需要瓦斯抽采系统能力预测结果表   单位：</w:t>
            </w:r>
            <w:r>
              <w:rPr>
                <w:rFonts w:hint="default" w:ascii="Times New Roman" w:hAnsi="Times New Roman" w:eastAsia="宋体" w:cs="Times New Roman"/>
                <w:b w:val="0"/>
                <w:bCs w:val="0"/>
                <w:color w:val="auto"/>
                <w:sz w:val="24"/>
                <w:szCs w:val="24"/>
                <w:highlight w:val="none"/>
              </w:rPr>
              <w:t>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/min</w:t>
            </w:r>
          </w:p>
          <w:tbl>
            <w:tblPr>
              <w:tblStyle w:val="28"/>
              <w:tblW w:w="7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798"/>
              <w:gridCol w:w="1018"/>
              <w:gridCol w:w="1134"/>
              <w:gridCol w:w="1115"/>
              <w:gridCol w:w="1282"/>
              <w:gridCol w:w="1095"/>
            </w:tblGrid>
            <w:tr w14:paraId="1625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7" w:type="pct"/>
                  <w:tcBorders>
                    <w:bottom w:val="single" w:color="auto" w:sz="4" w:space="0"/>
                  </w:tcBorders>
                  <w:noWrap w:val="0"/>
                  <w:vAlign w:val="center"/>
                </w:tcPr>
                <w:p w14:paraId="289396E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bookmarkStart w:id="31" w:name="OLE_LINK72"/>
                  <w:bookmarkStart w:id="32" w:name="OLE_LINK71"/>
                  <w:r>
                    <w:rPr>
                      <w:rFonts w:hint="default" w:ascii="Times New Roman" w:hAnsi="Times New Roman" w:eastAsia="宋体" w:cs="Times New Roman"/>
                      <w:color w:val="auto"/>
                      <w:szCs w:val="21"/>
                      <w:lang w:bidi="ar"/>
                    </w:rPr>
                    <w:t>时期</w:t>
                  </w:r>
                </w:p>
              </w:tc>
              <w:tc>
                <w:tcPr>
                  <w:tcW w:w="510" w:type="pct"/>
                  <w:tcBorders>
                    <w:bottom w:val="single" w:color="auto" w:sz="4" w:space="0"/>
                  </w:tcBorders>
                  <w:noWrap w:val="0"/>
                  <w:vAlign w:val="center"/>
                </w:tcPr>
                <w:p w14:paraId="06F7943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瓦斯</w:t>
                  </w:r>
                </w:p>
                <w:p w14:paraId="7533C63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涌出量</w:t>
                  </w:r>
                </w:p>
              </w:tc>
              <w:tc>
                <w:tcPr>
                  <w:tcW w:w="651" w:type="pct"/>
                  <w:tcBorders>
                    <w:bottom w:val="single" w:color="auto" w:sz="4" w:space="0"/>
                  </w:tcBorders>
                  <w:noWrap w:val="0"/>
                  <w:vAlign w:val="center"/>
                </w:tcPr>
                <w:p w14:paraId="73282F8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井下瓦斯抽采量</w:t>
                  </w:r>
                </w:p>
              </w:tc>
              <w:tc>
                <w:tcPr>
                  <w:tcW w:w="725" w:type="pct"/>
                  <w:tcBorders>
                    <w:bottom w:val="single" w:color="auto" w:sz="4" w:space="0"/>
                  </w:tcBorders>
                  <w:noWrap w:val="0"/>
                  <w:vAlign w:val="center"/>
                </w:tcPr>
                <w:p w14:paraId="63DF428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矿井瓦斯</w:t>
                  </w:r>
                </w:p>
                <w:p w14:paraId="4B7C5A2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抽采率（%）</w:t>
                  </w:r>
                </w:p>
              </w:tc>
              <w:tc>
                <w:tcPr>
                  <w:tcW w:w="713" w:type="pct"/>
                  <w:tcBorders>
                    <w:bottom w:val="single" w:color="auto" w:sz="4" w:space="0"/>
                  </w:tcBorders>
                  <w:noWrap w:val="0"/>
                  <w:vAlign w:val="center"/>
                </w:tcPr>
                <w:p w14:paraId="59FEB5C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井下抽采混合量</w:t>
                  </w:r>
                </w:p>
              </w:tc>
              <w:tc>
                <w:tcPr>
                  <w:tcW w:w="820" w:type="pct"/>
                  <w:tcBorders>
                    <w:bottom w:val="single" w:color="auto" w:sz="4" w:space="0"/>
                  </w:tcBorders>
                  <w:noWrap w:val="0"/>
                  <w:vAlign w:val="center"/>
                </w:tcPr>
                <w:p w14:paraId="1A767B7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需要</w:t>
                  </w:r>
                </w:p>
                <w:p w14:paraId="056983F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抽采管路</w:t>
                  </w:r>
                </w:p>
                <w:p w14:paraId="5358F7E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通过能力</w:t>
                  </w:r>
                </w:p>
              </w:tc>
              <w:tc>
                <w:tcPr>
                  <w:tcW w:w="700" w:type="pct"/>
                  <w:tcBorders>
                    <w:bottom w:val="single" w:color="auto" w:sz="4" w:space="0"/>
                  </w:tcBorders>
                  <w:noWrap w:val="0"/>
                  <w:vAlign w:val="center"/>
                </w:tcPr>
                <w:p w14:paraId="1E32584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需要</w:t>
                  </w:r>
                </w:p>
                <w:p w14:paraId="1FF9FB4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抽采泵</w:t>
                  </w:r>
                </w:p>
                <w:p w14:paraId="73B6DD7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额定能力</w:t>
                  </w:r>
                </w:p>
              </w:tc>
            </w:tr>
            <w:tr w14:paraId="3060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7" w:type="pct"/>
                  <w:tcBorders>
                    <w:top w:val="single" w:color="auto" w:sz="4" w:space="0"/>
                    <w:left w:val="single" w:color="auto" w:sz="4" w:space="0"/>
                    <w:bottom w:val="single" w:color="auto" w:sz="4" w:space="0"/>
                    <w:right w:val="single" w:color="auto" w:sz="4" w:space="0"/>
                  </w:tcBorders>
                  <w:noWrap w:val="0"/>
                  <w:vAlign w:val="center"/>
                </w:tcPr>
                <w:p w14:paraId="31CE18B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bookmarkStart w:id="33" w:name="OLE_LINK59" w:colFirst="0" w:colLast="64"/>
                  <w:bookmarkStart w:id="34" w:name="OLE_LINK60" w:colFirst="0" w:colLast="64"/>
                  <w:bookmarkStart w:id="35" w:name="_Hlk231310270"/>
                  <w:r>
                    <w:rPr>
                      <w:rFonts w:hint="default" w:ascii="Times New Roman" w:hAnsi="Times New Roman" w:eastAsia="宋体" w:cs="Times New Roman"/>
                      <w:szCs w:val="21"/>
                      <w:lang w:bidi="ar"/>
                    </w:rPr>
                    <w:t>北一1煤突出危险区生产时</w:t>
                  </w:r>
                </w:p>
              </w:tc>
              <w:tc>
                <w:tcPr>
                  <w:tcW w:w="510" w:type="pct"/>
                  <w:tcBorders>
                    <w:top w:val="single" w:color="auto" w:sz="4" w:space="0"/>
                    <w:left w:val="single" w:color="auto" w:sz="4" w:space="0"/>
                    <w:bottom w:val="single" w:color="auto" w:sz="4" w:space="0"/>
                    <w:right w:val="single" w:color="auto" w:sz="4" w:space="0"/>
                  </w:tcBorders>
                  <w:noWrap w:val="0"/>
                  <w:vAlign w:val="center"/>
                </w:tcPr>
                <w:p w14:paraId="2CFCBC9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107.27</w:t>
                  </w:r>
                </w:p>
              </w:tc>
              <w:tc>
                <w:tcPr>
                  <w:tcW w:w="651" w:type="pct"/>
                  <w:tcBorders>
                    <w:top w:val="single" w:color="auto" w:sz="4" w:space="0"/>
                    <w:left w:val="single" w:color="auto" w:sz="4" w:space="0"/>
                    <w:bottom w:val="single" w:color="auto" w:sz="4" w:space="0"/>
                    <w:right w:val="single" w:color="auto" w:sz="4" w:space="0"/>
                  </w:tcBorders>
                  <w:noWrap w:val="0"/>
                  <w:vAlign w:val="center"/>
                </w:tcPr>
                <w:p w14:paraId="2472912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78.51</w:t>
                  </w:r>
                </w:p>
              </w:tc>
              <w:tc>
                <w:tcPr>
                  <w:tcW w:w="725" w:type="pct"/>
                  <w:tcBorders>
                    <w:top w:val="single" w:color="auto" w:sz="4" w:space="0"/>
                    <w:left w:val="single" w:color="auto" w:sz="4" w:space="0"/>
                    <w:bottom w:val="single" w:color="auto" w:sz="4" w:space="0"/>
                    <w:right w:val="single" w:color="auto" w:sz="4" w:space="0"/>
                  </w:tcBorders>
                  <w:noWrap w:val="0"/>
                  <w:vAlign w:val="center"/>
                </w:tcPr>
                <w:p w14:paraId="6761189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73.2</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7D25D5F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717.0</w:t>
                  </w:r>
                </w:p>
              </w:tc>
              <w:tc>
                <w:tcPr>
                  <w:tcW w:w="820" w:type="pct"/>
                  <w:tcBorders>
                    <w:top w:val="single" w:color="auto" w:sz="4" w:space="0"/>
                    <w:left w:val="single" w:color="auto" w:sz="4" w:space="0"/>
                    <w:bottom w:val="single" w:color="auto" w:sz="4" w:space="0"/>
                    <w:right w:val="single" w:color="auto" w:sz="4" w:space="0"/>
                  </w:tcBorders>
                  <w:noWrap w:val="0"/>
                  <w:vAlign w:val="center"/>
                </w:tcPr>
                <w:p w14:paraId="45DD9847">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1075.5</w:t>
                  </w:r>
                </w:p>
              </w:tc>
              <w:tc>
                <w:tcPr>
                  <w:tcW w:w="700" w:type="pct"/>
                  <w:tcBorders>
                    <w:top w:val="single" w:color="auto" w:sz="4" w:space="0"/>
                    <w:left w:val="single" w:color="auto" w:sz="4" w:space="0"/>
                    <w:bottom w:val="single" w:color="auto" w:sz="4" w:space="0"/>
                    <w:right w:val="single" w:color="auto" w:sz="4" w:space="0"/>
                  </w:tcBorders>
                  <w:noWrap w:val="0"/>
                  <w:vAlign w:val="center"/>
                </w:tcPr>
                <w:p w14:paraId="267CA86C">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3177.4</w:t>
                  </w:r>
                </w:p>
              </w:tc>
            </w:tr>
            <w:tr w14:paraId="1E67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7" w:type="pct"/>
                  <w:tcBorders>
                    <w:top w:val="single" w:color="auto" w:sz="4" w:space="0"/>
                    <w:left w:val="single" w:color="auto" w:sz="4" w:space="0"/>
                    <w:bottom w:val="single" w:color="auto" w:sz="4" w:space="0"/>
                    <w:right w:val="single" w:color="auto" w:sz="4" w:space="0"/>
                  </w:tcBorders>
                  <w:noWrap w:val="0"/>
                  <w:vAlign w:val="center"/>
                </w:tcPr>
                <w:p w14:paraId="4AEDCB5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二水平生产时</w:t>
                  </w:r>
                </w:p>
              </w:tc>
              <w:tc>
                <w:tcPr>
                  <w:tcW w:w="510" w:type="pct"/>
                  <w:tcBorders>
                    <w:top w:val="single" w:color="auto" w:sz="4" w:space="0"/>
                    <w:left w:val="single" w:color="auto" w:sz="4" w:space="0"/>
                    <w:bottom w:val="single" w:color="auto" w:sz="4" w:space="0"/>
                    <w:right w:val="single" w:color="auto" w:sz="4" w:space="0"/>
                  </w:tcBorders>
                  <w:noWrap w:val="0"/>
                  <w:vAlign w:val="center"/>
                </w:tcPr>
                <w:p w14:paraId="5CDA5DD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117.17</w:t>
                  </w:r>
                </w:p>
              </w:tc>
              <w:tc>
                <w:tcPr>
                  <w:tcW w:w="651" w:type="pct"/>
                  <w:tcBorders>
                    <w:top w:val="single" w:color="auto" w:sz="4" w:space="0"/>
                    <w:left w:val="single" w:color="auto" w:sz="4" w:space="0"/>
                    <w:bottom w:val="single" w:color="auto" w:sz="4" w:space="0"/>
                    <w:right w:val="single" w:color="auto" w:sz="4" w:space="0"/>
                  </w:tcBorders>
                  <w:noWrap w:val="0"/>
                  <w:vAlign w:val="center"/>
                </w:tcPr>
                <w:p w14:paraId="2004BBC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89.05</w:t>
                  </w:r>
                </w:p>
              </w:tc>
              <w:tc>
                <w:tcPr>
                  <w:tcW w:w="725" w:type="pct"/>
                  <w:tcBorders>
                    <w:top w:val="single" w:color="auto" w:sz="4" w:space="0"/>
                    <w:left w:val="single" w:color="auto" w:sz="4" w:space="0"/>
                    <w:bottom w:val="single" w:color="auto" w:sz="4" w:space="0"/>
                    <w:right w:val="single" w:color="auto" w:sz="4" w:space="0"/>
                  </w:tcBorders>
                  <w:noWrap w:val="0"/>
                  <w:vAlign w:val="center"/>
                </w:tcPr>
                <w:p w14:paraId="13114D8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76.0</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2144314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748.29</w:t>
                  </w:r>
                </w:p>
              </w:tc>
              <w:tc>
                <w:tcPr>
                  <w:tcW w:w="820" w:type="pct"/>
                  <w:tcBorders>
                    <w:top w:val="single" w:color="auto" w:sz="4" w:space="0"/>
                    <w:left w:val="single" w:color="auto" w:sz="4" w:space="0"/>
                    <w:bottom w:val="single" w:color="auto" w:sz="4" w:space="0"/>
                    <w:right w:val="single" w:color="auto" w:sz="4" w:space="0"/>
                  </w:tcBorders>
                  <w:noWrap w:val="0"/>
                  <w:vAlign w:val="center"/>
                </w:tcPr>
                <w:p w14:paraId="4F29348A">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1122.4</w:t>
                  </w:r>
                </w:p>
              </w:tc>
              <w:tc>
                <w:tcPr>
                  <w:tcW w:w="700" w:type="pct"/>
                  <w:tcBorders>
                    <w:top w:val="single" w:color="auto" w:sz="4" w:space="0"/>
                    <w:left w:val="single" w:color="auto" w:sz="4" w:space="0"/>
                    <w:bottom w:val="single" w:color="auto" w:sz="4" w:space="0"/>
                    <w:right w:val="single" w:color="auto" w:sz="4" w:space="0"/>
                  </w:tcBorders>
                  <w:noWrap w:val="0"/>
                  <w:vAlign w:val="center"/>
                </w:tcPr>
                <w:p w14:paraId="4382D821">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3316.0</w:t>
                  </w:r>
                </w:p>
              </w:tc>
            </w:tr>
            <w:bookmarkEnd w:id="31"/>
            <w:bookmarkEnd w:id="32"/>
            <w:bookmarkEnd w:id="33"/>
            <w:bookmarkEnd w:id="34"/>
            <w:bookmarkEnd w:id="35"/>
          </w:tbl>
          <w:p w14:paraId="53195182">
            <w:pPr>
              <w:pStyle w:val="102"/>
              <w:keepNext w:val="0"/>
              <w:keepLines w:val="0"/>
              <w:suppressLineNumbers w:val="0"/>
              <w:spacing w:before="0" w:beforeAutospacing="0" w:after="0" w:afterAutospacing="0"/>
              <w:ind w:left="0" w:right="0" w:firstLine="482"/>
              <w:rPr>
                <w:rFonts w:hint="eastAsia" w:ascii="Times New Roman" w:hAnsi="Times New Roman" w:eastAsia="宋体" w:cs="Times New Roman"/>
                <w:color w:val="auto"/>
                <w:kern w:val="2"/>
                <w:szCs w:val="24"/>
                <w:lang w:val="en-US" w:eastAsia="zh-CN"/>
              </w:rPr>
            </w:pPr>
            <w:r>
              <w:rPr>
                <w:rFonts w:hint="eastAsia" w:ascii="Times New Roman" w:hAnsi="Times New Roman" w:eastAsia="宋体" w:cs="Times New Roman"/>
                <w:color w:val="auto"/>
                <w:kern w:val="2"/>
                <w:szCs w:val="24"/>
                <w:lang w:val="en-US" w:eastAsia="zh-CN"/>
              </w:rPr>
              <w:t>5、瓦斯气主要成分</w:t>
            </w:r>
          </w:p>
          <w:p w14:paraId="07333392">
            <w:pPr>
              <w:pStyle w:val="102"/>
              <w:keepNext w:val="0"/>
              <w:keepLines w:val="0"/>
              <w:numPr>
                <w:ilvl w:val="0"/>
                <w:numId w:val="0"/>
              </w:numPr>
              <w:suppressLineNumbers w:val="0"/>
              <w:spacing w:before="0" w:beforeAutospacing="0" w:after="0" w:afterAutospacing="0"/>
              <w:ind w:left="0" w:right="0" w:firstLine="480" w:firstLineChars="200"/>
              <w:rPr>
                <w:rFonts w:hint="eastAsia"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rPr>
              <w:t>根据建设单位提供瓦斯气检测报告可知，</w:t>
            </w:r>
            <w:r>
              <w:rPr>
                <w:rFonts w:hint="eastAsia" w:ascii="Times New Roman" w:hAnsi="Times New Roman" w:eastAsia="宋体" w:cs="Times New Roman"/>
                <w:b w:val="0"/>
                <w:bCs w:val="0"/>
                <w:sz w:val="24"/>
                <w:szCs w:val="24"/>
                <w:highlight w:val="none"/>
                <w:lang w:val="en-US" w:eastAsia="zh-CN"/>
              </w:rPr>
              <w:t>顾北煤矿抽采的瓦斯均为</w:t>
            </w:r>
            <w:r>
              <w:rPr>
                <w:rFonts w:hint="default" w:ascii="Times New Roman" w:hAnsi="Times New Roman" w:eastAsia="宋体" w:cs="Times New Roman"/>
                <w:b w:val="0"/>
                <w:bCs w:val="0"/>
                <w:sz w:val="24"/>
                <w:szCs w:val="24"/>
                <w:highlight w:val="none"/>
              </w:rPr>
              <w:t>低浓度瓦斯</w:t>
            </w:r>
            <w:r>
              <w:rPr>
                <w:rFonts w:hint="eastAsia" w:ascii="Times New Roman" w:hAnsi="Times New Roman" w:eastAsia="宋体" w:cs="Times New Roman"/>
                <w:b w:val="0"/>
                <w:bCs w:val="0"/>
                <w:sz w:val="24"/>
                <w:szCs w:val="24"/>
                <w:highlight w:val="none"/>
                <w:lang w:eastAsia="zh-CN"/>
              </w:rPr>
              <w:t>，</w:t>
            </w:r>
            <w:r>
              <w:rPr>
                <w:rFonts w:hint="eastAsia" w:ascii="Times New Roman" w:hAnsi="Times New Roman" w:eastAsia="宋体" w:cs="Times New Roman"/>
                <w:b w:val="0"/>
                <w:bCs w:val="0"/>
                <w:sz w:val="24"/>
                <w:szCs w:val="24"/>
                <w:highlight w:val="none"/>
                <w:lang w:val="en-US" w:eastAsia="zh-CN"/>
              </w:rPr>
              <w:t>瓦斯气主要成分为氧气、氮气和甲烷，详细成分见下表及附件。</w:t>
            </w:r>
          </w:p>
          <w:p w14:paraId="1EB35038">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 xml:space="preserve">   瓦斯气主要成分表</w:t>
            </w:r>
          </w:p>
          <w:tbl>
            <w:tblPr>
              <w:tblStyle w:val="117"/>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98"/>
              <w:gridCol w:w="660"/>
              <w:gridCol w:w="775"/>
              <w:gridCol w:w="891"/>
              <w:gridCol w:w="891"/>
              <w:gridCol w:w="775"/>
              <w:gridCol w:w="832"/>
              <w:gridCol w:w="776"/>
              <w:gridCol w:w="834"/>
            </w:tblGrid>
            <w:tr w14:paraId="21053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39" w:type="pct"/>
                  <w:vMerge w:val="restart"/>
                  <w:tcBorders>
                    <w:bottom w:val="nil"/>
                  </w:tcBorders>
                  <w:noWrap w:val="0"/>
                  <w:vAlign w:val="top"/>
                </w:tcPr>
                <w:p w14:paraId="4634985B">
                  <w:pPr>
                    <w:spacing w:line="346" w:lineRule="auto"/>
                    <w:rPr>
                      <w:rFonts w:ascii="Arial"/>
                      <w:sz w:val="21"/>
                    </w:rPr>
                  </w:pPr>
                </w:p>
                <w:p w14:paraId="7C13670E">
                  <w:pPr>
                    <w:pStyle w:val="118"/>
                    <w:spacing w:before="65" w:line="229" w:lineRule="auto"/>
                    <w:ind w:left="259"/>
                    <w:rPr>
                      <w:sz w:val="20"/>
                      <w:szCs w:val="20"/>
                    </w:rPr>
                  </w:pPr>
                  <w:r>
                    <w:rPr>
                      <w:spacing w:val="7"/>
                      <w:sz w:val="20"/>
                      <w:szCs w:val="20"/>
                    </w:rPr>
                    <w:t>化验时间</w:t>
                  </w:r>
                </w:p>
              </w:tc>
              <w:tc>
                <w:tcPr>
                  <w:tcW w:w="4160" w:type="pct"/>
                  <w:gridSpan w:val="8"/>
                  <w:noWrap w:val="0"/>
                  <w:vAlign w:val="top"/>
                </w:tcPr>
                <w:p w14:paraId="2F583482">
                  <w:pPr>
                    <w:pStyle w:val="118"/>
                    <w:spacing w:before="65" w:line="228" w:lineRule="auto"/>
                    <w:ind w:left="2712"/>
                    <w:rPr>
                      <w:sz w:val="20"/>
                      <w:szCs w:val="20"/>
                    </w:rPr>
                  </w:pPr>
                  <w:r>
                    <w:rPr>
                      <w:spacing w:val="7"/>
                      <w:sz w:val="20"/>
                      <w:szCs w:val="20"/>
                    </w:rPr>
                    <w:t>成分分析结果</w:t>
                  </w:r>
                </w:p>
              </w:tc>
            </w:tr>
            <w:tr w14:paraId="3B29A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39" w:type="pct"/>
                  <w:vMerge w:val="continue"/>
                  <w:tcBorders>
                    <w:top w:val="nil"/>
                    <w:bottom w:val="nil"/>
                  </w:tcBorders>
                  <w:noWrap w:val="0"/>
                  <w:vAlign w:val="top"/>
                </w:tcPr>
                <w:p w14:paraId="49D97865">
                  <w:pPr>
                    <w:rPr>
                      <w:rFonts w:ascii="Arial"/>
                      <w:sz w:val="21"/>
                    </w:rPr>
                  </w:pPr>
                </w:p>
              </w:tc>
              <w:tc>
                <w:tcPr>
                  <w:tcW w:w="427" w:type="pct"/>
                  <w:noWrap w:val="0"/>
                  <w:vAlign w:val="top"/>
                </w:tcPr>
                <w:p w14:paraId="121925BC">
                  <w:pPr>
                    <w:spacing w:before="110"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501" w:type="pct"/>
                  <w:noWrap w:val="0"/>
                  <w:vAlign w:val="top"/>
                </w:tcPr>
                <w:p w14:paraId="0CEB5470">
                  <w:pPr>
                    <w:spacing w:before="110" w:line="202" w:lineRule="auto"/>
                    <w:ind w:left="227"/>
                    <w:rPr>
                      <w:rFonts w:ascii="Times New Roman" w:hAnsi="Times New Roman" w:eastAsia="Times New Roman" w:cs="Times New Roman"/>
                      <w:sz w:val="13"/>
                      <w:szCs w:val="13"/>
                    </w:rPr>
                  </w:pPr>
                  <w:r>
                    <w:rPr>
                      <w:rFonts w:ascii="Times New Roman" w:hAnsi="Times New Roman" w:eastAsia="Times New Roman" w:cs="Times New Roman"/>
                      <w:sz w:val="20"/>
                      <w:szCs w:val="20"/>
                    </w:rPr>
                    <w:t>CH</w:t>
                  </w:r>
                  <w:r>
                    <w:rPr>
                      <w:rFonts w:ascii="Times New Roman" w:hAnsi="Times New Roman" w:eastAsia="Times New Roman" w:cs="Times New Roman"/>
                      <w:spacing w:val="8"/>
                      <w:position w:val="-1"/>
                      <w:sz w:val="13"/>
                      <w:szCs w:val="13"/>
                    </w:rPr>
                    <w:t>4</w:t>
                  </w:r>
                </w:p>
              </w:tc>
              <w:tc>
                <w:tcPr>
                  <w:tcW w:w="576" w:type="pct"/>
                  <w:noWrap w:val="0"/>
                  <w:vAlign w:val="top"/>
                </w:tcPr>
                <w:p w14:paraId="0410980A">
                  <w:pPr>
                    <w:spacing w:before="110" w:line="202" w:lineRule="auto"/>
                    <w:ind w:left="356"/>
                    <w:rPr>
                      <w:rFonts w:ascii="Times New Roman" w:hAnsi="Times New Roman" w:eastAsia="Times New Roman" w:cs="Times New Roman"/>
                      <w:sz w:val="13"/>
                      <w:szCs w:val="13"/>
                    </w:rPr>
                  </w:pPr>
                  <w:r>
                    <w:rPr>
                      <w:rFonts w:ascii="Times New Roman" w:hAnsi="Times New Roman" w:eastAsia="Times New Roman" w:cs="Times New Roman"/>
                      <w:spacing w:val="1"/>
                      <w:sz w:val="20"/>
                      <w:szCs w:val="20"/>
                    </w:rPr>
                    <w:t>O</w:t>
                  </w:r>
                  <w:r>
                    <w:rPr>
                      <w:rFonts w:ascii="Times New Roman" w:hAnsi="Times New Roman" w:eastAsia="Times New Roman" w:cs="Times New Roman"/>
                      <w:spacing w:val="1"/>
                      <w:position w:val="-1"/>
                      <w:sz w:val="13"/>
                      <w:szCs w:val="13"/>
                    </w:rPr>
                    <w:t>2</w:t>
                  </w:r>
                </w:p>
              </w:tc>
              <w:tc>
                <w:tcPr>
                  <w:tcW w:w="576" w:type="pct"/>
                  <w:noWrap w:val="0"/>
                  <w:vAlign w:val="top"/>
                </w:tcPr>
                <w:p w14:paraId="1B08864F">
                  <w:pPr>
                    <w:spacing w:before="113" w:line="199" w:lineRule="auto"/>
                    <w:ind w:left="348"/>
                    <w:rPr>
                      <w:rFonts w:ascii="Times New Roman" w:hAnsi="Times New Roman" w:eastAsia="Times New Roman" w:cs="Times New Roman"/>
                      <w:sz w:val="13"/>
                      <w:szCs w:val="13"/>
                    </w:rPr>
                  </w:pPr>
                  <w:r>
                    <w:rPr>
                      <w:rFonts w:ascii="Times New Roman" w:hAnsi="Times New Roman" w:eastAsia="Times New Roman" w:cs="Times New Roman"/>
                      <w:spacing w:val="6"/>
                      <w:sz w:val="20"/>
                      <w:szCs w:val="20"/>
                    </w:rPr>
                    <w:t>N</w:t>
                  </w:r>
                  <w:r>
                    <w:rPr>
                      <w:rFonts w:ascii="Times New Roman" w:hAnsi="Times New Roman" w:eastAsia="Times New Roman" w:cs="Times New Roman"/>
                      <w:spacing w:val="6"/>
                      <w:position w:val="-1"/>
                      <w:sz w:val="13"/>
                      <w:szCs w:val="13"/>
                    </w:rPr>
                    <w:t>2</w:t>
                  </w:r>
                </w:p>
              </w:tc>
              <w:tc>
                <w:tcPr>
                  <w:tcW w:w="501" w:type="pct"/>
                  <w:noWrap w:val="0"/>
                  <w:vAlign w:val="top"/>
                </w:tcPr>
                <w:p w14:paraId="460A6BBC">
                  <w:pPr>
                    <w:spacing w:before="110" w:line="202" w:lineRule="auto"/>
                    <w:ind w:left="227"/>
                    <w:rPr>
                      <w:rFonts w:ascii="Times New Roman" w:hAnsi="Times New Roman" w:eastAsia="Times New Roman" w:cs="Times New Roman"/>
                      <w:sz w:val="13"/>
                      <w:szCs w:val="13"/>
                    </w:rPr>
                  </w:pPr>
                  <w:r>
                    <w:rPr>
                      <w:rFonts w:ascii="Times New Roman" w:hAnsi="Times New Roman" w:eastAsia="Times New Roman" w:cs="Times New Roman"/>
                      <w:sz w:val="20"/>
                      <w:szCs w:val="20"/>
                    </w:rPr>
                    <w:t>CO</w:t>
                  </w:r>
                  <w:r>
                    <w:rPr>
                      <w:rFonts w:ascii="Times New Roman" w:hAnsi="Times New Roman" w:eastAsia="Times New Roman" w:cs="Times New Roman"/>
                      <w:spacing w:val="8"/>
                      <w:position w:val="-1"/>
                      <w:sz w:val="13"/>
                      <w:szCs w:val="13"/>
                    </w:rPr>
                    <w:t>2</w:t>
                  </w:r>
                </w:p>
              </w:tc>
              <w:tc>
                <w:tcPr>
                  <w:tcW w:w="538" w:type="pct"/>
                  <w:noWrap w:val="0"/>
                  <w:vAlign w:val="top"/>
                </w:tcPr>
                <w:p w14:paraId="054C70F5">
                  <w:pPr>
                    <w:spacing w:before="110" w:line="202" w:lineRule="auto"/>
                    <w:ind w:left="225"/>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C</w:t>
                  </w:r>
                  <w:r>
                    <w:rPr>
                      <w:rFonts w:ascii="Times New Roman" w:hAnsi="Times New Roman" w:eastAsia="Times New Roman" w:cs="Times New Roman"/>
                      <w:spacing w:val="2"/>
                      <w:position w:val="-1"/>
                      <w:sz w:val="13"/>
                      <w:szCs w:val="13"/>
                    </w:rPr>
                    <w:t>2</w:t>
                  </w:r>
                  <w:r>
                    <w:rPr>
                      <w:rFonts w:ascii="Times New Roman" w:hAnsi="Times New Roman" w:eastAsia="Times New Roman" w:cs="Times New Roman"/>
                      <w:spacing w:val="2"/>
                      <w:sz w:val="20"/>
                      <w:szCs w:val="20"/>
                    </w:rPr>
                    <w:t>H</w:t>
                  </w:r>
                  <w:r>
                    <w:rPr>
                      <w:rFonts w:ascii="Times New Roman" w:hAnsi="Times New Roman" w:eastAsia="Times New Roman" w:cs="Times New Roman"/>
                      <w:spacing w:val="2"/>
                      <w:position w:val="-1"/>
                      <w:sz w:val="13"/>
                      <w:szCs w:val="13"/>
                    </w:rPr>
                    <w:t>6</w:t>
                  </w:r>
                </w:p>
              </w:tc>
              <w:tc>
                <w:tcPr>
                  <w:tcW w:w="502" w:type="pct"/>
                  <w:noWrap w:val="0"/>
                  <w:vAlign w:val="top"/>
                </w:tcPr>
                <w:p w14:paraId="6EEE4856">
                  <w:pPr>
                    <w:spacing w:before="110" w:line="202" w:lineRule="auto"/>
                    <w:ind w:left="196"/>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C</w:t>
                  </w:r>
                  <w:r>
                    <w:rPr>
                      <w:rFonts w:ascii="Times New Roman" w:hAnsi="Times New Roman" w:eastAsia="Times New Roman" w:cs="Times New Roman"/>
                      <w:spacing w:val="2"/>
                      <w:position w:val="-1"/>
                      <w:sz w:val="13"/>
                      <w:szCs w:val="13"/>
                    </w:rPr>
                    <w:t>2</w:t>
                  </w:r>
                  <w:r>
                    <w:rPr>
                      <w:rFonts w:ascii="Times New Roman" w:hAnsi="Times New Roman" w:eastAsia="Times New Roman" w:cs="Times New Roman"/>
                      <w:spacing w:val="2"/>
                      <w:sz w:val="20"/>
                      <w:szCs w:val="20"/>
                    </w:rPr>
                    <w:t>H</w:t>
                  </w:r>
                  <w:r>
                    <w:rPr>
                      <w:rFonts w:ascii="Times New Roman" w:hAnsi="Times New Roman" w:eastAsia="Times New Roman" w:cs="Times New Roman"/>
                      <w:spacing w:val="2"/>
                      <w:position w:val="-1"/>
                      <w:sz w:val="13"/>
                      <w:szCs w:val="13"/>
                    </w:rPr>
                    <w:t>4</w:t>
                  </w:r>
                </w:p>
              </w:tc>
              <w:tc>
                <w:tcPr>
                  <w:tcW w:w="536" w:type="pct"/>
                  <w:noWrap w:val="0"/>
                  <w:vAlign w:val="top"/>
                </w:tcPr>
                <w:p w14:paraId="38C0B40D">
                  <w:pPr>
                    <w:spacing w:before="110" w:line="202" w:lineRule="auto"/>
                    <w:ind w:left="220"/>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C</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p>
              </w:tc>
            </w:tr>
            <w:tr w14:paraId="78474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39" w:type="pct"/>
                  <w:vMerge w:val="continue"/>
                  <w:tcBorders>
                    <w:top w:val="nil"/>
                  </w:tcBorders>
                  <w:noWrap w:val="0"/>
                  <w:vAlign w:val="top"/>
                </w:tcPr>
                <w:p w14:paraId="38A7B4AD">
                  <w:pPr>
                    <w:rPr>
                      <w:rFonts w:ascii="Arial"/>
                      <w:sz w:val="21"/>
                    </w:rPr>
                  </w:pPr>
                </w:p>
              </w:tc>
              <w:tc>
                <w:tcPr>
                  <w:tcW w:w="427" w:type="pct"/>
                  <w:noWrap w:val="0"/>
                  <w:vAlign w:val="top"/>
                </w:tcPr>
                <w:p w14:paraId="74BA313A">
                  <w:pPr>
                    <w:spacing w:before="150" w:line="142" w:lineRule="exact"/>
                    <w:ind w:left="153"/>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ppm</w:t>
                  </w:r>
                </w:p>
              </w:tc>
              <w:tc>
                <w:tcPr>
                  <w:tcW w:w="501" w:type="pct"/>
                  <w:noWrap w:val="0"/>
                  <w:vAlign w:val="top"/>
                </w:tcPr>
                <w:p w14:paraId="5D602BDC">
                  <w:pPr>
                    <w:spacing w:before="104" w:line="195" w:lineRule="auto"/>
                    <w:ind w:left="318"/>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576" w:type="pct"/>
                  <w:noWrap w:val="0"/>
                  <w:vAlign w:val="top"/>
                </w:tcPr>
                <w:p w14:paraId="6D5A96DA">
                  <w:pPr>
                    <w:spacing w:before="104" w:line="195" w:lineRule="auto"/>
                    <w:ind w:left="378"/>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576" w:type="pct"/>
                  <w:noWrap w:val="0"/>
                  <w:vAlign w:val="top"/>
                </w:tcPr>
                <w:p w14:paraId="283FFE18">
                  <w:pPr>
                    <w:spacing w:before="104" w:line="195" w:lineRule="auto"/>
                    <w:ind w:left="379"/>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501" w:type="pct"/>
                  <w:noWrap w:val="0"/>
                  <w:vAlign w:val="top"/>
                </w:tcPr>
                <w:p w14:paraId="5F4383B7">
                  <w:pPr>
                    <w:spacing w:before="104" w:line="195" w:lineRule="auto"/>
                    <w:ind w:left="321"/>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538" w:type="pct"/>
                  <w:noWrap w:val="0"/>
                  <w:vAlign w:val="top"/>
                </w:tcPr>
                <w:p w14:paraId="5C848667">
                  <w:pPr>
                    <w:spacing w:before="150" w:line="142" w:lineRule="exact"/>
                    <w:ind w:left="243"/>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ppm</w:t>
                  </w:r>
                </w:p>
              </w:tc>
              <w:tc>
                <w:tcPr>
                  <w:tcW w:w="502" w:type="pct"/>
                  <w:noWrap w:val="0"/>
                  <w:vAlign w:val="top"/>
                </w:tcPr>
                <w:p w14:paraId="259319FD">
                  <w:pPr>
                    <w:spacing w:before="150" w:line="142" w:lineRule="exact"/>
                    <w:ind w:left="214"/>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ppm</w:t>
                  </w:r>
                </w:p>
              </w:tc>
              <w:tc>
                <w:tcPr>
                  <w:tcW w:w="536" w:type="pct"/>
                  <w:noWrap w:val="0"/>
                  <w:vAlign w:val="top"/>
                </w:tcPr>
                <w:p w14:paraId="3EE90514">
                  <w:pPr>
                    <w:spacing w:before="150" w:line="142" w:lineRule="exact"/>
                    <w:ind w:left="241"/>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ppm</w:t>
                  </w:r>
                </w:p>
              </w:tc>
            </w:tr>
            <w:tr w14:paraId="1591C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839" w:type="pct"/>
                  <w:noWrap w:val="0"/>
                  <w:vAlign w:val="top"/>
                </w:tcPr>
                <w:p w14:paraId="164CCACC">
                  <w:pPr>
                    <w:spacing w:before="101"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2025.12.31</w:t>
                  </w:r>
                </w:p>
              </w:tc>
              <w:tc>
                <w:tcPr>
                  <w:tcW w:w="427" w:type="pct"/>
                  <w:noWrap w:val="0"/>
                  <w:vAlign w:val="top"/>
                </w:tcPr>
                <w:p w14:paraId="347F6CDA">
                  <w:pPr>
                    <w:spacing w:before="10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1" w:type="pct"/>
                  <w:noWrap w:val="0"/>
                  <w:vAlign w:val="top"/>
                </w:tcPr>
                <w:p w14:paraId="74DEC8D6">
                  <w:pPr>
                    <w:spacing w:before="101"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w:t>
                  </w:r>
                </w:p>
              </w:tc>
              <w:tc>
                <w:tcPr>
                  <w:tcW w:w="576" w:type="pct"/>
                  <w:noWrap w:val="0"/>
                  <w:vAlign w:val="top"/>
                </w:tcPr>
                <w:p w14:paraId="303D6797">
                  <w:pPr>
                    <w:spacing w:before="101"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576" w:type="pct"/>
                  <w:noWrap w:val="0"/>
                  <w:vAlign w:val="top"/>
                </w:tcPr>
                <w:p w14:paraId="3EA4678A">
                  <w:pPr>
                    <w:spacing w:before="101"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501" w:type="pct"/>
                  <w:noWrap w:val="0"/>
                  <w:vAlign w:val="top"/>
                </w:tcPr>
                <w:p w14:paraId="3B200E3E">
                  <w:pPr>
                    <w:spacing w:before="101"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697FBB20">
                  <w:pPr>
                    <w:spacing w:before="101"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3DE2ABF8">
                  <w:pPr>
                    <w:spacing w:before="101"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51BB259C">
                  <w:pPr>
                    <w:spacing w:before="101"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3ACC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839" w:type="pct"/>
                  <w:noWrap w:val="0"/>
                  <w:vAlign w:val="top"/>
                </w:tcPr>
                <w:p w14:paraId="0BCD29ED">
                  <w:pPr>
                    <w:spacing w:before="102"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2025.12.31</w:t>
                  </w:r>
                </w:p>
              </w:tc>
              <w:tc>
                <w:tcPr>
                  <w:tcW w:w="427" w:type="pct"/>
                  <w:noWrap w:val="0"/>
                  <w:vAlign w:val="top"/>
                </w:tcPr>
                <w:p w14:paraId="2B0DFFDF">
                  <w:pPr>
                    <w:spacing w:before="102" w:line="195" w:lineRule="auto"/>
                    <w:ind w:left="31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01" w:type="pct"/>
                  <w:noWrap w:val="0"/>
                  <w:vAlign w:val="top"/>
                </w:tcPr>
                <w:p w14:paraId="6430D990">
                  <w:pPr>
                    <w:spacing w:before="102"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576" w:type="pct"/>
                  <w:noWrap w:val="0"/>
                  <w:vAlign w:val="top"/>
                </w:tcPr>
                <w:p w14:paraId="0C39000D">
                  <w:pPr>
                    <w:spacing w:before="102"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576" w:type="pct"/>
                  <w:noWrap w:val="0"/>
                  <w:vAlign w:val="top"/>
                </w:tcPr>
                <w:p w14:paraId="1805A277">
                  <w:pPr>
                    <w:spacing w:before="105" w:line="192"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77.5</w:t>
                  </w:r>
                </w:p>
              </w:tc>
              <w:tc>
                <w:tcPr>
                  <w:tcW w:w="501" w:type="pct"/>
                  <w:noWrap w:val="0"/>
                  <w:vAlign w:val="top"/>
                </w:tcPr>
                <w:p w14:paraId="6B88B1F8">
                  <w:pPr>
                    <w:spacing w:before="102"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50BF04CA">
                  <w:pPr>
                    <w:spacing w:before="102"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53ED25BE">
                  <w:pPr>
                    <w:spacing w:before="102"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36124887">
                  <w:pPr>
                    <w:spacing w:before="102"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E968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5418D4EF">
                  <w:pPr>
                    <w:spacing w:before="103"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2025.12.31</w:t>
                  </w:r>
                </w:p>
              </w:tc>
              <w:tc>
                <w:tcPr>
                  <w:tcW w:w="427" w:type="pct"/>
                  <w:noWrap w:val="0"/>
                  <w:vAlign w:val="top"/>
                </w:tcPr>
                <w:p w14:paraId="18F167D8">
                  <w:pPr>
                    <w:spacing w:before="104" w:line="195" w:lineRule="auto"/>
                    <w:ind w:left="28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01" w:type="pct"/>
                  <w:noWrap w:val="0"/>
                  <w:vAlign w:val="top"/>
                </w:tcPr>
                <w:p w14:paraId="616A2A94">
                  <w:pPr>
                    <w:spacing w:before="103"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576" w:type="pct"/>
                  <w:noWrap w:val="0"/>
                  <w:vAlign w:val="top"/>
                </w:tcPr>
                <w:p w14:paraId="7500887E">
                  <w:pPr>
                    <w:spacing w:before="103"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18.6</w:t>
                  </w:r>
                </w:p>
              </w:tc>
              <w:tc>
                <w:tcPr>
                  <w:tcW w:w="576" w:type="pct"/>
                  <w:noWrap w:val="0"/>
                  <w:vAlign w:val="top"/>
                </w:tcPr>
                <w:p w14:paraId="64AA8C63">
                  <w:pPr>
                    <w:spacing w:before="103"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77.0</w:t>
                  </w:r>
                </w:p>
              </w:tc>
              <w:tc>
                <w:tcPr>
                  <w:tcW w:w="501" w:type="pct"/>
                  <w:noWrap w:val="0"/>
                  <w:vAlign w:val="top"/>
                </w:tcPr>
                <w:p w14:paraId="49B4DB98">
                  <w:pPr>
                    <w:spacing w:before="10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538" w:type="pct"/>
                  <w:noWrap w:val="0"/>
                  <w:vAlign w:val="top"/>
                </w:tcPr>
                <w:p w14:paraId="4DCAD50D">
                  <w:pPr>
                    <w:spacing w:before="103"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464AEFE9">
                  <w:pPr>
                    <w:spacing w:before="103"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5D93EA40">
                  <w:pPr>
                    <w:spacing w:before="103"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7923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795E05EE">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2026.02.05</w:t>
                  </w:r>
                </w:p>
              </w:tc>
              <w:tc>
                <w:tcPr>
                  <w:tcW w:w="427" w:type="pct"/>
                  <w:noWrap w:val="0"/>
                  <w:vAlign w:val="top"/>
                </w:tcPr>
                <w:p w14:paraId="21EF463B">
                  <w:pPr>
                    <w:spacing w:before="10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501" w:type="pct"/>
                  <w:noWrap w:val="0"/>
                  <w:vAlign w:val="top"/>
                </w:tcPr>
                <w:p w14:paraId="4F043229">
                  <w:pPr>
                    <w:spacing w:before="104"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576" w:type="pct"/>
                  <w:noWrap w:val="0"/>
                  <w:vAlign w:val="top"/>
                </w:tcPr>
                <w:p w14:paraId="16FB53F9">
                  <w:pPr>
                    <w:spacing w:before="104"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17.6</w:t>
                  </w:r>
                </w:p>
              </w:tc>
              <w:tc>
                <w:tcPr>
                  <w:tcW w:w="576" w:type="pct"/>
                  <w:noWrap w:val="0"/>
                  <w:vAlign w:val="top"/>
                </w:tcPr>
                <w:p w14:paraId="267336CE">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501" w:type="pct"/>
                  <w:noWrap w:val="0"/>
                  <w:vAlign w:val="top"/>
                </w:tcPr>
                <w:p w14:paraId="5037333B">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38" w:type="pct"/>
                  <w:noWrap w:val="0"/>
                  <w:vAlign w:val="top"/>
                </w:tcPr>
                <w:p w14:paraId="6BDE9F11">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0C492B73">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56B47DDB">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F409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839" w:type="pct"/>
                  <w:noWrap w:val="0"/>
                  <w:vAlign w:val="top"/>
                </w:tcPr>
                <w:p w14:paraId="3A8479A1">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2026.02.05</w:t>
                  </w:r>
                </w:p>
              </w:tc>
              <w:tc>
                <w:tcPr>
                  <w:tcW w:w="427" w:type="pct"/>
                  <w:noWrap w:val="0"/>
                  <w:vAlign w:val="top"/>
                </w:tcPr>
                <w:p w14:paraId="2E441A73">
                  <w:pPr>
                    <w:spacing w:before="104" w:line="195" w:lineRule="auto"/>
                    <w:ind w:left="25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501" w:type="pct"/>
                  <w:noWrap w:val="0"/>
                  <w:vAlign w:val="top"/>
                </w:tcPr>
                <w:p w14:paraId="2A341F10">
                  <w:pPr>
                    <w:spacing w:before="104"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3.4</w:t>
                  </w:r>
                </w:p>
              </w:tc>
              <w:tc>
                <w:tcPr>
                  <w:tcW w:w="576" w:type="pct"/>
                  <w:noWrap w:val="0"/>
                  <w:vAlign w:val="top"/>
                </w:tcPr>
                <w:p w14:paraId="3B4B3AA2">
                  <w:pPr>
                    <w:spacing w:before="104"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19.9</w:t>
                  </w:r>
                </w:p>
              </w:tc>
              <w:tc>
                <w:tcPr>
                  <w:tcW w:w="576" w:type="pct"/>
                  <w:noWrap w:val="0"/>
                  <w:vAlign w:val="top"/>
                </w:tcPr>
                <w:p w14:paraId="523AB834">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76.6</w:t>
                  </w:r>
                </w:p>
              </w:tc>
              <w:tc>
                <w:tcPr>
                  <w:tcW w:w="501" w:type="pct"/>
                  <w:noWrap w:val="0"/>
                  <w:vAlign w:val="top"/>
                </w:tcPr>
                <w:p w14:paraId="3CC79DBA">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60999D77">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6929B493">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480AE00D">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CEDD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7A3B8989">
                  <w:pPr>
                    <w:spacing w:before="106"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2026.02.05</w:t>
                  </w:r>
                </w:p>
              </w:tc>
              <w:tc>
                <w:tcPr>
                  <w:tcW w:w="427" w:type="pct"/>
                  <w:noWrap w:val="0"/>
                  <w:vAlign w:val="top"/>
                </w:tcPr>
                <w:p w14:paraId="772333EC">
                  <w:pPr>
                    <w:spacing w:before="106"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501" w:type="pct"/>
                  <w:noWrap w:val="0"/>
                  <w:vAlign w:val="top"/>
                </w:tcPr>
                <w:p w14:paraId="12056C56">
                  <w:pPr>
                    <w:spacing w:before="106"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576" w:type="pct"/>
                  <w:noWrap w:val="0"/>
                  <w:vAlign w:val="top"/>
                </w:tcPr>
                <w:p w14:paraId="2CAFC445">
                  <w:pPr>
                    <w:spacing w:before="106"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c>
                <w:tcPr>
                  <w:tcW w:w="576" w:type="pct"/>
                  <w:noWrap w:val="0"/>
                  <w:vAlign w:val="top"/>
                </w:tcPr>
                <w:p w14:paraId="0E9CDC28">
                  <w:pPr>
                    <w:spacing w:before="106"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77.9</w:t>
                  </w:r>
                </w:p>
              </w:tc>
              <w:tc>
                <w:tcPr>
                  <w:tcW w:w="501" w:type="pct"/>
                  <w:noWrap w:val="0"/>
                  <w:vAlign w:val="top"/>
                </w:tcPr>
                <w:p w14:paraId="5349DBCF">
                  <w:pPr>
                    <w:spacing w:before="106"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0.0</w:t>
                  </w:r>
                </w:p>
              </w:tc>
              <w:tc>
                <w:tcPr>
                  <w:tcW w:w="538" w:type="pct"/>
                  <w:noWrap w:val="0"/>
                  <w:vAlign w:val="top"/>
                </w:tcPr>
                <w:p w14:paraId="508F2818">
                  <w:pPr>
                    <w:spacing w:before="106"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7B1B4F71">
                  <w:pPr>
                    <w:spacing w:before="106"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59DFF1BA">
                  <w:pPr>
                    <w:spacing w:before="106"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4DA8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1D47A726">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2026.02.06</w:t>
                  </w:r>
                </w:p>
              </w:tc>
              <w:tc>
                <w:tcPr>
                  <w:tcW w:w="427" w:type="pct"/>
                  <w:noWrap w:val="0"/>
                  <w:vAlign w:val="top"/>
                </w:tcPr>
                <w:p w14:paraId="3E358042">
                  <w:pPr>
                    <w:spacing w:before="107" w:line="192"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01" w:type="pct"/>
                  <w:noWrap w:val="0"/>
                  <w:vAlign w:val="top"/>
                </w:tcPr>
                <w:p w14:paraId="2C7AC85F">
                  <w:pPr>
                    <w:spacing w:before="104"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76" w:type="pct"/>
                  <w:noWrap w:val="0"/>
                  <w:vAlign w:val="top"/>
                </w:tcPr>
                <w:p w14:paraId="52E27ADB">
                  <w:pPr>
                    <w:spacing w:before="104"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19.0</w:t>
                  </w:r>
                </w:p>
              </w:tc>
              <w:tc>
                <w:tcPr>
                  <w:tcW w:w="576" w:type="pct"/>
                  <w:noWrap w:val="0"/>
                  <w:vAlign w:val="top"/>
                </w:tcPr>
                <w:p w14:paraId="5B0D1FA0">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74.8</w:t>
                  </w:r>
                </w:p>
              </w:tc>
              <w:tc>
                <w:tcPr>
                  <w:tcW w:w="501" w:type="pct"/>
                  <w:noWrap w:val="0"/>
                  <w:vAlign w:val="top"/>
                </w:tcPr>
                <w:p w14:paraId="12A85022">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38" w:type="pct"/>
                  <w:noWrap w:val="0"/>
                  <w:vAlign w:val="top"/>
                </w:tcPr>
                <w:p w14:paraId="166C7FEE">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54431469">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621BD4B2">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ECD5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131B0184">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2026.02.06</w:t>
                  </w:r>
                </w:p>
              </w:tc>
              <w:tc>
                <w:tcPr>
                  <w:tcW w:w="427" w:type="pct"/>
                  <w:noWrap w:val="0"/>
                  <w:vAlign w:val="top"/>
                </w:tcPr>
                <w:p w14:paraId="6FC9BE01">
                  <w:pPr>
                    <w:spacing w:before="104" w:line="195" w:lineRule="auto"/>
                    <w:ind w:left="298"/>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501" w:type="pct"/>
                  <w:noWrap w:val="0"/>
                  <w:vAlign w:val="top"/>
                </w:tcPr>
                <w:p w14:paraId="0CFBCFC0">
                  <w:pPr>
                    <w:spacing w:before="104"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576" w:type="pct"/>
                  <w:noWrap w:val="0"/>
                  <w:vAlign w:val="top"/>
                </w:tcPr>
                <w:p w14:paraId="04AD7156">
                  <w:pPr>
                    <w:spacing w:before="10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576" w:type="pct"/>
                  <w:noWrap w:val="0"/>
                  <w:vAlign w:val="top"/>
                </w:tcPr>
                <w:p w14:paraId="7A5F9E84">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76.0</w:t>
                  </w:r>
                </w:p>
              </w:tc>
              <w:tc>
                <w:tcPr>
                  <w:tcW w:w="501" w:type="pct"/>
                  <w:noWrap w:val="0"/>
                  <w:vAlign w:val="top"/>
                </w:tcPr>
                <w:p w14:paraId="0A42E43E">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790E1647">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5D94CC6B">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19FB0849">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8B08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1FBAC0DC">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2026.02.06</w:t>
                  </w:r>
                </w:p>
              </w:tc>
              <w:tc>
                <w:tcPr>
                  <w:tcW w:w="427" w:type="pct"/>
                  <w:noWrap w:val="0"/>
                  <w:vAlign w:val="top"/>
                </w:tcPr>
                <w:p w14:paraId="7A95BC23">
                  <w:pPr>
                    <w:spacing w:before="105" w:line="195" w:lineRule="auto"/>
                    <w:ind w:left="28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01" w:type="pct"/>
                  <w:noWrap w:val="0"/>
                  <w:vAlign w:val="top"/>
                </w:tcPr>
                <w:p w14:paraId="0A3C2991">
                  <w:pPr>
                    <w:spacing w:before="104"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576" w:type="pct"/>
                  <w:noWrap w:val="0"/>
                  <w:vAlign w:val="top"/>
                </w:tcPr>
                <w:p w14:paraId="7D594281">
                  <w:pPr>
                    <w:spacing w:before="10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576" w:type="pct"/>
                  <w:noWrap w:val="0"/>
                  <w:vAlign w:val="top"/>
                </w:tcPr>
                <w:p w14:paraId="70B342B3">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76.7</w:t>
                  </w:r>
                </w:p>
              </w:tc>
              <w:tc>
                <w:tcPr>
                  <w:tcW w:w="501" w:type="pct"/>
                  <w:noWrap w:val="0"/>
                  <w:vAlign w:val="top"/>
                </w:tcPr>
                <w:p w14:paraId="2AE07F1B">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38" w:type="pct"/>
                  <w:noWrap w:val="0"/>
                  <w:vAlign w:val="top"/>
                </w:tcPr>
                <w:p w14:paraId="4DF91373">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66B82ABE">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71055E8B">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23FE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0A3E88DF">
                  <w:pPr>
                    <w:spacing w:before="105"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2026.02.07</w:t>
                  </w:r>
                </w:p>
              </w:tc>
              <w:tc>
                <w:tcPr>
                  <w:tcW w:w="427" w:type="pct"/>
                  <w:noWrap w:val="0"/>
                  <w:vAlign w:val="top"/>
                </w:tcPr>
                <w:p w14:paraId="7D2C7E7A">
                  <w:pPr>
                    <w:spacing w:before="105"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501" w:type="pct"/>
                  <w:noWrap w:val="0"/>
                  <w:vAlign w:val="top"/>
                </w:tcPr>
                <w:p w14:paraId="376F7CB0">
                  <w:pPr>
                    <w:spacing w:before="105"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76" w:type="pct"/>
                  <w:noWrap w:val="0"/>
                  <w:vAlign w:val="top"/>
                </w:tcPr>
                <w:p w14:paraId="284AF5CA">
                  <w:pPr>
                    <w:spacing w:before="105"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19.3</w:t>
                  </w:r>
                </w:p>
              </w:tc>
              <w:tc>
                <w:tcPr>
                  <w:tcW w:w="576" w:type="pct"/>
                  <w:noWrap w:val="0"/>
                  <w:vAlign w:val="top"/>
                </w:tcPr>
                <w:p w14:paraId="5F5F7FD3">
                  <w:pPr>
                    <w:spacing w:before="105"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74.9</w:t>
                  </w:r>
                </w:p>
              </w:tc>
              <w:tc>
                <w:tcPr>
                  <w:tcW w:w="501" w:type="pct"/>
                  <w:noWrap w:val="0"/>
                  <w:vAlign w:val="top"/>
                </w:tcPr>
                <w:p w14:paraId="556C26B9">
                  <w:pPr>
                    <w:spacing w:before="105"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38" w:type="pct"/>
                  <w:noWrap w:val="0"/>
                  <w:vAlign w:val="top"/>
                </w:tcPr>
                <w:p w14:paraId="429224C8">
                  <w:pPr>
                    <w:spacing w:before="105"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652F268E">
                  <w:pPr>
                    <w:spacing w:before="105"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05124AAE">
                  <w:pPr>
                    <w:spacing w:before="105"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7AE0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241048FA">
                  <w:pPr>
                    <w:spacing w:before="105"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2026.02.07</w:t>
                  </w:r>
                </w:p>
              </w:tc>
              <w:tc>
                <w:tcPr>
                  <w:tcW w:w="427" w:type="pct"/>
                  <w:noWrap w:val="0"/>
                  <w:vAlign w:val="top"/>
                </w:tcPr>
                <w:p w14:paraId="78A3E732">
                  <w:pPr>
                    <w:spacing w:before="108" w:line="192"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01" w:type="pct"/>
                  <w:noWrap w:val="0"/>
                  <w:vAlign w:val="top"/>
                </w:tcPr>
                <w:p w14:paraId="6951C991">
                  <w:pPr>
                    <w:spacing w:before="105"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576" w:type="pct"/>
                  <w:noWrap w:val="0"/>
                  <w:vAlign w:val="top"/>
                </w:tcPr>
                <w:p w14:paraId="3DEA9E31">
                  <w:pPr>
                    <w:spacing w:before="10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576" w:type="pct"/>
                  <w:noWrap w:val="0"/>
                  <w:vAlign w:val="top"/>
                </w:tcPr>
                <w:p w14:paraId="53C9C0E6">
                  <w:pPr>
                    <w:spacing w:before="105"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77.0</w:t>
                  </w:r>
                </w:p>
              </w:tc>
              <w:tc>
                <w:tcPr>
                  <w:tcW w:w="501" w:type="pct"/>
                  <w:noWrap w:val="0"/>
                  <w:vAlign w:val="top"/>
                </w:tcPr>
                <w:p w14:paraId="482F47CD">
                  <w:pPr>
                    <w:spacing w:before="105"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0.0</w:t>
                  </w:r>
                </w:p>
              </w:tc>
              <w:tc>
                <w:tcPr>
                  <w:tcW w:w="538" w:type="pct"/>
                  <w:noWrap w:val="0"/>
                  <w:vAlign w:val="top"/>
                </w:tcPr>
                <w:p w14:paraId="6D06E480">
                  <w:pPr>
                    <w:spacing w:before="105"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69F884F9">
                  <w:pPr>
                    <w:spacing w:before="105"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36355620">
                  <w:pPr>
                    <w:spacing w:before="105"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EBFB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18DEB76E">
                  <w:pPr>
                    <w:spacing w:before="106"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2026.02.07</w:t>
                  </w:r>
                </w:p>
              </w:tc>
              <w:tc>
                <w:tcPr>
                  <w:tcW w:w="427" w:type="pct"/>
                  <w:noWrap w:val="0"/>
                  <w:vAlign w:val="top"/>
                </w:tcPr>
                <w:p w14:paraId="25D8E6EE">
                  <w:pPr>
                    <w:spacing w:before="106" w:line="195" w:lineRule="auto"/>
                    <w:ind w:left="28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01" w:type="pct"/>
                  <w:noWrap w:val="0"/>
                  <w:vAlign w:val="top"/>
                </w:tcPr>
                <w:p w14:paraId="3A1FF42E">
                  <w:pPr>
                    <w:spacing w:before="106"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576" w:type="pct"/>
                  <w:noWrap w:val="0"/>
                  <w:vAlign w:val="top"/>
                </w:tcPr>
                <w:p w14:paraId="1D3DA380">
                  <w:pPr>
                    <w:spacing w:before="106"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576" w:type="pct"/>
                  <w:noWrap w:val="0"/>
                  <w:vAlign w:val="top"/>
                </w:tcPr>
                <w:p w14:paraId="1B38AFC2">
                  <w:pPr>
                    <w:spacing w:before="106"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77.8</w:t>
                  </w:r>
                </w:p>
              </w:tc>
              <w:tc>
                <w:tcPr>
                  <w:tcW w:w="501" w:type="pct"/>
                  <w:noWrap w:val="0"/>
                  <w:vAlign w:val="top"/>
                </w:tcPr>
                <w:p w14:paraId="5C69CD1A">
                  <w:pPr>
                    <w:spacing w:before="106"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15E7AD4F">
                  <w:pPr>
                    <w:spacing w:before="106"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44CC531C">
                  <w:pPr>
                    <w:spacing w:before="106"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72B8B4B4">
                  <w:pPr>
                    <w:spacing w:before="106"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913A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419CA8F7">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2026.02.08</w:t>
                  </w:r>
                </w:p>
              </w:tc>
              <w:tc>
                <w:tcPr>
                  <w:tcW w:w="427" w:type="pct"/>
                  <w:noWrap w:val="0"/>
                  <w:vAlign w:val="top"/>
                </w:tcPr>
                <w:p w14:paraId="5B0B09CF">
                  <w:pPr>
                    <w:spacing w:before="104" w:line="195" w:lineRule="auto"/>
                    <w:ind w:left="298"/>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501" w:type="pct"/>
                  <w:noWrap w:val="0"/>
                  <w:vAlign w:val="top"/>
                </w:tcPr>
                <w:p w14:paraId="4AFB43EF">
                  <w:pPr>
                    <w:spacing w:before="104" w:line="195"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w:t>
                  </w:r>
                </w:p>
              </w:tc>
              <w:tc>
                <w:tcPr>
                  <w:tcW w:w="576" w:type="pct"/>
                  <w:noWrap w:val="0"/>
                  <w:vAlign w:val="top"/>
                </w:tcPr>
                <w:p w14:paraId="1F16DF88">
                  <w:pPr>
                    <w:spacing w:before="10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20.3</w:t>
                  </w:r>
                </w:p>
              </w:tc>
              <w:tc>
                <w:tcPr>
                  <w:tcW w:w="576" w:type="pct"/>
                  <w:noWrap w:val="0"/>
                  <w:vAlign w:val="top"/>
                </w:tcPr>
                <w:p w14:paraId="44D52AA1">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74.7</w:t>
                  </w:r>
                </w:p>
              </w:tc>
              <w:tc>
                <w:tcPr>
                  <w:tcW w:w="501" w:type="pct"/>
                  <w:noWrap w:val="0"/>
                  <w:vAlign w:val="top"/>
                </w:tcPr>
                <w:p w14:paraId="53C5A65A">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75DE3EA4">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067A9E67">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185F1AA0">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54FE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72ADA497">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2026.02.08</w:t>
                  </w:r>
                </w:p>
              </w:tc>
              <w:tc>
                <w:tcPr>
                  <w:tcW w:w="427" w:type="pct"/>
                  <w:noWrap w:val="0"/>
                  <w:vAlign w:val="top"/>
                </w:tcPr>
                <w:p w14:paraId="3A0C768A">
                  <w:pPr>
                    <w:spacing w:before="10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501" w:type="pct"/>
                  <w:noWrap w:val="0"/>
                  <w:vAlign w:val="top"/>
                </w:tcPr>
                <w:p w14:paraId="58035AA3">
                  <w:pPr>
                    <w:spacing w:before="104"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1"/>
                      <w:sz w:val="20"/>
                      <w:szCs w:val="20"/>
                    </w:rPr>
                    <w:t>1</w:t>
                  </w:r>
                </w:p>
              </w:tc>
              <w:tc>
                <w:tcPr>
                  <w:tcW w:w="576" w:type="pct"/>
                  <w:noWrap w:val="0"/>
                  <w:vAlign w:val="top"/>
                </w:tcPr>
                <w:p w14:paraId="3125057B">
                  <w:pPr>
                    <w:spacing w:before="10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576" w:type="pct"/>
                  <w:noWrap w:val="0"/>
                  <w:vAlign w:val="top"/>
                </w:tcPr>
                <w:p w14:paraId="1F593766">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75.9</w:t>
                  </w:r>
                </w:p>
              </w:tc>
              <w:tc>
                <w:tcPr>
                  <w:tcW w:w="501" w:type="pct"/>
                  <w:noWrap w:val="0"/>
                  <w:vAlign w:val="top"/>
                </w:tcPr>
                <w:p w14:paraId="14F0B3D1">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12590E6C">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71339F6B">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6BED8CFF">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9D79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7B3A2CB0">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2026.02.08</w:t>
                  </w:r>
                </w:p>
              </w:tc>
              <w:tc>
                <w:tcPr>
                  <w:tcW w:w="427" w:type="pct"/>
                  <w:noWrap w:val="0"/>
                  <w:vAlign w:val="top"/>
                </w:tcPr>
                <w:p w14:paraId="0F81C4BC">
                  <w:pPr>
                    <w:spacing w:before="10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501" w:type="pct"/>
                  <w:noWrap w:val="0"/>
                  <w:vAlign w:val="top"/>
                </w:tcPr>
                <w:p w14:paraId="06E972E0">
                  <w:pPr>
                    <w:spacing w:before="104"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1.6</w:t>
                  </w:r>
                </w:p>
              </w:tc>
              <w:tc>
                <w:tcPr>
                  <w:tcW w:w="576" w:type="pct"/>
                  <w:noWrap w:val="0"/>
                  <w:vAlign w:val="top"/>
                </w:tcPr>
                <w:p w14:paraId="2A7B3145">
                  <w:pPr>
                    <w:spacing w:before="10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576" w:type="pct"/>
                  <w:noWrap w:val="0"/>
                  <w:vAlign w:val="top"/>
                </w:tcPr>
                <w:p w14:paraId="3CA5F561">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501" w:type="pct"/>
                  <w:noWrap w:val="0"/>
                  <w:vAlign w:val="top"/>
                </w:tcPr>
                <w:p w14:paraId="033FC494">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38" w:type="pct"/>
                  <w:noWrap w:val="0"/>
                  <w:vAlign w:val="top"/>
                </w:tcPr>
                <w:p w14:paraId="5822D0F2">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33FB11FE">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53F5B4A9">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EA78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7E547A50">
                  <w:pPr>
                    <w:spacing w:before="105"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2026.02.09</w:t>
                  </w:r>
                </w:p>
              </w:tc>
              <w:tc>
                <w:tcPr>
                  <w:tcW w:w="427" w:type="pct"/>
                  <w:noWrap w:val="0"/>
                  <w:vAlign w:val="top"/>
                </w:tcPr>
                <w:p w14:paraId="09366556">
                  <w:pPr>
                    <w:spacing w:before="108" w:line="192" w:lineRule="auto"/>
                    <w:ind w:left="293"/>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501" w:type="pct"/>
                  <w:noWrap w:val="0"/>
                  <w:vAlign w:val="top"/>
                </w:tcPr>
                <w:p w14:paraId="1E7529EE">
                  <w:pPr>
                    <w:spacing w:before="105"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576" w:type="pct"/>
                  <w:noWrap w:val="0"/>
                  <w:vAlign w:val="top"/>
                </w:tcPr>
                <w:p w14:paraId="664C5832">
                  <w:pPr>
                    <w:spacing w:before="105"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19.8</w:t>
                  </w:r>
                </w:p>
              </w:tc>
              <w:tc>
                <w:tcPr>
                  <w:tcW w:w="576" w:type="pct"/>
                  <w:noWrap w:val="0"/>
                  <w:vAlign w:val="top"/>
                </w:tcPr>
                <w:p w14:paraId="08921D7A">
                  <w:pPr>
                    <w:spacing w:before="105"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501" w:type="pct"/>
                  <w:noWrap w:val="0"/>
                  <w:vAlign w:val="top"/>
                </w:tcPr>
                <w:p w14:paraId="0DB1E621">
                  <w:pPr>
                    <w:spacing w:before="105"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02A7AEF2">
                  <w:pPr>
                    <w:spacing w:before="105"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78620918">
                  <w:pPr>
                    <w:spacing w:before="105"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25B29701">
                  <w:pPr>
                    <w:spacing w:before="105"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FF4B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34F336B5">
                  <w:pPr>
                    <w:spacing w:before="105"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2026.02.09</w:t>
                  </w:r>
                </w:p>
              </w:tc>
              <w:tc>
                <w:tcPr>
                  <w:tcW w:w="427" w:type="pct"/>
                  <w:noWrap w:val="0"/>
                  <w:vAlign w:val="top"/>
                </w:tcPr>
                <w:p w14:paraId="1439B821">
                  <w:pPr>
                    <w:spacing w:before="105" w:line="195" w:lineRule="auto"/>
                    <w:ind w:left="25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501" w:type="pct"/>
                  <w:noWrap w:val="0"/>
                  <w:vAlign w:val="top"/>
                </w:tcPr>
                <w:p w14:paraId="4B249C95">
                  <w:pPr>
                    <w:spacing w:before="105"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3.3</w:t>
                  </w:r>
                </w:p>
              </w:tc>
              <w:tc>
                <w:tcPr>
                  <w:tcW w:w="576" w:type="pct"/>
                  <w:noWrap w:val="0"/>
                  <w:vAlign w:val="top"/>
                </w:tcPr>
                <w:p w14:paraId="2C53FAF7">
                  <w:pPr>
                    <w:spacing w:before="10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20.4</w:t>
                  </w:r>
                </w:p>
              </w:tc>
              <w:tc>
                <w:tcPr>
                  <w:tcW w:w="576" w:type="pct"/>
                  <w:noWrap w:val="0"/>
                  <w:vAlign w:val="top"/>
                </w:tcPr>
                <w:p w14:paraId="15537D55">
                  <w:pPr>
                    <w:spacing w:before="105"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76.3</w:t>
                  </w:r>
                </w:p>
              </w:tc>
              <w:tc>
                <w:tcPr>
                  <w:tcW w:w="501" w:type="pct"/>
                  <w:noWrap w:val="0"/>
                  <w:vAlign w:val="top"/>
                </w:tcPr>
                <w:p w14:paraId="5A85D39D">
                  <w:pPr>
                    <w:spacing w:before="105"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0.0</w:t>
                  </w:r>
                </w:p>
              </w:tc>
              <w:tc>
                <w:tcPr>
                  <w:tcW w:w="538" w:type="pct"/>
                  <w:noWrap w:val="0"/>
                  <w:vAlign w:val="top"/>
                </w:tcPr>
                <w:p w14:paraId="14EEE479">
                  <w:pPr>
                    <w:spacing w:before="105"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3DD4809E">
                  <w:pPr>
                    <w:spacing w:before="105"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709134E3">
                  <w:pPr>
                    <w:spacing w:before="105"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2A83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6A024E5E">
                  <w:pPr>
                    <w:spacing w:before="106"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2026.02.09</w:t>
                  </w:r>
                </w:p>
              </w:tc>
              <w:tc>
                <w:tcPr>
                  <w:tcW w:w="427" w:type="pct"/>
                  <w:noWrap w:val="0"/>
                  <w:vAlign w:val="top"/>
                </w:tcPr>
                <w:p w14:paraId="74D687A1">
                  <w:pPr>
                    <w:spacing w:before="109" w:line="192"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01" w:type="pct"/>
                  <w:noWrap w:val="0"/>
                  <w:vAlign w:val="top"/>
                </w:tcPr>
                <w:p w14:paraId="5CFA0308">
                  <w:pPr>
                    <w:spacing w:before="106"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1.9</w:t>
                  </w:r>
                </w:p>
              </w:tc>
              <w:tc>
                <w:tcPr>
                  <w:tcW w:w="576" w:type="pct"/>
                  <w:noWrap w:val="0"/>
                  <w:vAlign w:val="top"/>
                </w:tcPr>
                <w:p w14:paraId="4A56E40B">
                  <w:pPr>
                    <w:spacing w:before="106"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20.3</w:t>
                  </w:r>
                </w:p>
              </w:tc>
              <w:tc>
                <w:tcPr>
                  <w:tcW w:w="576" w:type="pct"/>
                  <w:noWrap w:val="0"/>
                  <w:vAlign w:val="top"/>
                </w:tcPr>
                <w:p w14:paraId="3DAA701B">
                  <w:pPr>
                    <w:spacing w:before="106"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77.4</w:t>
                  </w:r>
                </w:p>
              </w:tc>
              <w:tc>
                <w:tcPr>
                  <w:tcW w:w="501" w:type="pct"/>
                  <w:noWrap w:val="0"/>
                  <w:vAlign w:val="top"/>
                </w:tcPr>
                <w:p w14:paraId="5801354D">
                  <w:pPr>
                    <w:spacing w:before="106"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38" w:type="pct"/>
                  <w:noWrap w:val="0"/>
                  <w:vAlign w:val="top"/>
                </w:tcPr>
                <w:p w14:paraId="0CFD169C">
                  <w:pPr>
                    <w:spacing w:before="106"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2247F2A4">
                  <w:pPr>
                    <w:spacing w:before="106"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6D941148">
                  <w:pPr>
                    <w:spacing w:before="106"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BF97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0DD6C11A">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2026.02.10</w:t>
                  </w:r>
                </w:p>
              </w:tc>
              <w:tc>
                <w:tcPr>
                  <w:tcW w:w="427" w:type="pct"/>
                  <w:noWrap w:val="0"/>
                  <w:vAlign w:val="top"/>
                </w:tcPr>
                <w:p w14:paraId="7E141044">
                  <w:pPr>
                    <w:spacing w:before="10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501" w:type="pct"/>
                  <w:noWrap w:val="0"/>
                  <w:vAlign w:val="top"/>
                </w:tcPr>
                <w:p w14:paraId="36C93A23">
                  <w:pPr>
                    <w:spacing w:before="104"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3.4</w:t>
                  </w:r>
                </w:p>
              </w:tc>
              <w:tc>
                <w:tcPr>
                  <w:tcW w:w="576" w:type="pct"/>
                  <w:noWrap w:val="0"/>
                  <w:vAlign w:val="top"/>
                </w:tcPr>
                <w:p w14:paraId="4C2905D5">
                  <w:pPr>
                    <w:spacing w:before="10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c>
                <w:tcPr>
                  <w:tcW w:w="576" w:type="pct"/>
                  <w:noWrap w:val="0"/>
                  <w:vAlign w:val="top"/>
                </w:tcPr>
                <w:p w14:paraId="6F62E351">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76.5</w:t>
                  </w:r>
                </w:p>
              </w:tc>
              <w:tc>
                <w:tcPr>
                  <w:tcW w:w="501" w:type="pct"/>
                  <w:noWrap w:val="0"/>
                  <w:vAlign w:val="top"/>
                </w:tcPr>
                <w:p w14:paraId="3459400C">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57345387">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0897A391">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013B9AB0">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255F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0CDA8F6B">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2026.02.10</w:t>
                  </w:r>
                </w:p>
              </w:tc>
              <w:tc>
                <w:tcPr>
                  <w:tcW w:w="427" w:type="pct"/>
                  <w:noWrap w:val="0"/>
                  <w:vAlign w:val="top"/>
                </w:tcPr>
                <w:p w14:paraId="66C7ADF4">
                  <w:pPr>
                    <w:spacing w:before="107" w:line="192" w:lineRule="auto"/>
                    <w:ind w:left="293"/>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501" w:type="pct"/>
                  <w:noWrap w:val="0"/>
                  <w:vAlign w:val="top"/>
                </w:tcPr>
                <w:p w14:paraId="20A71BB6">
                  <w:pPr>
                    <w:spacing w:before="104"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1.7</w:t>
                  </w:r>
                </w:p>
              </w:tc>
              <w:tc>
                <w:tcPr>
                  <w:tcW w:w="576" w:type="pct"/>
                  <w:noWrap w:val="0"/>
                  <w:vAlign w:val="top"/>
                </w:tcPr>
                <w:p w14:paraId="007650B2">
                  <w:pPr>
                    <w:spacing w:before="10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20.8</w:t>
                  </w:r>
                </w:p>
              </w:tc>
              <w:tc>
                <w:tcPr>
                  <w:tcW w:w="576" w:type="pct"/>
                  <w:noWrap w:val="0"/>
                  <w:vAlign w:val="top"/>
                </w:tcPr>
                <w:p w14:paraId="68D1C9E1">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77.4</w:t>
                  </w:r>
                </w:p>
              </w:tc>
              <w:tc>
                <w:tcPr>
                  <w:tcW w:w="501" w:type="pct"/>
                  <w:noWrap w:val="0"/>
                  <w:vAlign w:val="top"/>
                </w:tcPr>
                <w:p w14:paraId="08BB15F9">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0F94B871">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02AE0709">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26843149">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48BE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43C085BC">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2026.02.10</w:t>
                  </w:r>
                </w:p>
              </w:tc>
              <w:tc>
                <w:tcPr>
                  <w:tcW w:w="427" w:type="pct"/>
                  <w:noWrap w:val="0"/>
                  <w:vAlign w:val="top"/>
                </w:tcPr>
                <w:p w14:paraId="4299C43B">
                  <w:pPr>
                    <w:spacing w:before="104" w:line="195"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501" w:type="pct"/>
                  <w:noWrap w:val="0"/>
                  <w:vAlign w:val="top"/>
                </w:tcPr>
                <w:p w14:paraId="1F0E9337">
                  <w:pPr>
                    <w:spacing w:before="104"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576" w:type="pct"/>
                  <w:noWrap w:val="0"/>
                  <w:vAlign w:val="top"/>
                </w:tcPr>
                <w:p w14:paraId="65D7FAEE">
                  <w:pPr>
                    <w:spacing w:before="10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20.7</w:t>
                  </w:r>
                </w:p>
              </w:tc>
              <w:tc>
                <w:tcPr>
                  <w:tcW w:w="576" w:type="pct"/>
                  <w:noWrap w:val="0"/>
                  <w:vAlign w:val="top"/>
                </w:tcPr>
                <w:p w14:paraId="5470731C">
                  <w:pPr>
                    <w:spacing w:before="10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78.2</w:t>
                  </w:r>
                </w:p>
              </w:tc>
              <w:tc>
                <w:tcPr>
                  <w:tcW w:w="501" w:type="pct"/>
                  <w:noWrap w:val="0"/>
                  <w:vAlign w:val="top"/>
                </w:tcPr>
                <w:p w14:paraId="0A84A27D">
                  <w:pPr>
                    <w:spacing w:before="10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394C3800">
                  <w:pPr>
                    <w:spacing w:before="104"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6F6E5E58">
                  <w:pPr>
                    <w:spacing w:before="104"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4C56C560">
                  <w:pPr>
                    <w:spacing w:before="104"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4B6E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4499462E">
                  <w:pPr>
                    <w:spacing w:before="105" w:line="195" w:lineRule="auto"/>
                    <w:ind w:left="2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2026.02.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11</w:t>
                  </w:r>
                </w:p>
              </w:tc>
              <w:tc>
                <w:tcPr>
                  <w:tcW w:w="427" w:type="pct"/>
                  <w:noWrap w:val="0"/>
                  <w:vAlign w:val="top"/>
                </w:tcPr>
                <w:p w14:paraId="75E12DE7">
                  <w:pPr>
                    <w:spacing w:before="105" w:line="195" w:lineRule="auto"/>
                    <w:ind w:left="298"/>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501" w:type="pct"/>
                  <w:noWrap w:val="0"/>
                  <w:vAlign w:val="top"/>
                </w:tcPr>
                <w:p w14:paraId="75139ECD">
                  <w:pPr>
                    <w:spacing w:before="105" w:line="195"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576" w:type="pct"/>
                  <w:noWrap w:val="0"/>
                  <w:vAlign w:val="top"/>
                </w:tcPr>
                <w:p w14:paraId="40A5F5BD">
                  <w:pPr>
                    <w:spacing w:before="105"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19.4</w:t>
                  </w:r>
                </w:p>
              </w:tc>
              <w:tc>
                <w:tcPr>
                  <w:tcW w:w="576" w:type="pct"/>
                  <w:noWrap w:val="0"/>
                  <w:vAlign w:val="top"/>
                </w:tcPr>
                <w:p w14:paraId="233ACF9D">
                  <w:pPr>
                    <w:spacing w:before="108" w:line="192"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75.5</w:t>
                  </w:r>
                </w:p>
              </w:tc>
              <w:tc>
                <w:tcPr>
                  <w:tcW w:w="501" w:type="pct"/>
                  <w:noWrap w:val="0"/>
                  <w:vAlign w:val="top"/>
                </w:tcPr>
                <w:p w14:paraId="487E3D52">
                  <w:pPr>
                    <w:spacing w:before="105"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38" w:type="pct"/>
                  <w:noWrap w:val="0"/>
                  <w:vAlign w:val="top"/>
                </w:tcPr>
                <w:p w14:paraId="157BBBAB">
                  <w:pPr>
                    <w:spacing w:before="105"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527C7F11">
                  <w:pPr>
                    <w:spacing w:before="105"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0DCE5473">
                  <w:pPr>
                    <w:spacing w:before="105"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9FEF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6D7D49AB">
                  <w:pPr>
                    <w:spacing w:before="105" w:line="195" w:lineRule="auto"/>
                    <w:ind w:left="2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2026.02.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11</w:t>
                  </w:r>
                </w:p>
              </w:tc>
              <w:tc>
                <w:tcPr>
                  <w:tcW w:w="427" w:type="pct"/>
                  <w:noWrap w:val="0"/>
                  <w:vAlign w:val="top"/>
                </w:tcPr>
                <w:p w14:paraId="6DB8037C">
                  <w:pPr>
                    <w:spacing w:before="105" w:line="195" w:lineRule="auto"/>
                    <w:ind w:left="262"/>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501" w:type="pct"/>
                  <w:noWrap w:val="0"/>
                  <w:vAlign w:val="top"/>
                </w:tcPr>
                <w:p w14:paraId="5AD917A9">
                  <w:pPr>
                    <w:spacing w:before="105"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w:t>
                  </w:r>
                </w:p>
              </w:tc>
              <w:tc>
                <w:tcPr>
                  <w:tcW w:w="576" w:type="pct"/>
                  <w:noWrap w:val="0"/>
                  <w:vAlign w:val="top"/>
                </w:tcPr>
                <w:p w14:paraId="25198974">
                  <w:pPr>
                    <w:spacing w:before="10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20.2</w:t>
                  </w:r>
                </w:p>
              </w:tc>
              <w:tc>
                <w:tcPr>
                  <w:tcW w:w="576" w:type="pct"/>
                  <w:noWrap w:val="0"/>
                  <w:vAlign w:val="top"/>
                </w:tcPr>
                <w:p w14:paraId="342B0BE0">
                  <w:pPr>
                    <w:spacing w:before="105"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76.8</w:t>
                  </w:r>
                </w:p>
              </w:tc>
              <w:tc>
                <w:tcPr>
                  <w:tcW w:w="501" w:type="pct"/>
                  <w:noWrap w:val="0"/>
                  <w:vAlign w:val="top"/>
                </w:tcPr>
                <w:p w14:paraId="66EA9CA1">
                  <w:pPr>
                    <w:spacing w:before="105"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538" w:type="pct"/>
                  <w:noWrap w:val="0"/>
                  <w:vAlign w:val="top"/>
                </w:tcPr>
                <w:p w14:paraId="4749C980">
                  <w:pPr>
                    <w:spacing w:before="105"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1D809753">
                  <w:pPr>
                    <w:spacing w:before="105"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33746FFD">
                  <w:pPr>
                    <w:spacing w:before="105"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7D27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39" w:type="pct"/>
                  <w:noWrap w:val="0"/>
                  <w:vAlign w:val="top"/>
                </w:tcPr>
                <w:p w14:paraId="7E62F8BC">
                  <w:pPr>
                    <w:spacing w:before="106" w:line="195" w:lineRule="auto"/>
                    <w:ind w:left="2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2026.02.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11</w:t>
                  </w:r>
                </w:p>
              </w:tc>
              <w:tc>
                <w:tcPr>
                  <w:tcW w:w="427" w:type="pct"/>
                  <w:noWrap w:val="0"/>
                  <w:vAlign w:val="top"/>
                </w:tcPr>
                <w:p w14:paraId="30CB8176">
                  <w:pPr>
                    <w:spacing w:before="109" w:line="192"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01" w:type="pct"/>
                  <w:noWrap w:val="0"/>
                  <w:vAlign w:val="top"/>
                </w:tcPr>
                <w:p w14:paraId="41206AC7">
                  <w:pPr>
                    <w:spacing w:before="106"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576" w:type="pct"/>
                  <w:noWrap w:val="0"/>
                  <w:vAlign w:val="top"/>
                </w:tcPr>
                <w:p w14:paraId="4A50E617">
                  <w:pPr>
                    <w:spacing w:before="106"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w:t>
                  </w:r>
                </w:p>
              </w:tc>
              <w:tc>
                <w:tcPr>
                  <w:tcW w:w="576" w:type="pct"/>
                  <w:noWrap w:val="0"/>
                  <w:vAlign w:val="top"/>
                </w:tcPr>
                <w:p w14:paraId="781B8307">
                  <w:pPr>
                    <w:spacing w:before="109" w:line="192"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77.5</w:t>
                  </w:r>
                </w:p>
              </w:tc>
              <w:tc>
                <w:tcPr>
                  <w:tcW w:w="501" w:type="pct"/>
                  <w:noWrap w:val="0"/>
                  <w:vAlign w:val="top"/>
                </w:tcPr>
                <w:p w14:paraId="696C3D64">
                  <w:pPr>
                    <w:spacing w:before="106"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38" w:type="pct"/>
                  <w:noWrap w:val="0"/>
                  <w:vAlign w:val="top"/>
                </w:tcPr>
                <w:p w14:paraId="6AFEBAC4">
                  <w:pPr>
                    <w:spacing w:before="106" w:line="195"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02" w:type="pct"/>
                  <w:noWrap w:val="0"/>
                  <w:vAlign w:val="top"/>
                </w:tcPr>
                <w:p w14:paraId="69C7C063">
                  <w:pPr>
                    <w:spacing w:before="106"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36" w:type="pct"/>
                  <w:noWrap w:val="0"/>
                  <w:vAlign w:val="top"/>
                </w:tcPr>
                <w:p w14:paraId="5C72DBC4">
                  <w:pPr>
                    <w:spacing w:before="106"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2FC317D1">
            <w:pPr>
              <w:pStyle w:val="102"/>
              <w:keepNext w:val="0"/>
              <w:keepLines w:val="0"/>
              <w:suppressLineNumbers w:val="0"/>
              <w:spacing w:before="0" w:beforeAutospacing="0" w:after="0" w:afterAutospacing="0"/>
              <w:ind w:left="0" w:right="0" w:firstLine="482"/>
              <w:rPr>
                <w:rFonts w:hint="eastAsia" w:ascii="Times New Roman" w:hAnsi="Times New Roman" w:eastAsia="宋体" w:cs="Times New Roman"/>
                <w:color w:val="auto"/>
                <w:kern w:val="2"/>
                <w:szCs w:val="24"/>
                <w:lang w:val="en-US" w:eastAsia="zh-CN"/>
              </w:rPr>
            </w:pPr>
            <w:r>
              <w:rPr>
                <w:rFonts w:hint="eastAsia" w:ascii="Times New Roman" w:hAnsi="Times New Roman" w:eastAsia="宋体" w:cs="Times New Roman"/>
                <w:color w:val="auto"/>
                <w:kern w:val="2"/>
                <w:szCs w:val="24"/>
                <w:lang w:val="en-US" w:eastAsia="zh-CN"/>
              </w:rPr>
              <w:t>6、主要资源能源消耗</w:t>
            </w:r>
          </w:p>
          <w:p w14:paraId="1EF8C39F">
            <w:pPr>
              <w:pStyle w:val="89"/>
              <w:keepNext w:val="0"/>
              <w:keepLines w:val="0"/>
              <w:suppressLineNumbers w:val="0"/>
              <w:spacing w:before="0" w:beforeAutospacing="0" w:after="0" w:afterAutospacing="0"/>
              <w:ind w:left="0" w:right="0" w:firstLine="482"/>
              <w:rPr>
                <w:rFonts w:hint="eastAsia" w:ascii="宋体" w:hAnsi="宋体" w:eastAsia="宋体" w:cs="宋体"/>
                <w:b w:val="0"/>
                <w:bCs w:val="0"/>
                <w:color w:val="auto"/>
                <w:sz w:val="21"/>
                <w:szCs w:val="21"/>
                <w:lang w:eastAsia="zh-CN"/>
              </w:rPr>
            </w:pPr>
            <w:r>
              <w:rPr>
                <w:rFonts w:hint="eastAsia" w:ascii="Times New Roman" w:hAnsi="Times New Roman" w:eastAsia="宋体" w:cs="Times New Roman"/>
                <w:b w:val="0"/>
                <w:bCs w:val="0"/>
                <w:color w:val="auto"/>
                <w:kern w:val="0"/>
                <w:sz w:val="24"/>
                <w:szCs w:val="20"/>
                <w:lang w:val="en-US" w:eastAsia="zh-CN" w:bidi="ar-SA"/>
              </w:rPr>
              <w:t>项目运营期主要资源能源消耗为水、电及复合水处理剂，消耗情况见下表。</w:t>
            </w:r>
          </w:p>
          <w:p w14:paraId="7EE3C93A">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主要能源资源消耗一览表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1535"/>
              <w:gridCol w:w="1087"/>
              <w:gridCol w:w="1006"/>
              <w:gridCol w:w="745"/>
              <w:gridCol w:w="1614"/>
              <w:gridCol w:w="1122"/>
            </w:tblGrid>
            <w:tr w14:paraId="1689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05" w:type="pct"/>
                  <w:vMerge w:val="restart"/>
                  <w:noWrap w:val="0"/>
                  <w:vAlign w:val="center"/>
                </w:tcPr>
                <w:p w14:paraId="53873E64">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序号</w:t>
                  </w:r>
                </w:p>
              </w:tc>
              <w:tc>
                <w:tcPr>
                  <w:tcW w:w="998" w:type="pct"/>
                  <w:vMerge w:val="restart"/>
                  <w:noWrap w:val="0"/>
                  <w:vAlign w:val="center"/>
                </w:tcPr>
                <w:p w14:paraId="24AB28AD">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名称</w:t>
                  </w:r>
                </w:p>
              </w:tc>
              <w:tc>
                <w:tcPr>
                  <w:tcW w:w="1364" w:type="pct"/>
                  <w:gridSpan w:val="2"/>
                  <w:noWrap w:val="0"/>
                  <w:vAlign w:val="center"/>
                </w:tcPr>
                <w:p w14:paraId="6067CC28">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年用量</w:t>
                  </w:r>
                </w:p>
              </w:tc>
              <w:tc>
                <w:tcPr>
                  <w:tcW w:w="487" w:type="pct"/>
                  <w:vMerge w:val="restart"/>
                  <w:noWrap w:val="0"/>
                  <w:vAlign w:val="center"/>
                </w:tcPr>
                <w:p w14:paraId="4ABDEF9E">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单位</w:t>
                  </w:r>
                </w:p>
              </w:tc>
              <w:tc>
                <w:tcPr>
                  <w:tcW w:w="1049" w:type="pct"/>
                  <w:vMerge w:val="restart"/>
                  <w:noWrap w:val="0"/>
                  <w:vAlign w:val="center"/>
                </w:tcPr>
                <w:p w14:paraId="111BAEFC">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来源</w:t>
                  </w:r>
                </w:p>
              </w:tc>
              <w:tc>
                <w:tcPr>
                  <w:tcW w:w="693" w:type="pct"/>
                  <w:vMerge w:val="restart"/>
                  <w:noWrap w:val="0"/>
                  <w:vAlign w:val="center"/>
                </w:tcPr>
                <w:p w14:paraId="681AE953">
                  <w:pPr>
                    <w:keepNext w:val="0"/>
                    <w:keepLines w:val="0"/>
                    <w:suppressLineNumbers w:val="0"/>
                    <w:adjustRightInd w:val="0"/>
                    <w:snapToGrid w:val="0"/>
                    <w:spacing w:before="0" w:beforeAutospacing="0" w:after="0" w:afterAutospacing="0" w:line="320" w:lineRule="exact"/>
                    <w:ind w:left="0" w:right="0"/>
                    <w:jc w:val="both"/>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变化情况</w:t>
                  </w:r>
                </w:p>
              </w:tc>
            </w:tr>
            <w:tr w14:paraId="079E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405" w:type="pct"/>
                  <w:vMerge w:val="continue"/>
                  <w:noWrap w:val="0"/>
                  <w:vAlign w:val="center"/>
                </w:tcPr>
                <w:p w14:paraId="7F8EFF6F">
                  <w:pPr>
                    <w:keepNext w:val="0"/>
                    <w:keepLines w:val="0"/>
                    <w:suppressLineNumbers w:val="0"/>
                    <w:adjustRightInd w:val="0"/>
                    <w:snapToGrid w:val="0"/>
                    <w:spacing w:before="0" w:beforeAutospacing="0" w:after="0" w:afterAutospacing="0" w:line="320" w:lineRule="exact"/>
                    <w:ind w:left="0" w:right="0"/>
                    <w:jc w:val="center"/>
                    <w:rPr>
                      <w:rFonts w:hint="default" w:cs="Times New Roman"/>
                      <w:color w:val="auto"/>
                    </w:rPr>
                  </w:pPr>
                </w:p>
              </w:tc>
              <w:tc>
                <w:tcPr>
                  <w:tcW w:w="998" w:type="pct"/>
                  <w:vMerge w:val="continue"/>
                  <w:noWrap w:val="0"/>
                  <w:vAlign w:val="center"/>
                </w:tcPr>
                <w:p w14:paraId="4318E870">
                  <w:pPr>
                    <w:keepNext w:val="0"/>
                    <w:keepLines w:val="0"/>
                    <w:suppressLineNumbers w:val="0"/>
                    <w:adjustRightInd w:val="0"/>
                    <w:snapToGrid w:val="0"/>
                    <w:spacing w:before="0" w:beforeAutospacing="0" w:after="0" w:afterAutospacing="0" w:line="320" w:lineRule="exact"/>
                    <w:ind w:left="0" w:right="0"/>
                    <w:jc w:val="center"/>
                    <w:rPr>
                      <w:rFonts w:hint="default" w:cs="Times New Roman"/>
                      <w:color w:val="auto"/>
                    </w:rPr>
                  </w:pPr>
                </w:p>
              </w:tc>
              <w:tc>
                <w:tcPr>
                  <w:tcW w:w="708" w:type="pct"/>
                  <w:noWrap w:val="0"/>
                  <w:vAlign w:val="center"/>
                </w:tcPr>
                <w:p w14:paraId="39D08533">
                  <w:pPr>
                    <w:keepNext w:val="0"/>
                    <w:keepLines w:val="0"/>
                    <w:suppressLineNumbers w:val="0"/>
                    <w:adjustRightInd w:val="0"/>
                    <w:snapToGrid w:val="0"/>
                    <w:spacing w:before="0" w:beforeAutospacing="0" w:after="0" w:afterAutospacing="0" w:line="320" w:lineRule="exact"/>
                    <w:ind w:left="0" w:right="0"/>
                    <w:jc w:val="center"/>
                    <w:rPr>
                      <w:rFonts w:hint="eastAsia" w:eastAsia="宋体" w:cs="Times New Roman"/>
                      <w:color w:val="auto"/>
                      <w:lang w:eastAsia="zh-CN"/>
                    </w:rPr>
                  </w:pPr>
                  <w:r>
                    <w:rPr>
                      <w:rFonts w:hint="eastAsia" w:cs="Times New Roman"/>
                      <w:color w:val="auto"/>
                      <w:lang w:eastAsia="zh-CN"/>
                    </w:rPr>
                    <w:t>现有项目</w:t>
                  </w:r>
                </w:p>
              </w:tc>
              <w:tc>
                <w:tcPr>
                  <w:tcW w:w="656" w:type="pct"/>
                  <w:noWrap w:val="0"/>
                  <w:vAlign w:val="center"/>
                </w:tcPr>
                <w:p w14:paraId="781596AE">
                  <w:pPr>
                    <w:keepNext w:val="0"/>
                    <w:keepLines w:val="0"/>
                    <w:suppressLineNumbers w:val="0"/>
                    <w:adjustRightInd w:val="0"/>
                    <w:snapToGrid w:val="0"/>
                    <w:spacing w:before="0" w:beforeAutospacing="0" w:after="0" w:afterAutospacing="0" w:line="320" w:lineRule="exact"/>
                    <w:ind w:left="0" w:right="0"/>
                    <w:jc w:val="center"/>
                    <w:rPr>
                      <w:rFonts w:hint="default" w:cs="Times New Roman"/>
                      <w:color w:val="auto"/>
                    </w:rPr>
                  </w:pPr>
                  <w:r>
                    <w:rPr>
                      <w:rFonts w:hint="eastAsia" w:ascii="Times New Roman" w:hAnsi="Times New Roman" w:eastAsia="宋体" w:cs="Times New Roman"/>
                      <w:color w:val="auto"/>
                      <w:lang w:val="en-US" w:eastAsia="zh-CN"/>
                    </w:rPr>
                    <w:t>本项目</w:t>
                  </w:r>
                </w:p>
              </w:tc>
              <w:tc>
                <w:tcPr>
                  <w:tcW w:w="487" w:type="pct"/>
                  <w:vMerge w:val="continue"/>
                  <w:noWrap w:val="0"/>
                  <w:vAlign w:val="center"/>
                </w:tcPr>
                <w:p w14:paraId="167244A5">
                  <w:pPr>
                    <w:keepNext w:val="0"/>
                    <w:keepLines w:val="0"/>
                    <w:suppressLineNumbers w:val="0"/>
                    <w:adjustRightInd w:val="0"/>
                    <w:snapToGrid w:val="0"/>
                    <w:spacing w:before="0" w:beforeAutospacing="0" w:after="0" w:afterAutospacing="0" w:line="320" w:lineRule="exact"/>
                    <w:ind w:left="0" w:right="0"/>
                    <w:jc w:val="center"/>
                    <w:rPr>
                      <w:rFonts w:hint="default" w:cs="Times New Roman"/>
                      <w:color w:val="auto"/>
                    </w:rPr>
                  </w:pPr>
                </w:p>
              </w:tc>
              <w:tc>
                <w:tcPr>
                  <w:tcW w:w="1049" w:type="pct"/>
                  <w:vMerge w:val="continue"/>
                  <w:noWrap w:val="0"/>
                  <w:vAlign w:val="center"/>
                </w:tcPr>
                <w:p w14:paraId="0D7E1052">
                  <w:pPr>
                    <w:keepNext w:val="0"/>
                    <w:keepLines w:val="0"/>
                    <w:suppressLineNumbers w:val="0"/>
                    <w:adjustRightInd w:val="0"/>
                    <w:snapToGrid w:val="0"/>
                    <w:spacing w:before="0" w:beforeAutospacing="0" w:after="0" w:afterAutospacing="0" w:line="320" w:lineRule="exact"/>
                    <w:ind w:left="0" w:right="0"/>
                    <w:jc w:val="center"/>
                    <w:rPr>
                      <w:rFonts w:hint="default" w:cs="Times New Roman"/>
                      <w:color w:val="auto"/>
                    </w:rPr>
                  </w:pPr>
                </w:p>
              </w:tc>
              <w:tc>
                <w:tcPr>
                  <w:tcW w:w="693" w:type="pct"/>
                  <w:vMerge w:val="continue"/>
                  <w:noWrap w:val="0"/>
                  <w:vAlign w:val="center"/>
                </w:tcPr>
                <w:p w14:paraId="13BF5B3A">
                  <w:pPr>
                    <w:keepNext w:val="0"/>
                    <w:keepLines w:val="0"/>
                    <w:suppressLineNumbers w:val="0"/>
                    <w:adjustRightInd w:val="0"/>
                    <w:snapToGrid w:val="0"/>
                    <w:spacing w:before="0" w:beforeAutospacing="0" w:after="0" w:afterAutospacing="0" w:line="320" w:lineRule="exact"/>
                    <w:ind w:left="0" w:right="0"/>
                    <w:jc w:val="center"/>
                    <w:rPr>
                      <w:rFonts w:hint="default" w:cs="Times New Roman"/>
                      <w:color w:val="auto"/>
                    </w:rPr>
                  </w:pPr>
                </w:p>
              </w:tc>
            </w:tr>
            <w:tr w14:paraId="5BCB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05" w:type="pct"/>
                  <w:noWrap w:val="0"/>
                  <w:vAlign w:val="center"/>
                </w:tcPr>
                <w:p w14:paraId="63C3CFFD">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998" w:type="pct"/>
                  <w:noWrap w:val="0"/>
                  <w:vAlign w:val="center"/>
                </w:tcPr>
                <w:p w14:paraId="02BFA6B4">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水</w:t>
                  </w:r>
                </w:p>
              </w:tc>
              <w:tc>
                <w:tcPr>
                  <w:tcW w:w="708" w:type="pct"/>
                  <w:noWrap w:val="0"/>
                  <w:vAlign w:val="center"/>
                </w:tcPr>
                <w:p w14:paraId="4683D35B">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28167.05</w:t>
                  </w:r>
                </w:p>
              </w:tc>
              <w:tc>
                <w:tcPr>
                  <w:tcW w:w="656" w:type="pct"/>
                  <w:noWrap w:val="0"/>
                  <w:vAlign w:val="center"/>
                </w:tcPr>
                <w:p w14:paraId="560608DA">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18</w:t>
                  </w:r>
                  <w:r>
                    <w:rPr>
                      <w:rFonts w:hint="eastAsia" w:cs="Times New Roman"/>
                      <w:color w:val="auto"/>
                      <w:sz w:val="21"/>
                      <w:szCs w:val="21"/>
                      <w:highlight w:val="none"/>
                      <w:lang w:val="en-US" w:eastAsia="zh-CN"/>
                    </w:rPr>
                    <w:t>443.45</w:t>
                  </w:r>
                </w:p>
              </w:tc>
              <w:tc>
                <w:tcPr>
                  <w:tcW w:w="487" w:type="pct"/>
                  <w:noWrap w:val="0"/>
                  <w:vAlign w:val="center"/>
                </w:tcPr>
                <w:p w14:paraId="66EBD3F5">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t/a</w:t>
                  </w:r>
                </w:p>
              </w:tc>
              <w:tc>
                <w:tcPr>
                  <w:tcW w:w="1049" w:type="pct"/>
                  <w:noWrap w:val="0"/>
                  <w:vAlign w:val="center"/>
                </w:tcPr>
                <w:p w14:paraId="6F9B33EE">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矿井现有供水管网</w:t>
                  </w:r>
                </w:p>
              </w:tc>
              <w:tc>
                <w:tcPr>
                  <w:tcW w:w="693" w:type="pct"/>
                  <w:noWrap w:val="0"/>
                  <w:vAlign w:val="center"/>
                </w:tcPr>
                <w:p w14:paraId="4FDEA55C">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8443.45</w:t>
                  </w:r>
                </w:p>
              </w:tc>
            </w:tr>
            <w:tr w14:paraId="6322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05" w:type="pct"/>
                  <w:noWrap w:val="0"/>
                  <w:vAlign w:val="center"/>
                </w:tcPr>
                <w:p w14:paraId="42CA8113">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998" w:type="pct"/>
                  <w:noWrap w:val="0"/>
                  <w:vAlign w:val="center"/>
                </w:tcPr>
                <w:p w14:paraId="1A84580F">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电</w:t>
                  </w:r>
                </w:p>
              </w:tc>
              <w:tc>
                <w:tcPr>
                  <w:tcW w:w="708" w:type="pct"/>
                  <w:noWrap w:val="0"/>
                  <w:vAlign w:val="center"/>
                </w:tcPr>
                <w:p w14:paraId="67DFFD3A">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2000</w:t>
                  </w:r>
                </w:p>
              </w:tc>
              <w:tc>
                <w:tcPr>
                  <w:tcW w:w="656" w:type="pct"/>
                  <w:noWrap w:val="0"/>
                  <w:vAlign w:val="center"/>
                </w:tcPr>
                <w:p w14:paraId="442EB2D3">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1400</w:t>
                  </w:r>
                </w:p>
              </w:tc>
              <w:tc>
                <w:tcPr>
                  <w:tcW w:w="487" w:type="pct"/>
                  <w:noWrap w:val="0"/>
                  <w:vAlign w:val="center"/>
                </w:tcPr>
                <w:p w14:paraId="735C6823">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万kwh/a</w:t>
                  </w:r>
                </w:p>
              </w:tc>
              <w:tc>
                <w:tcPr>
                  <w:tcW w:w="1049" w:type="pct"/>
                  <w:noWrap w:val="0"/>
                  <w:vAlign w:val="center"/>
                </w:tcPr>
                <w:p w14:paraId="593D30A3">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矿井现有电网</w:t>
                  </w:r>
                </w:p>
              </w:tc>
              <w:tc>
                <w:tcPr>
                  <w:tcW w:w="693" w:type="pct"/>
                  <w:noWrap w:val="0"/>
                  <w:vAlign w:val="center"/>
                </w:tcPr>
                <w:p w14:paraId="5634E26E">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+1400</w:t>
                  </w:r>
                </w:p>
              </w:tc>
            </w:tr>
            <w:tr w14:paraId="1EF9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05" w:type="pct"/>
                  <w:noWrap w:val="0"/>
                  <w:vAlign w:val="center"/>
                </w:tcPr>
                <w:p w14:paraId="29452CC7">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3</w:t>
                  </w:r>
                </w:p>
              </w:tc>
              <w:tc>
                <w:tcPr>
                  <w:tcW w:w="998" w:type="pct"/>
                  <w:noWrap w:val="0"/>
                  <w:vAlign w:val="center"/>
                </w:tcPr>
                <w:p w14:paraId="59A7D5EB">
                  <w:pPr>
                    <w:keepNext w:val="0"/>
                    <w:keepLines w:val="0"/>
                    <w:suppressLineNumbers w:val="0"/>
                    <w:adjustRightInd w:val="0"/>
                    <w:snapToGrid w:val="0"/>
                    <w:spacing w:before="0" w:beforeAutospacing="0" w:after="0" w:afterAutospacing="0" w:line="320" w:lineRule="exact"/>
                    <w:ind w:left="0" w:right="0"/>
                    <w:jc w:val="center"/>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复合水处理剂(</w:t>
                  </w:r>
                  <w:r>
                    <w:rPr>
                      <w:rFonts w:hint="eastAsia" w:ascii="Times New Roman" w:hAnsi="Times New Roman" w:eastAsia="宋体" w:cs="Times New Roman"/>
                      <w:b w:val="0"/>
                      <w:bCs w:val="0"/>
                      <w:color w:val="auto"/>
                      <w:sz w:val="21"/>
                      <w:szCs w:val="21"/>
                      <w:highlight w:val="none"/>
                      <w:lang w:val="en-US" w:eastAsia="zh-CN"/>
                    </w:rPr>
                    <w:t>瑞巴斯</w:t>
                  </w:r>
                  <w:r>
                    <w:rPr>
                      <w:rFonts w:hint="eastAsia" w:ascii="宋体" w:hAnsi="宋体" w:eastAsia="宋体" w:cs="宋体"/>
                      <w:b w:val="0"/>
                      <w:bCs w:val="0"/>
                      <w:color w:val="auto"/>
                      <w:sz w:val="21"/>
                      <w:szCs w:val="21"/>
                      <w:highlight w:val="none"/>
                      <w:lang w:val="en-US" w:eastAsia="zh-CN"/>
                    </w:rPr>
                    <w:t>Ⅱ</w:t>
                  </w:r>
                  <w:r>
                    <w:rPr>
                      <w:rFonts w:hint="eastAsia" w:ascii="宋体" w:hAnsi="宋体" w:cs="宋体"/>
                      <w:b w:val="0"/>
                      <w:bCs w:val="0"/>
                      <w:color w:val="auto"/>
                      <w:sz w:val="21"/>
                      <w:szCs w:val="21"/>
                      <w:highlight w:val="none"/>
                      <w:lang w:val="en-US" w:eastAsia="zh-CN"/>
                    </w:rPr>
                    <w:t>型)</w:t>
                  </w:r>
                </w:p>
              </w:tc>
              <w:tc>
                <w:tcPr>
                  <w:tcW w:w="708" w:type="pct"/>
                  <w:noWrap w:val="0"/>
                  <w:vAlign w:val="center"/>
                </w:tcPr>
                <w:p w14:paraId="5BE2C390">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80</w:t>
                  </w:r>
                </w:p>
              </w:tc>
              <w:tc>
                <w:tcPr>
                  <w:tcW w:w="656" w:type="pct"/>
                  <w:noWrap w:val="0"/>
                  <w:vAlign w:val="center"/>
                </w:tcPr>
                <w:p w14:paraId="72E810B3">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30</w:t>
                  </w:r>
                </w:p>
              </w:tc>
              <w:tc>
                <w:tcPr>
                  <w:tcW w:w="487" w:type="pct"/>
                  <w:noWrap w:val="0"/>
                  <w:vAlign w:val="center"/>
                </w:tcPr>
                <w:p w14:paraId="74C28CEE">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kg/a</w:t>
                  </w:r>
                </w:p>
              </w:tc>
              <w:tc>
                <w:tcPr>
                  <w:tcW w:w="1049" w:type="pct"/>
                  <w:noWrap w:val="0"/>
                  <w:vAlign w:val="center"/>
                </w:tcPr>
                <w:p w14:paraId="4EC7F50D">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外购，25kg/桶</w:t>
                  </w:r>
                </w:p>
              </w:tc>
              <w:tc>
                <w:tcPr>
                  <w:tcW w:w="693" w:type="pct"/>
                  <w:noWrap w:val="0"/>
                  <w:vAlign w:val="center"/>
                </w:tcPr>
                <w:p w14:paraId="25AC0441">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+30</w:t>
                  </w:r>
                </w:p>
              </w:tc>
            </w:tr>
          </w:tbl>
          <w:p w14:paraId="3552FE06">
            <w:pPr>
              <w:pStyle w:val="102"/>
              <w:keepNext w:val="0"/>
              <w:keepLines w:val="0"/>
              <w:suppressLineNumbers w:val="0"/>
              <w:spacing w:before="0" w:beforeAutospacing="0" w:after="0" w:afterAutospacing="0"/>
              <w:ind w:left="0" w:right="0" w:firstLine="482"/>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kern w:val="0"/>
                <w:sz w:val="24"/>
                <w:szCs w:val="20"/>
                <w:lang w:val="en-US" w:eastAsia="zh-CN" w:bidi="ar-SA"/>
              </w:rPr>
              <w:t>复合水处理剂:本泵站循环冷却水使用瑞巴斯Ⅱ型进行水质处理，瑞巴斯Ⅱ型主要成分为：有机膦酸盐、 聚丙烯酸盐分散剂，属于多功能有机阻垢分散剂，螯合禁锢钙镁离子，抑制结垢，可有效防止泵体、管路结垢。</w:t>
            </w:r>
          </w:p>
          <w:p w14:paraId="49ED355A">
            <w:pPr>
              <w:pStyle w:val="102"/>
              <w:keepNext w:val="0"/>
              <w:keepLines w:val="0"/>
              <w:suppressLineNumbers w:val="0"/>
              <w:spacing w:before="0" w:beforeAutospacing="0" w:after="0" w:afterAutospacing="0"/>
              <w:ind w:left="0" w:right="0" w:firstLine="482"/>
              <w:rPr>
                <w:rFonts w:hint="eastAsia" w:ascii="Times New Roman" w:hAnsi="Times New Roman" w:eastAsia="宋体" w:cs="Times New Roman"/>
                <w:color w:val="auto"/>
                <w:kern w:val="2"/>
                <w:szCs w:val="24"/>
                <w:lang w:val="en-US" w:eastAsia="zh-CN"/>
              </w:rPr>
            </w:pPr>
            <w:r>
              <w:rPr>
                <w:rFonts w:hint="eastAsia" w:ascii="Times New Roman" w:hAnsi="Times New Roman" w:eastAsia="宋体" w:cs="Times New Roman"/>
                <w:color w:val="auto"/>
                <w:kern w:val="2"/>
                <w:szCs w:val="24"/>
                <w:lang w:val="en-US" w:eastAsia="zh-CN"/>
              </w:rPr>
              <w:t>7、公用工程设施</w:t>
            </w:r>
          </w:p>
          <w:p w14:paraId="251C30AE">
            <w:pPr>
              <w:pStyle w:val="89"/>
              <w:keepNext w:val="0"/>
              <w:keepLines w:val="0"/>
              <w:suppressLineNumbers w:val="0"/>
              <w:spacing w:before="0" w:beforeAutospacing="0" w:after="0" w:afterAutospacing="0"/>
              <w:ind w:left="0" w:right="0" w:firstLine="480"/>
              <w:rPr>
                <w:rFonts w:hint="eastAsia" w:eastAsia="宋体" w:cs="Times New Roman"/>
                <w:color w:val="auto"/>
                <w:lang w:eastAsia="zh-CN"/>
              </w:rPr>
            </w:pPr>
            <w:r>
              <w:rPr>
                <w:rFonts w:hint="eastAsia" w:cs="Times New Roman"/>
                <w:color w:val="auto"/>
                <w:lang w:eastAsia="zh-CN"/>
              </w:rPr>
              <w:t>①给水</w:t>
            </w:r>
          </w:p>
          <w:p w14:paraId="08442731">
            <w:pPr>
              <w:keepNext w:val="0"/>
              <w:keepLines w:val="0"/>
              <w:widowControl/>
              <w:suppressLineNumbers w:val="0"/>
              <w:spacing w:before="0" w:beforeAutospacing="0" w:after="0" w:afterAutospacing="0" w:line="360" w:lineRule="auto"/>
              <w:ind w:left="0" w:right="0" w:firstLine="480" w:firstLineChars="200"/>
              <w:jc w:val="left"/>
              <w:rPr>
                <w:rFonts w:hint="default" w:eastAsia="宋体" w:cs="Times New Roman"/>
                <w:color w:val="auto"/>
                <w:sz w:val="24"/>
                <w:highlight w:val="none"/>
                <w:lang w:val="en-US" w:eastAsia="zh-CN"/>
              </w:rPr>
            </w:pPr>
            <w:r>
              <w:rPr>
                <w:rFonts w:hint="eastAsia" w:cs="Times New Roman"/>
                <w:color w:val="auto"/>
                <w:sz w:val="24"/>
                <w:lang w:eastAsia="zh-CN"/>
              </w:rPr>
              <w:t>本项目不新增职工，</w:t>
            </w:r>
            <w:r>
              <w:rPr>
                <w:rFonts w:hint="eastAsia" w:cs="Times New Roman"/>
                <w:color w:val="auto"/>
                <w:sz w:val="24"/>
                <w:lang w:val="en-US" w:eastAsia="zh-CN"/>
              </w:rPr>
              <w:t>职工由站内现有员工调剂，</w:t>
            </w:r>
            <w:r>
              <w:rPr>
                <w:rFonts w:hint="eastAsia" w:cs="Times New Roman"/>
                <w:color w:val="auto"/>
                <w:sz w:val="24"/>
                <w:lang w:eastAsia="zh-CN"/>
              </w:rPr>
              <w:t>因此不新增</w:t>
            </w:r>
            <w:r>
              <w:rPr>
                <w:rFonts w:hint="eastAsia" w:cs="Times New Roman"/>
                <w:color w:val="auto"/>
                <w:sz w:val="24"/>
                <w:lang w:val="en-US" w:eastAsia="zh-CN"/>
              </w:rPr>
              <w:t>职工</w:t>
            </w:r>
            <w:r>
              <w:rPr>
                <w:rFonts w:hint="eastAsia" w:cs="Times New Roman"/>
                <w:color w:val="auto"/>
                <w:sz w:val="24"/>
                <w:lang w:eastAsia="zh-CN"/>
              </w:rPr>
              <w:t>生活用水。生产用水主要为循环水系统补水，用水依托现有供水管网经软水制备系统处理后提供，根据建设单位提供资料，</w:t>
            </w:r>
            <w:r>
              <w:rPr>
                <w:rFonts w:hint="eastAsia" w:cs="Times New Roman"/>
                <w:color w:val="auto"/>
                <w:sz w:val="24"/>
                <w:lang w:val="en-US" w:eastAsia="zh-CN"/>
              </w:rPr>
              <w:t>现有项目(共6台瓦斯抽采泵，3用3备）循环水补水量为75m</w:t>
            </w:r>
            <w:r>
              <w:rPr>
                <w:rFonts w:hint="eastAsia" w:cs="Times New Roman"/>
                <w:color w:val="auto"/>
                <w:sz w:val="24"/>
                <w:highlight w:val="none"/>
                <w:vertAlign w:val="superscript"/>
                <w:lang w:val="en-US" w:eastAsia="zh-CN"/>
              </w:rPr>
              <w:t>3</w:t>
            </w:r>
            <w:r>
              <w:rPr>
                <w:rFonts w:hint="eastAsia" w:cs="Times New Roman"/>
                <w:color w:val="auto"/>
                <w:sz w:val="24"/>
                <w:highlight w:val="none"/>
                <w:lang w:val="en-US" w:eastAsia="zh-CN"/>
              </w:rPr>
              <w:t>/d，本项目新增2台抽采泵，循环水补水量约50m</w:t>
            </w:r>
            <w:r>
              <w:rPr>
                <w:rFonts w:hint="eastAsia" w:cs="Times New Roman"/>
                <w:color w:val="auto"/>
                <w:sz w:val="24"/>
                <w:highlight w:val="none"/>
                <w:vertAlign w:val="superscript"/>
                <w:lang w:val="en-US" w:eastAsia="zh-CN"/>
              </w:rPr>
              <w:t>3</w:t>
            </w:r>
            <w:r>
              <w:rPr>
                <w:rFonts w:hint="eastAsia" w:cs="Times New Roman"/>
                <w:color w:val="auto"/>
                <w:sz w:val="24"/>
                <w:highlight w:val="none"/>
                <w:lang w:val="en-US" w:eastAsia="zh-CN"/>
              </w:rPr>
              <w:t>/d。</w:t>
            </w:r>
          </w:p>
          <w:p w14:paraId="1C6A1E2C">
            <w:pPr>
              <w:pStyle w:val="89"/>
              <w:keepNext w:val="0"/>
              <w:keepLines w:val="0"/>
              <w:suppressLineNumbers w:val="0"/>
              <w:spacing w:before="0" w:beforeAutospacing="0" w:after="0" w:afterAutospacing="0"/>
              <w:ind w:left="0" w:right="0" w:firstLine="480"/>
              <w:rPr>
                <w:rFonts w:hint="eastAsia" w:cs="Times New Roman"/>
                <w:color w:val="auto"/>
              </w:rPr>
            </w:pPr>
            <w:r>
              <w:rPr>
                <w:rFonts w:hint="eastAsia" w:cs="Times New Roman"/>
                <w:color w:val="auto"/>
                <w:lang w:eastAsia="zh-CN"/>
              </w:rPr>
              <w:t>②</w:t>
            </w:r>
            <w:r>
              <w:rPr>
                <w:rFonts w:hint="eastAsia" w:cs="Times New Roman"/>
                <w:color w:val="auto"/>
              </w:rPr>
              <w:t>排水</w:t>
            </w:r>
          </w:p>
          <w:p w14:paraId="10F2706D">
            <w:pPr>
              <w:pStyle w:val="89"/>
              <w:keepNext w:val="0"/>
              <w:keepLines w:val="0"/>
              <w:suppressLineNumbers w:val="0"/>
              <w:spacing w:before="0" w:beforeAutospacing="0" w:after="0" w:afterAutospacing="0"/>
              <w:ind w:left="0" w:right="0" w:firstLine="480"/>
              <w:jc w:val="both"/>
              <w:rPr>
                <w:rFonts w:hint="eastAsia" w:cs="Times New Roman"/>
                <w:color w:val="auto"/>
                <w:lang w:eastAsia="zh-CN"/>
              </w:rPr>
            </w:pPr>
            <w:r>
              <w:rPr>
                <w:rFonts w:hint="eastAsia" w:cs="Times New Roman"/>
                <w:color w:val="auto"/>
              </w:rPr>
              <w:t>本</w:t>
            </w:r>
            <w:r>
              <w:rPr>
                <w:rFonts w:hint="default" w:cs="Times New Roman"/>
                <w:color w:val="auto"/>
              </w:rPr>
              <w:t>项目排水采用雨、污分流制</w:t>
            </w:r>
            <w:r>
              <w:rPr>
                <w:rFonts w:hint="eastAsia" w:cs="Times New Roman"/>
                <w:color w:val="auto"/>
              </w:rPr>
              <w:t>。</w:t>
            </w:r>
            <w:r>
              <w:rPr>
                <w:rFonts w:hint="eastAsia" w:cs="Times New Roman"/>
                <w:color w:val="auto"/>
                <w:lang w:eastAsia="zh-CN"/>
              </w:rPr>
              <w:t>项目</w:t>
            </w:r>
            <w:r>
              <w:rPr>
                <w:rFonts w:hint="default" w:cs="Times New Roman"/>
                <w:color w:val="auto"/>
              </w:rPr>
              <w:t>区域内雨水通过</w:t>
            </w:r>
            <w:r>
              <w:rPr>
                <w:rFonts w:hint="eastAsia" w:cs="Times New Roman"/>
                <w:color w:val="auto"/>
                <w:lang w:eastAsia="zh-CN"/>
              </w:rPr>
              <w:t>现有的</w:t>
            </w:r>
            <w:r>
              <w:rPr>
                <w:rFonts w:hint="default" w:cs="Times New Roman"/>
                <w:color w:val="auto"/>
              </w:rPr>
              <w:t>雨水明沟排入</w:t>
            </w:r>
            <w:r>
              <w:rPr>
                <w:rFonts w:hint="eastAsia" w:cs="Times New Roman"/>
                <w:color w:val="auto"/>
                <w:lang w:val="en-US" w:eastAsia="zh-CN"/>
              </w:rPr>
              <w:t>矿内的雨水</w:t>
            </w:r>
            <w:r>
              <w:rPr>
                <w:rFonts w:hint="default" w:cs="Times New Roman"/>
                <w:color w:val="auto"/>
              </w:rPr>
              <w:t>管网</w:t>
            </w:r>
            <w:r>
              <w:rPr>
                <w:rFonts w:hint="eastAsia" w:cs="Times New Roman"/>
                <w:color w:val="auto"/>
                <w:lang w:eastAsia="zh-CN"/>
              </w:rPr>
              <w:t>。</w:t>
            </w:r>
          </w:p>
          <w:p w14:paraId="221911C1">
            <w:pPr>
              <w:pStyle w:val="89"/>
              <w:keepNext w:val="0"/>
              <w:keepLines w:val="0"/>
              <w:suppressLineNumbers w:val="0"/>
              <w:spacing w:before="0" w:beforeAutospacing="0" w:after="0" w:afterAutospacing="0"/>
              <w:ind w:left="0" w:right="0" w:firstLine="480"/>
              <w:jc w:val="both"/>
              <w:rPr>
                <w:rFonts w:hint="eastAsia" w:cs="Times New Roman"/>
                <w:color w:val="auto"/>
                <w:sz w:val="24"/>
                <w:lang w:eastAsia="zh-CN"/>
              </w:rPr>
            </w:pPr>
            <w:r>
              <w:rPr>
                <w:rFonts w:hint="eastAsia" w:cs="Times New Roman"/>
                <w:color w:val="auto"/>
                <w:sz w:val="24"/>
                <w:highlight w:val="none"/>
                <w:lang w:val="en-US" w:eastAsia="zh-CN"/>
              </w:rPr>
              <w:t>循环水系统定期排污水</w:t>
            </w:r>
            <w:r>
              <w:rPr>
                <w:rFonts w:hint="eastAsia" w:cs="Times New Roman"/>
                <w:color w:val="auto"/>
                <w:highlight w:val="none"/>
                <w:lang w:eastAsia="zh-CN"/>
              </w:rPr>
              <w:t>排入</w:t>
            </w:r>
            <w:r>
              <w:rPr>
                <w:rFonts w:hint="eastAsia" w:cs="Times New Roman"/>
                <w:color w:val="auto"/>
                <w:lang w:val="en-US" w:eastAsia="zh-CN"/>
              </w:rPr>
              <w:t>矿内现有的污水</w:t>
            </w:r>
            <w:r>
              <w:rPr>
                <w:rFonts w:hint="default" w:cs="Times New Roman"/>
                <w:color w:val="auto"/>
              </w:rPr>
              <w:t>管网</w:t>
            </w:r>
            <w:r>
              <w:rPr>
                <w:rFonts w:hint="eastAsia" w:cs="Times New Roman"/>
                <w:color w:val="auto"/>
                <w:lang w:eastAsia="zh-CN"/>
              </w:rPr>
              <w:t>进入</w:t>
            </w:r>
            <w:r>
              <w:rPr>
                <w:rFonts w:hint="eastAsia" w:cs="Times New Roman"/>
                <w:color w:val="auto"/>
                <w:sz w:val="24"/>
                <w:lang w:eastAsia="zh-CN"/>
              </w:rPr>
              <w:t>矿井水处理站处理后排入</w:t>
            </w:r>
            <w:r>
              <w:rPr>
                <w:rFonts w:hint="eastAsia" w:cs="Times New Roman"/>
                <w:color w:val="auto"/>
                <w:sz w:val="24"/>
                <w:lang w:val="en-US" w:eastAsia="zh-CN"/>
              </w:rPr>
              <w:t>永幸河</w:t>
            </w:r>
            <w:r>
              <w:rPr>
                <w:rFonts w:hint="eastAsia" w:cs="Times New Roman"/>
                <w:color w:val="auto"/>
                <w:sz w:val="24"/>
                <w:lang w:eastAsia="zh-CN"/>
              </w:rPr>
              <w:t>。</w:t>
            </w:r>
          </w:p>
          <w:p w14:paraId="0BE3603B">
            <w:pPr>
              <w:pStyle w:val="89"/>
              <w:keepNext w:val="0"/>
              <w:keepLines w:val="0"/>
              <w:suppressLineNumbers w:val="0"/>
              <w:spacing w:before="0" w:beforeAutospacing="0" w:after="0" w:afterAutospacing="0"/>
              <w:ind w:left="0" w:right="0" w:firstLine="480"/>
              <w:jc w:val="both"/>
              <w:rPr>
                <w:rFonts w:hint="eastAsia" w:cs="Times New Roman"/>
                <w:color w:val="auto"/>
                <w:sz w:val="24"/>
                <w:lang w:eastAsia="zh-CN"/>
              </w:rPr>
            </w:pPr>
            <w:r>
              <w:rPr>
                <w:rFonts w:hint="eastAsia" w:cs="Times New Roman"/>
                <w:color w:val="auto"/>
                <w:sz w:val="24"/>
                <w:lang w:eastAsia="zh-CN"/>
              </w:rPr>
              <w:object>
                <v:shape id="_x0000_i1025" o:spt="75" type="#_x0000_t75" style="height:205.5pt;width:279pt;" o:ole="t" filled="f" o:preferrelative="t" stroked="f" coordsize="21600,21600">
                  <v:path/>
                  <v:fill on="f" focussize="0,0"/>
                  <v:stroke on="f"/>
                  <v:imagedata r:id="rId10" o:title=""/>
                  <o:lock v:ext="edit" aspectratio="f"/>
                  <w10:wrap type="none"/>
                  <w10:anchorlock/>
                </v:shape>
                <o:OLEObject Type="Embed" ProgID="Visio.Drawing.11" ShapeID="_x0000_i1025" DrawAspect="Content" ObjectID="_1468075725" r:id="rId9">
                  <o:LockedField>false</o:LockedField>
                </o:OLEObject>
              </w:object>
            </w:r>
          </w:p>
          <w:p w14:paraId="2DF92E09">
            <w:pPr>
              <w:keepNext w:val="0"/>
              <w:keepLines w:val="0"/>
              <w:numPr>
                <w:ilvl w:val="0"/>
                <w:numId w:val="9"/>
              </w:numPr>
              <w:suppressLineNumbers w:val="0"/>
              <w:spacing w:before="0" w:beforeAutospacing="0" w:after="0" w:afterAutospacing="0" w:line="360" w:lineRule="auto"/>
              <w:ind w:left="0" w:leftChars="0" w:right="0" w:firstLine="560" w:firstLineChars="0"/>
              <w:jc w:val="center"/>
              <w:rPr>
                <w:rFonts w:hint="default" w:cs="Times New Roman"/>
                <w:b w:val="0"/>
                <w:bCs w:val="0"/>
                <w:color w:val="auto"/>
                <w:sz w:val="24"/>
                <w:szCs w:val="24"/>
                <w:highlight w:val="none"/>
              </w:rPr>
            </w:pPr>
            <w:r>
              <w:rPr>
                <w:rFonts w:hint="eastAsia" w:cs="Times New Roman"/>
                <w:color w:val="auto"/>
                <w:sz w:val="24"/>
                <w:szCs w:val="24"/>
                <w:highlight w:val="none"/>
              </w:rPr>
              <w:t xml:space="preserve"> </w:t>
            </w:r>
            <w:r>
              <w:rPr>
                <w:rFonts w:hint="default" w:cs="Times New Roman"/>
                <w:color w:val="auto"/>
                <w:sz w:val="24"/>
                <w:szCs w:val="24"/>
                <w:highlight w:val="none"/>
              </w:rPr>
              <w:t xml:space="preserve">  </w:t>
            </w:r>
            <w:r>
              <w:rPr>
                <w:rFonts w:hint="eastAsia" w:ascii="Times New Roman" w:hAnsi="Times New Roman" w:eastAsia="宋体" w:cs="Times New Roman"/>
                <w:b w:val="0"/>
                <w:color w:val="auto"/>
                <w:kern w:val="2"/>
                <w:sz w:val="24"/>
                <w:szCs w:val="24"/>
                <w:lang w:val="en-US" w:eastAsia="zh-CN" w:bidi="ar-SA"/>
              </w:rPr>
              <w:t>本项目运营期水平</w:t>
            </w:r>
            <w:r>
              <w:rPr>
                <w:rFonts w:hint="eastAsia" w:ascii="Times New Roman" w:hAnsi="Times New Roman" w:eastAsia="宋体" w:cs="Times New Roman"/>
                <w:b w:val="0"/>
                <w:bCs w:val="0"/>
                <w:color w:val="auto"/>
                <w:kern w:val="2"/>
                <w:sz w:val="24"/>
                <w:szCs w:val="24"/>
                <w:lang w:val="en-US" w:eastAsia="zh-CN" w:bidi="ar-SA"/>
              </w:rPr>
              <w:t>衡图</w:t>
            </w:r>
            <w:r>
              <w:rPr>
                <w:rFonts w:hint="default" w:cs="Times New Roman"/>
                <w:b w:val="0"/>
                <w:bCs w:val="0"/>
                <w:color w:val="auto"/>
                <w:sz w:val="24"/>
                <w:szCs w:val="24"/>
                <w:highlight w:val="none"/>
              </w:rPr>
              <w:t xml:space="preserve">  单位m</w:t>
            </w:r>
            <w:r>
              <w:rPr>
                <w:rFonts w:hint="default" w:cs="Times New Roman"/>
                <w:b w:val="0"/>
                <w:bCs w:val="0"/>
                <w:color w:val="auto"/>
                <w:sz w:val="24"/>
                <w:szCs w:val="24"/>
                <w:highlight w:val="none"/>
                <w:vertAlign w:val="superscript"/>
              </w:rPr>
              <w:t>3</w:t>
            </w:r>
            <w:r>
              <w:rPr>
                <w:rFonts w:hint="default" w:cs="Times New Roman"/>
                <w:b w:val="0"/>
                <w:bCs w:val="0"/>
                <w:color w:val="auto"/>
                <w:sz w:val="24"/>
                <w:szCs w:val="24"/>
                <w:highlight w:val="none"/>
              </w:rPr>
              <w:t>/d</w:t>
            </w:r>
          </w:p>
          <w:p w14:paraId="71B5D150">
            <w:pPr>
              <w:pStyle w:val="106"/>
              <w:keepNext w:val="0"/>
              <w:keepLines w:val="0"/>
              <w:suppressLineNumbers w:val="0"/>
              <w:spacing w:before="0" w:beforeAutospacing="0" w:after="0" w:afterAutospacing="0"/>
              <w:ind w:left="0" w:right="0"/>
              <w:rPr>
                <w:rFonts w:hint="default" w:cs="Times New Roman"/>
                <w:b w:val="0"/>
                <w:bCs w:val="0"/>
                <w:color w:val="auto"/>
                <w:sz w:val="24"/>
                <w:szCs w:val="24"/>
                <w:highlight w:val="none"/>
              </w:rPr>
            </w:pPr>
            <w:r>
              <w:rPr>
                <w:rFonts w:hint="default" w:cs="Times New Roman"/>
                <w:b w:val="0"/>
                <w:bCs w:val="0"/>
                <w:color w:val="auto"/>
                <w:sz w:val="24"/>
                <w:szCs w:val="24"/>
                <w:highlight w:val="none"/>
              </w:rPr>
              <w:object>
                <v:shape id="_x0000_i1026" o:spt="75" type="#_x0000_t75" style="height:243.75pt;width:303pt;" o:ole="t" filled="f" o:preferrelative="t" stroked="f" coordsize="21600,21600">
                  <v:path/>
                  <v:fill on="f" focussize="0,0"/>
                  <v:stroke on="f"/>
                  <v:imagedata r:id="rId12" o:title=""/>
                  <o:lock v:ext="edit" aspectratio="f"/>
                  <w10:wrap type="none"/>
                  <w10:anchorlock/>
                </v:shape>
                <o:OLEObject Type="Embed" ProgID="Visio.Drawing.11" ShapeID="_x0000_i1026" DrawAspect="Content" ObjectID="_1468075726" r:id="rId11">
                  <o:LockedField>false</o:LockedField>
                </o:OLEObject>
              </w:object>
            </w:r>
          </w:p>
          <w:p w14:paraId="7025C1C7">
            <w:pPr>
              <w:keepNext w:val="0"/>
              <w:keepLines w:val="0"/>
              <w:numPr>
                <w:ilvl w:val="0"/>
                <w:numId w:val="9"/>
              </w:numPr>
              <w:suppressLineNumbers w:val="0"/>
              <w:spacing w:before="0" w:beforeAutospacing="0" w:after="0" w:afterAutospacing="0" w:line="360" w:lineRule="auto"/>
              <w:ind w:left="0" w:leftChars="0" w:right="0" w:firstLine="560" w:firstLineChars="0"/>
              <w:jc w:val="center"/>
              <w:rPr>
                <w:rFonts w:hint="default" w:cs="Times New Roman"/>
                <w:b w:val="0"/>
                <w:bCs w:val="0"/>
                <w:color w:val="auto"/>
                <w:sz w:val="24"/>
                <w:szCs w:val="24"/>
                <w:highlight w:val="none"/>
              </w:rPr>
            </w:pPr>
            <w:r>
              <w:rPr>
                <w:rFonts w:hint="eastAsia" w:cs="Times New Roman"/>
                <w:color w:val="auto"/>
                <w:sz w:val="24"/>
                <w:szCs w:val="24"/>
                <w:highlight w:val="none"/>
                <w:lang w:val="en-US" w:eastAsia="zh-CN"/>
              </w:rPr>
              <w:t xml:space="preserve">   </w:t>
            </w:r>
            <w:r>
              <w:rPr>
                <w:rFonts w:hint="eastAsia" w:ascii="Times New Roman" w:hAnsi="Times New Roman" w:eastAsia="宋体" w:cs="Times New Roman"/>
                <w:b w:val="0"/>
                <w:color w:val="auto"/>
                <w:kern w:val="2"/>
                <w:sz w:val="24"/>
                <w:szCs w:val="24"/>
                <w:lang w:val="en-US" w:eastAsia="zh-CN" w:bidi="ar-SA"/>
              </w:rPr>
              <w:t>现有项目运营期水平</w:t>
            </w:r>
            <w:r>
              <w:rPr>
                <w:rFonts w:hint="eastAsia" w:ascii="Times New Roman" w:hAnsi="Times New Roman" w:eastAsia="宋体" w:cs="Times New Roman"/>
                <w:b w:val="0"/>
                <w:bCs w:val="0"/>
                <w:color w:val="auto"/>
                <w:kern w:val="2"/>
                <w:sz w:val="24"/>
                <w:szCs w:val="24"/>
                <w:lang w:val="en-US" w:eastAsia="zh-CN" w:bidi="ar-SA"/>
              </w:rPr>
              <w:t>衡图</w:t>
            </w:r>
            <w:r>
              <w:rPr>
                <w:rFonts w:hint="default" w:cs="Times New Roman"/>
                <w:b w:val="0"/>
                <w:bCs w:val="0"/>
                <w:color w:val="auto"/>
                <w:sz w:val="24"/>
                <w:szCs w:val="24"/>
                <w:highlight w:val="none"/>
              </w:rPr>
              <w:t xml:space="preserve">  单位m</w:t>
            </w:r>
            <w:r>
              <w:rPr>
                <w:rFonts w:hint="default" w:cs="Times New Roman"/>
                <w:b w:val="0"/>
                <w:bCs w:val="0"/>
                <w:color w:val="auto"/>
                <w:sz w:val="24"/>
                <w:szCs w:val="24"/>
                <w:highlight w:val="none"/>
                <w:vertAlign w:val="superscript"/>
              </w:rPr>
              <w:t>3</w:t>
            </w:r>
            <w:r>
              <w:rPr>
                <w:rFonts w:hint="default" w:cs="Times New Roman"/>
                <w:b w:val="0"/>
                <w:bCs w:val="0"/>
                <w:color w:val="auto"/>
                <w:sz w:val="24"/>
                <w:szCs w:val="24"/>
                <w:highlight w:val="none"/>
              </w:rPr>
              <w:t>/d</w:t>
            </w:r>
          </w:p>
          <w:p w14:paraId="004BAF60">
            <w:pPr>
              <w:pStyle w:val="89"/>
              <w:keepNext w:val="0"/>
              <w:keepLines w:val="0"/>
              <w:suppressLineNumbers w:val="0"/>
              <w:spacing w:before="0" w:beforeAutospacing="0" w:after="0" w:afterAutospacing="0"/>
              <w:ind w:left="0" w:right="0" w:firstLine="480"/>
              <w:rPr>
                <w:rFonts w:hint="default" w:cs="Times New Roman"/>
                <w:color w:val="auto"/>
                <w:highlight w:val="none"/>
              </w:rPr>
            </w:pPr>
            <w:r>
              <w:rPr>
                <w:rFonts w:hint="default" w:cs="Times New Roman"/>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426085</wp:posOffset>
                      </wp:positionH>
                      <wp:positionV relativeFrom="paragraph">
                        <wp:posOffset>256540</wp:posOffset>
                      </wp:positionV>
                      <wp:extent cx="563880" cy="8255"/>
                      <wp:effectExtent l="0" t="0" r="0" b="0"/>
                      <wp:wrapNone/>
                      <wp:docPr id="2" name="直线 1167"/>
                      <wp:cNvGraphicFramePr/>
                      <a:graphic xmlns:a="http://schemas.openxmlformats.org/drawingml/2006/main">
                        <a:graphicData uri="http://schemas.microsoft.com/office/word/2010/wordprocessingShape">
                          <wps:wsp>
                            <wps:cNvCnPr/>
                            <wps:spPr>
                              <a:xfrm flipV="1">
                                <a:off x="0" y="0"/>
                                <a:ext cx="563880" cy="8255"/>
                              </a:xfrm>
                              <a:prstGeom prst="line">
                                <a:avLst/>
                              </a:prstGeom>
                              <a:ln>
                                <a:noFill/>
                              </a:ln>
                            </wps:spPr>
                            <wps:bodyPr upright="1"/>
                          </wps:wsp>
                        </a:graphicData>
                      </a:graphic>
                    </wp:anchor>
                  </w:drawing>
                </mc:Choice>
                <mc:Fallback>
                  <w:pict>
                    <v:line id="直线 1167" o:spid="_x0000_s1026" o:spt="20" style="position:absolute;left:0pt;flip:y;margin-left:33.55pt;margin-top:20.2pt;height:0.65pt;width:44.4pt;z-index:251660288;mso-width-relative:page;mso-height-relative:page;" filled="f" stroked="f" coordsize="21600,21600" o:gfxdata="UEsDBAoAAAAAAIdO4kAAAAAAAAAAAAAAAAAEAAAAZHJzL1BLAwQUAAAACACHTuJAcIMEgtgAAAAI&#10;AQAADwAAAGRycy9kb3ducmV2LnhtbE2PS0/DMBCE70j9D9ZW4kbtVH1AiFO1IDjRAwVxduPNQ4nX&#10;qe00hV+Pe4Lj7Ixmvs02F9OxMzrfWJKQzAQwpMLqhioJnx8vd/fAfFCkVWcJJXyjh00+uclUqu1I&#10;73g+hIrFEvKpklCH0Kec+6JGo/zM9kjRK60zKkTpKq6dGmO56fhciBU3qqG4UKsen2os2sNgJAxt&#10;a56/3vblOJSvW/ezO1Xj/CTl7TQRj8ACXsJfGK74ER3yyHS0A2nPOgmrdRKTEhZiAezqL5cPwI7x&#10;kKyB5xn//0D+C1BLAwQUAAAACACHTuJA4RDDl6EBAAA1AwAADgAAAGRycy9lMm9Eb2MueG1srZJL&#10;jhMxEIb3SNzB8p44HZQQtdKZBdGwQRCJx97jttOW/FKVk07OwjVYseE4cw3K7hDQsJkFG6tcZX1V&#10;/1/e3J29YycNaGPoeDObc6aDir0Nh45/+Xz/as0ZZhl66WLQHb9o5Hfbly82Y2r1Ig7R9RoYQQK2&#10;Y+r4kHNqhUA1aC9xFpMOVDQRvMx0hYPoQY5E904s5vOVGCP0CaLSiJTdTUV+JcJzgNEYq/QuqqPX&#10;IU9U0E5mkoSDTci3dVpjtMofjUGdmes4Kc31pCYUP5RTbDeyPYBMg1XXEeRzRniiyUsbqOkNtZNZ&#10;siPYf1DeKogYTZ6p6MUkpDpCKpr5E28+DTLpqoWsxnQzHf8fVn047YHZvuMLzoL0tPDHb98ff/xk&#10;TbN6U+wZE7b06m3Yw/WGaQ9F69mAZ8bZ9JX+UVVPeti5mnu5mavPmSlKLlev12uyXVFpvVguC1tM&#10;kAJLgPmdjp6VoOPOhqJctvL0HvP09PeTknahnCHeW+emasmIMuw0XokeYn8hdccE9jAQtKk9S4Xc&#10;rN2vmy/r+vteSX9++/Y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cIMEgtgAAAAIAQAADwAAAAAA&#10;AAABACAAAAAiAAAAZHJzL2Rvd25yZXYueG1sUEsBAhQAFAAAAAgAh07iQOEQw5ehAQAANQMAAA4A&#10;AAAAAAAAAQAgAAAAJwEAAGRycy9lMm9Eb2MueG1sUEsFBgAAAAAGAAYAWQEAADoFAAAAAA==&#10;">
                      <v:fill on="f" focussize="0,0"/>
                      <v:stroke on="f"/>
                      <v:imagedata o:title=""/>
                      <o:lock v:ext="edit" aspectratio="f"/>
                    </v:line>
                  </w:pict>
                </mc:Fallback>
              </mc:AlternateContent>
            </w:r>
            <w:r>
              <w:rPr>
                <w:rFonts w:hint="default" w:cs="Times New Roman"/>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426085</wp:posOffset>
                      </wp:positionH>
                      <wp:positionV relativeFrom="paragraph">
                        <wp:posOffset>25400</wp:posOffset>
                      </wp:positionV>
                      <wp:extent cx="508000" cy="635"/>
                      <wp:effectExtent l="0" t="0" r="0" b="0"/>
                      <wp:wrapNone/>
                      <wp:docPr id="1" name="直线 1166"/>
                      <wp:cNvGraphicFramePr/>
                      <a:graphic xmlns:a="http://schemas.openxmlformats.org/drawingml/2006/main">
                        <a:graphicData uri="http://schemas.microsoft.com/office/word/2010/wordprocessingShape">
                          <wps:wsp>
                            <wps:cNvCnPr/>
                            <wps:spPr>
                              <a:xfrm>
                                <a:off x="0" y="0"/>
                                <a:ext cx="508000" cy="635"/>
                              </a:xfrm>
                              <a:prstGeom prst="line">
                                <a:avLst/>
                              </a:prstGeom>
                              <a:ln>
                                <a:noFill/>
                              </a:ln>
                            </wps:spPr>
                            <wps:bodyPr upright="1"/>
                          </wps:wsp>
                        </a:graphicData>
                      </a:graphic>
                    </wp:anchor>
                  </w:drawing>
                </mc:Choice>
                <mc:Fallback>
                  <w:pict>
                    <v:line id="直线 1166" o:spid="_x0000_s1026" o:spt="20" style="position:absolute;left:0pt;margin-left:33.55pt;margin-top:2pt;height:0.05pt;width:40pt;z-index:251659264;mso-width-relative:page;mso-height-relative:page;" filled="f" stroked="f" coordsize="21600,21600" o:gfxdata="UEsDBAoAAAAAAIdO4kAAAAAAAAAAAAAAAAAEAAAAZHJzL1BLAwQUAAAACACHTuJAK/IQOtQAAAAG&#10;AQAADwAAAGRycy9kb3ducmV2LnhtbE2PMW/CMBCF90r8B+sqdStOWgQ0jcNA1XZgAiqhbia+Jinx&#10;ObJNAv++l4mOn97Tu+/y1cW2okcfGkcK0mkCAql0pqFKwdf+/XEJIkRNRreOUMEVA6yKyV2uM+MG&#10;2mK/i5XgEQqZVlDH2GVShrJGq8PUdUic/ThvdWT0lTReDzxuW/mUJHNpdUN8odYdrmssT7uzVRDe&#10;Tgf3+z18LvsXv8fN9VAuPp6VerhPk1cQES/xVoZRn9WhYKejO5MJolUwX6TcVDDjj8Z4NvKROQVZ&#10;5PK/fvEHUEsDBBQAAAAIAIdO4kDa3wkqmAEAACoDAAAOAAAAZHJzL2Uyb0RvYy54bWytUktu2zAQ&#10;3RfIHQjuY0oJYgSC5SxiJJsgNdD2AAxFWgT4wwxt2WfpNbrqpsfJNTqUHCdINllkM5qf3sx7w8XN&#10;3ju204A2hpbXs4ozHVTsbNi0/NfPu/NrzjDL0EkXg275QSO/WZ59Wwyp0Rexj67TwAgkYDOklvc5&#10;p0YIVL32Emcx6UBFE8HLTCFsRAdyIHTvxEVVzcUQoUsQlUak7Goq8iMifAYwGmOVXkW19TrkCRW0&#10;k5koYW8T8uW4rTFa5e/GoM7MtZyY5tHSEPKfihXLhWw2IFNv1XEF+ZkV3nHy0gYaeoJaySzZFuwH&#10;KG8VRIwmz1T0YiIyKkIs6uqdNj96mfTIhaTGdBIdvw5WPe7WwGxHL4GzID0d/Pn3n+e//1hdz+dF&#10;niFhQ123YQ3HCNMaCte9AV++xILtR0kPJ0n1PjNFyavquqpIbEWl+eVVARSvfybAfK+jZ8VpubOh&#10;0JWN3D1gnlpfWkrahWJDvLPOTdWSEWXDaafiPcXuQJS2CeymJ9B6nFkqJOE4/XjucqO38Yj0+sSX&#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Ar8hA61AAAAAYBAAAPAAAAAAAAAAEAIAAAACIAAABk&#10;cnMvZG93bnJldi54bWxQSwECFAAUAAAACACHTuJA2t8JKpgBAAAqAwAADgAAAAAAAAABACAAAAAj&#10;AQAAZHJzL2Uyb0RvYy54bWxQSwUGAAAAAAYABgBZAQAALQUAAAAA&#10;">
                      <v:fill on="f" focussize="0,0"/>
                      <v:stroke on="f"/>
                      <v:imagedata o:title=""/>
                      <o:lock v:ext="edit" aspectratio="f"/>
                    </v:line>
                  </w:pict>
                </mc:Fallback>
              </mc:AlternateContent>
            </w:r>
            <w:r>
              <w:rPr>
                <w:rFonts w:hint="eastAsia" w:cs="Times New Roman"/>
                <w:color w:val="auto"/>
                <w:highlight w:val="none"/>
              </w:rPr>
              <w:t>（3）</w:t>
            </w:r>
            <w:r>
              <w:rPr>
                <w:rFonts w:hint="default" w:cs="Times New Roman"/>
                <w:color w:val="auto"/>
                <w:highlight w:val="none"/>
              </w:rPr>
              <w:t>供电：</w:t>
            </w:r>
            <w:r>
              <w:rPr>
                <w:rFonts w:hint="eastAsia" w:cs="Times New Roman"/>
                <w:color w:val="auto"/>
                <w:highlight w:val="none"/>
              </w:rPr>
              <w:t>本项目</w:t>
            </w:r>
            <w:r>
              <w:rPr>
                <w:rFonts w:hint="eastAsia" w:cs="Times New Roman"/>
                <w:color w:val="auto"/>
                <w:highlight w:val="none"/>
                <w:lang w:eastAsia="zh-CN"/>
              </w:rPr>
              <w:t>供电由现有</w:t>
            </w:r>
            <w:r>
              <w:rPr>
                <w:rFonts w:hint="eastAsia" w:cs="Times New Roman"/>
                <w:color w:val="auto"/>
                <w:highlight w:val="none"/>
              </w:rPr>
              <w:t>供电设施</w:t>
            </w:r>
            <w:r>
              <w:rPr>
                <w:rFonts w:hint="eastAsia" w:cs="Times New Roman"/>
                <w:color w:val="auto"/>
                <w:highlight w:val="none"/>
                <w:lang w:eastAsia="zh-CN"/>
              </w:rPr>
              <w:t>提供</w:t>
            </w:r>
            <w:r>
              <w:rPr>
                <w:rFonts w:hint="eastAsia" w:cs="Times New Roman"/>
                <w:color w:val="auto"/>
                <w:highlight w:val="none"/>
              </w:rPr>
              <w:t>。</w:t>
            </w:r>
          </w:p>
          <w:p w14:paraId="3D3EB56F">
            <w:pPr>
              <w:pStyle w:val="89"/>
              <w:keepNext w:val="0"/>
              <w:keepLines w:val="0"/>
              <w:suppressLineNumbers w:val="0"/>
              <w:spacing w:before="0" w:beforeAutospacing="0" w:after="0" w:afterAutospacing="0"/>
              <w:ind w:left="0" w:right="0" w:firstLine="482"/>
              <w:rPr>
                <w:rFonts w:hint="eastAsia" w:eastAsia="宋体" w:cs="Times New Roman"/>
                <w:b/>
                <w:bCs/>
                <w:color w:val="auto"/>
                <w:lang w:eastAsia="zh-CN"/>
              </w:rPr>
            </w:pPr>
            <w:r>
              <w:rPr>
                <w:rFonts w:hint="eastAsia" w:cs="Times New Roman"/>
                <w:b/>
                <w:bCs/>
                <w:color w:val="auto"/>
                <w:lang w:val="en-US" w:eastAsia="zh-CN"/>
              </w:rPr>
              <w:t>6</w:t>
            </w:r>
            <w:r>
              <w:rPr>
                <w:rFonts w:hint="default" w:cs="Times New Roman"/>
                <w:b/>
                <w:bCs/>
                <w:color w:val="auto"/>
              </w:rPr>
              <w:t>、劳动定员和工作</w:t>
            </w:r>
            <w:r>
              <w:rPr>
                <w:rFonts w:hint="eastAsia" w:cs="Times New Roman"/>
                <w:b/>
                <w:bCs/>
                <w:color w:val="auto"/>
                <w:lang w:eastAsia="zh-CN"/>
              </w:rPr>
              <w:t>制度</w:t>
            </w:r>
          </w:p>
          <w:p w14:paraId="4044D307">
            <w:pPr>
              <w:pStyle w:val="89"/>
              <w:keepNext w:val="0"/>
              <w:keepLines w:val="0"/>
              <w:suppressLineNumbers w:val="0"/>
              <w:spacing w:before="0" w:beforeAutospacing="0" w:after="0" w:afterAutospacing="0"/>
              <w:ind w:left="0" w:right="0" w:firstLine="480"/>
              <w:rPr>
                <w:rFonts w:hint="eastAsia" w:cs="Times New Roman"/>
                <w:bCs/>
                <w:color w:val="auto"/>
                <w:sz w:val="24"/>
              </w:rPr>
            </w:pPr>
            <w:r>
              <w:rPr>
                <w:rFonts w:hint="eastAsia" w:cs="Times New Roman"/>
                <w:bCs/>
                <w:color w:val="auto"/>
                <w:sz w:val="24"/>
                <w:lang w:eastAsia="zh-CN"/>
              </w:rPr>
              <w:t>瓦斯抽放站</w:t>
            </w:r>
            <w:r>
              <w:rPr>
                <w:rFonts w:hint="eastAsia" w:cs="Times New Roman"/>
                <w:bCs/>
                <w:color w:val="auto"/>
                <w:sz w:val="24"/>
              </w:rPr>
              <w:t>现有工作人员4人，</w:t>
            </w:r>
            <w:r>
              <w:rPr>
                <w:rFonts w:hint="eastAsia" w:cs="Times New Roman"/>
                <w:color w:val="auto"/>
              </w:rPr>
              <w:t>实行3</w:t>
            </w:r>
            <w:r>
              <w:rPr>
                <w:rFonts w:hint="default" w:cs="Times New Roman"/>
                <w:color w:val="auto"/>
              </w:rPr>
              <w:t>班制，每班工作</w:t>
            </w:r>
            <w:r>
              <w:rPr>
                <w:rFonts w:hint="eastAsia" w:cs="Times New Roman"/>
                <w:color w:val="auto"/>
                <w:lang w:val="en-US" w:eastAsia="zh-CN"/>
              </w:rPr>
              <w:t>8</w:t>
            </w:r>
            <w:r>
              <w:rPr>
                <w:rFonts w:hint="default" w:cs="Times New Roman"/>
                <w:color w:val="auto"/>
              </w:rPr>
              <w:t>小时，年工作</w:t>
            </w:r>
            <w:r>
              <w:rPr>
                <w:rFonts w:hint="eastAsia" w:cs="Times New Roman"/>
                <w:color w:val="auto"/>
                <w:lang w:val="en-US" w:eastAsia="zh-CN"/>
              </w:rPr>
              <w:t>365天</w:t>
            </w:r>
            <w:r>
              <w:rPr>
                <w:rFonts w:hint="default" w:cs="Times New Roman"/>
                <w:color w:val="auto"/>
              </w:rPr>
              <w:t>。</w:t>
            </w:r>
            <w:r>
              <w:rPr>
                <w:rFonts w:hint="eastAsia" w:cs="Times New Roman"/>
                <w:bCs/>
                <w:color w:val="auto"/>
                <w:sz w:val="24"/>
              </w:rPr>
              <w:t>本次不新增工作人员。</w:t>
            </w:r>
          </w:p>
          <w:p w14:paraId="03376D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left"/>
              <w:textAlignment w:val="auto"/>
              <w:rPr>
                <w:rFonts w:hint="default" w:cs="Times New Roman"/>
                <w:color w:val="auto"/>
              </w:rPr>
            </w:pPr>
            <w:r>
              <w:rPr>
                <w:rFonts w:hint="eastAsia" w:ascii="Times New Roman" w:hAnsi="Times New Roman" w:eastAsia="宋体" w:cs="Times New Roman"/>
                <w:b/>
                <w:bCs/>
                <w:color w:val="auto"/>
                <w:kern w:val="2"/>
                <w:sz w:val="24"/>
                <w:szCs w:val="24"/>
                <w:lang w:val="en-US" w:eastAsia="zh-CN" w:bidi="ar-SA"/>
              </w:rPr>
              <w:t>7、项目施工占地</w:t>
            </w:r>
            <w:r>
              <w:rPr>
                <w:rFonts w:hint="default" w:ascii="黑体" w:hAnsi="宋体" w:eastAsia="黑体" w:cs="黑体"/>
                <w:color w:val="auto"/>
                <w:kern w:val="0"/>
                <w:sz w:val="24"/>
                <w:szCs w:val="24"/>
                <w:lang w:val="en-US" w:eastAsia="zh-CN" w:bidi="ar"/>
              </w:rPr>
              <w:t xml:space="preserve"> </w:t>
            </w:r>
          </w:p>
          <w:p w14:paraId="4F1478F3">
            <w:pPr>
              <w:keepNext w:val="0"/>
              <w:keepLines w:val="0"/>
              <w:widowControl/>
              <w:suppressLineNumbers w:val="0"/>
              <w:spacing w:before="0" w:beforeAutospacing="0" w:after="0" w:afterAutospacing="0" w:line="360" w:lineRule="auto"/>
              <w:ind w:left="0" w:right="0" w:firstLine="480" w:firstLineChars="200"/>
              <w:jc w:val="left"/>
              <w:rPr>
                <w:rFonts w:hint="default" w:cs="Times New Roman"/>
                <w:color w:val="auto"/>
                <w:lang w:val="en-US" w:eastAsia="zh-CN"/>
              </w:rPr>
            </w:pPr>
            <w:r>
              <w:rPr>
                <w:rFonts w:hint="eastAsia" w:ascii="Times New Roman" w:hAnsi="Times New Roman" w:eastAsia="宋体" w:cs="Times New Roman"/>
                <w:color w:val="auto"/>
                <w:sz w:val="24"/>
                <w:szCs w:val="24"/>
                <w:lang w:val="en-US" w:eastAsia="zh-CN"/>
              </w:rPr>
              <w:t>本项目用地均位于工业场地范围内，不另行征地，用地性质属于工业用地。新建抽采泵站占地面积约216m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w:t>
            </w:r>
          </w:p>
        </w:tc>
        <w:tc>
          <w:tcPr>
            <w:tcW w:w="2435" w:type="pct"/>
            <w:noWrap w:val="0"/>
            <w:tcMar>
              <w:top w:w="0" w:type="dxa"/>
              <w:left w:w="108" w:type="dxa"/>
              <w:bottom w:w="0" w:type="dxa"/>
              <w:right w:w="108" w:type="dxa"/>
            </w:tcMar>
            <w:vAlign w:val="center"/>
          </w:tcPr>
          <w:p w14:paraId="3CF545E0">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lang w:val="en-US" w:eastAsia="zh-CN"/>
              </w:rPr>
            </w:pPr>
          </w:p>
        </w:tc>
      </w:tr>
      <w:tr w14:paraId="527DD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7" w:hRule="atLeast"/>
          <w:jc w:val="center"/>
        </w:trPr>
        <w:tc>
          <w:tcPr>
            <w:tcW w:w="130" w:type="pct"/>
            <w:noWrap w:val="0"/>
            <w:tcMar>
              <w:top w:w="0" w:type="dxa"/>
              <w:left w:w="108" w:type="dxa"/>
              <w:bottom w:w="0" w:type="dxa"/>
              <w:right w:w="108" w:type="dxa"/>
            </w:tcMar>
            <w:vAlign w:val="center"/>
          </w:tcPr>
          <w:p w14:paraId="404E1A5D">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总平面及现场布置</w:t>
            </w:r>
          </w:p>
        </w:tc>
        <w:tc>
          <w:tcPr>
            <w:tcW w:w="2434" w:type="pct"/>
            <w:noWrap w:val="0"/>
            <w:tcMar>
              <w:top w:w="0" w:type="dxa"/>
              <w:left w:w="108" w:type="dxa"/>
              <w:bottom w:w="0" w:type="dxa"/>
              <w:right w:w="108" w:type="dxa"/>
            </w:tcMar>
            <w:vAlign w:val="center"/>
          </w:tcPr>
          <w:p w14:paraId="778D8336">
            <w:pPr>
              <w:pStyle w:val="89"/>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本项目在现有瓦斯泵房西侧扩建</w:t>
            </w:r>
            <w:r>
              <w:rPr>
                <w:rFonts w:hint="default" w:ascii="Times New Roman" w:hAnsi="Times New Roman" w:eastAsia="宋体" w:cs="Times New Roman"/>
                <w:color w:val="auto"/>
                <w:sz w:val="24"/>
                <w:szCs w:val="24"/>
                <w:lang w:val="en-US" w:eastAsia="zh-CN"/>
              </w:rPr>
              <w:t>一间</w:t>
            </w:r>
            <w:r>
              <w:rPr>
                <w:rFonts w:hint="eastAsia" w:ascii="Times New Roman" w:hAnsi="Times New Roman" w:eastAsia="宋体" w:cs="Times New Roman"/>
                <w:color w:val="auto"/>
                <w:sz w:val="24"/>
                <w:szCs w:val="24"/>
                <w:lang w:val="en-US" w:eastAsia="zh-CN"/>
              </w:rPr>
              <w:t>瓦斯抽采泵房，长约16m，宽约13.5m，高约12m，建筑面积约216m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，内置2台瓦斯抽采泵。同步改造现有瓦斯泵站内供配电、冷却水系统、监控、防雷等系统，其位置不变，仅对设备进行升级改造。</w:t>
            </w:r>
          </w:p>
          <w:p w14:paraId="47ABE5BE">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sz w:val="24"/>
                <w:szCs w:val="24"/>
                <w:highlight w:val="yellow"/>
                <w:lang w:val="en-US" w:eastAsia="zh-CN"/>
              </w:rPr>
            </w:pPr>
            <w:r>
              <w:rPr>
                <w:rFonts w:hint="eastAsia" w:ascii="Times New Roman" w:hAnsi="Times New Roman" w:eastAsia="宋体" w:cs="Times New Roman"/>
                <w:color w:val="auto"/>
                <w:sz w:val="24"/>
                <w:szCs w:val="24"/>
                <w:lang w:val="en-US" w:eastAsia="zh-CN"/>
              </w:rPr>
              <w:t>项目实施后瓦斯抽采泵站内总平面布置维持原有布局不变，泵站入口位于南侧，与矿内现有道路相接。泵站内东侧布置配电室和监控室，水泵房位于泵站内西侧，其南侧布置冷水池、热水池</w:t>
            </w:r>
            <w:r>
              <w:rPr>
                <w:rFonts w:hint="eastAsia" w:ascii="Times New Roman" w:hAnsi="Times New Roman" w:eastAsia="宋体" w:cs="Times New Roman"/>
                <w:color w:val="auto"/>
                <w:sz w:val="24"/>
                <w:szCs w:val="24"/>
                <w:highlight w:val="none"/>
                <w:lang w:val="en-US" w:eastAsia="zh-CN"/>
              </w:rPr>
              <w:t>、冷却塔位于水池北侧。</w:t>
            </w:r>
          </w:p>
          <w:p w14:paraId="53EF1933">
            <w:pPr>
              <w:pStyle w:val="89"/>
              <w:keepNext w:val="0"/>
              <w:keepLines w:val="0"/>
              <w:suppressLineNumbers w:val="0"/>
              <w:spacing w:before="0" w:beforeAutospacing="0" w:after="0" w:afterAutospacing="0"/>
              <w:ind w:left="0" w:right="0" w:firstLine="480"/>
              <w:rPr>
                <w:rFonts w:hint="eastAsia" w:eastAsia="宋体" w:cs="Times New Roman"/>
                <w:color w:val="auto"/>
                <w:lang w:val="en-US" w:eastAsia="zh-CN"/>
              </w:rPr>
            </w:pPr>
            <w:r>
              <w:rPr>
                <w:rFonts w:hint="eastAsia" w:ascii="Times New Roman" w:hAnsi="Times New Roman" w:eastAsia="宋体" w:cs="Times New Roman"/>
                <w:color w:val="auto"/>
                <w:sz w:val="24"/>
                <w:szCs w:val="24"/>
                <w:lang w:val="en-US" w:eastAsia="zh-CN"/>
              </w:rPr>
              <w:t>项目区用地紧凑，总体布局规整，满足工艺流程及安全需要，方便管理。项目整体布局合理。项目总平面布置详见附图。</w:t>
            </w:r>
          </w:p>
        </w:tc>
        <w:tc>
          <w:tcPr>
            <w:tcW w:w="2435" w:type="pct"/>
            <w:noWrap w:val="0"/>
            <w:tcMar>
              <w:top w:w="0" w:type="dxa"/>
              <w:left w:w="108" w:type="dxa"/>
              <w:bottom w:w="0" w:type="dxa"/>
              <w:right w:w="108" w:type="dxa"/>
            </w:tcMar>
            <w:vAlign w:val="center"/>
          </w:tcPr>
          <w:p w14:paraId="436AB3C2">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val="en-US" w:eastAsia="zh-CN"/>
              </w:rPr>
            </w:pPr>
          </w:p>
        </w:tc>
      </w:tr>
      <w:tr w14:paraId="29BAD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 w:type="pct"/>
            <w:noWrap w:val="0"/>
            <w:vAlign w:val="center"/>
          </w:tcPr>
          <w:p w14:paraId="2B26293B">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color w:val="auto"/>
                <w:kern w:val="0"/>
                <w:szCs w:val="21"/>
              </w:rPr>
              <w:br w:type="page"/>
            </w:r>
            <w:r>
              <w:rPr>
                <w:rFonts w:hint="eastAsia" w:ascii="宋体" w:hAnsi="宋体" w:cs="宋体"/>
                <w:color w:val="auto"/>
                <w:kern w:val="0"/>
                <w:szCs w:val="21"/>
              </w:rPr>
              <w:t>施工方案</w:t>
            </w:r>
          </w:p>
        </w:tc>
        <w:tc>
          <w:tcPr>
            <w:tcW w:w="2434" w:type="pct"/>
            <w:noWrap w:val="0"/>
            <w:vAlign w:val="center"/>
          </w:tcPr>
          <w:p w14:paraId="346211C4">
            <w:pPr>
              <w:keepNext w:val="0"/>
              <w:keepLines w:val="0"/>
              <w:suppressLineNumbers w:val="0"/>
              <w:tabs>
                <w:tab w:val="left" w:pos="975"/>
              </w:tabs>
              <w:spacing w:before="0" w:beforeAutospacing="0" w:after="0" w:afterAutospacing="0" w:line="360" w:lineRule="auto"/>
              <w:ind w:left="0" w:right="0"/>
              <w:rPr>
                <w:rFonts w:hint="default" w:cs="Times New Roman"/>
                <w:strike w:val="0"/>
                <w:color w:val="auto"/>
                <w:sz w:val="24"/>
                <w:szCs w:val="24"/>
                <w:lang w:val="en-US" w:eastAsia="zh-CN"/>
              </w:rPr>
            </w:pPr>
            <w:bookmarkStart w:id="36" w:name="_Toc446518159"/>
            <w:r>
              <w:rPr>
                <w:rFonts w:hint="eastAsia" w:cs="Times New Roman"/>
                <w:strike w:val="0"/>
                <w:color w:val="auto"/>
                <w:sz w:val="24"/>
                <w:szCs w:val="24"/>
                <w:lang w:val="en-US" w:eastAsia="zh-CN"/>
              </w:rPr>
              <w:t>施工方案：</w:t>
            </w:r>
          </w:p>
          <w:p w14:paraId="17B51B73">
            <w:pPr>
              <w:keepNext w:val="0"/>
              <w:keepLines w:val="0"/>
              <w:suppressLineNumbers w:val="0"/>
              <w:tabs>
                <w:tab w:val="left" w:pos="975"/>
              </w:tabs>
              <w:spacing w:before="0" w:beforeAutospacing="0" w:after="0" w:afterAutospacing="0" w:line="360" w:lineRule="auto"/>
              <w:ind w:left="0" w:right="0" w:firstLine="480" w:firstLineChars="200"/>
              <w:rPr>
                <w:rFonts w:hint="default" w:ascii="Times New Roman" w:hAnsi="Times New Roman" w:eastAsia="宋体" w:cs="Times New Roman"/>
                <w:strike w:val="0"/>
                <w:color w:val="auto"/>
                <w:sz w:val="24"/>
                <w:szCs w:val="24"/>
                <w:lang w:val="en-US" w:eastAsia="zh-CN"/>
              </w:rPr>
            </w:pPr>
            <w:r>
              <w:rPr>
                <w:rFonts w:hint="eastAsia" w:cs="Times New Roman"/>
                <w:strike w:val="0"/>
                <w:color w:val="auto"/>
                <w:sz w:val="24"/>
                <w:szCs w:val="24"/>
                <w:lang w:val="en-US" w:eastAsia="zh-CN"/>
              </w:rPr>
              <w:t>1、地面管路：</w:t>
            </w:r>
          </w:p>
          <w:p w14:paraId="69E7DFC3">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本项目不含井下抽采管路施工和地面站外管路施工</w:t>
            </w:r>
            <w:r>
              <w:rPr>
                <w:rFonts w:hint="eastAsia" w:ascii="Times New Roman" w:hAnsi="Times New Roman" w:eastAsia="宋体" w:cs="Times New Roman"/>
                <w:b w:val="0"/>
                <w:kern w:val="2"/>
                <w:sz w:val="24"/>
                <w:szCs w:val="24"/>
                <w:lang w:val="en-US" w:eastAsia="zh-CN" w:bidi="ar-SA"/>
              </w:rPr>
              <w:t>及钻孔施工</w:t>
            </w:r>
            <w:r>
              <w:rPr>
                <w:rFonts w:hint="default" w:ascii="Times New Roman" w:hAnsi="Times New Roman" w:eastAsia="宋体" w:cs="Times New Roman"/>
                <w:b w:val="0"/>
                <w:kern w:val="2"/>
                <w:sz w:val="24"/>
                <w:szCs w:val="24"/>
                <w:lang w:val="en-US" w:eastAsia="zh-CN" w:bidi="ar-SA"/>
              </w:rPr>
              <w:t>，管路施工仅包括站内新增DN800进气管路、出气管路各1趟，长约300m，采用管支墩或管支架架空敷设。</w:t>
            </w:r>
          </w:p>
          <w:p w14:paraId="0DB2731E">
            <w:pPr>
              <w:pStyle w:val="113"/>
              <w:keepNext w:val="0"/>
              <w:keepLines w:val="0"/>
              <w:suppressLineNumbers w:val="0"/>
              <w:spacing w:before="0" w:beforeAutospacing="0" w:after="0" w:afterAutospacing="0"/>
              <w:ind w:left="0" w:right="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1）地面管道布置原则及敷设要求</w:t>
            </w:r>
          </w:p>
          <w:p w14:paraId="4FD2BD34">
            <w:pPr>
              <w:keepNext w:val="0"/>
              <w:keepLines w:val="0"/>
              <w:suppressLineNumbers w:val="0"/>
              <w:tabs>
                <w:tab w:val="left" w:pos="0"/>
              </w:tabs>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1</w:t>
            </w:r>
            <w:r>
              <w:rPr>
                <w:rFonts w:hint="eastAsia" w:ascii="Times New Roman" w:hAnsi="Times New Roman" w:eastAsia="宋体" w:cs="Times New Roman"/>
                <w:b w:val="0"/>
                <w:kern w:val="2"/>
                <w:sz w:val="24"/>
                <w:szCs w:val="24"/>
                <w:lang w:val="en-US" w:eastAsia="zh-CN" w:bidi="ar-SA"/>
              </w:rPr>
              <w:t>、抽采管路系统中必须安装调节、控制、检测、防爆、防回火装置等安全设施。</w:t>
            </w:r>
          </w:p>
          <w:p w14:paraId="4AE8F381">
            <w:pPr>
              <w:keepNext w:val="0"/>
              <w:keepLines w:val="0"/>
              <w:suppressLineNumbers w:val="0"/>
              <w:tabs>
                <w:tab w:val="left" w:pos="0"/>
              </w:tabs>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2</w:t>
            </w:r>
            <w:r>
              <w:rPr>
                <w:rFonts w:hint="eastAsia" w:ascii="Times New Roman" w:hAnsi="Times New Roman" w:eastAsia="宋体" w:cs="Times New Roman"/>
                <w:b w:val="0"/>
                <w:kern w:val="2"/>
                <w:sz w:val="24"/>
                <w:szCs w:val="24"/>
                <w:lang w:val="en-US" w:eastAsia="zh-CN" w:bidi="ar-SA"/>
              </w:rPr>
              <w:t>、应采用架空或直埋方式，本项目</w:t>
            </w:r>
            <w:r>
              <w:rPr>
                <w:rFonts w:hint="default" w:ascii="Times New Roman" w:hAnsi="Times New Roman" w:eastAsia="宋体" w:cs="Times New Roman"/>
                <w:b w:val="0"/>
                <w:bCs w:val="0"/>
                <w:color w:val="auto"/>
                <w:kern w:val="2"/>
                <w:sz w:val="24"/>
                <w:szCs w:val="24"/>
                <w:highlight w:val="none"/>
                <w:lang w:val="en-US" w:eastAsia="zh-CN" w:bidi="ar-SA"/>
              </w:rPr>
              <w:t>采用管支墩或管支架架空敷设</w:t>
            </w:r>
            <w:r>
              <w:rPr>
                <w:rFonts w:hint="eastAsia" w:ascii="Times New Roman" w:hAnsi="Times New Roman" w:eastAsia="宋体" w:cs="Times New Roman"/>
                <w:b w:val="0"/>
                <w:bCs w:val="0"/>
                <w:color w:val="auto"/>
                <w:kern w:val="2"/>
                <w:sz w:val="24"/>
                <w:szCs w:val="24"/>
                <w:highlight w:val="none"/>
                <w:lang w:val="en-US" w:eastAsia="zh-CN" w:bidi="ar-SA"/>
              </w:rPr>
              <w:t>。</w:t>
            </w:r>
          </w:p>
          <w:p w14:paraId="6C2BCF0E">
            <w:pPr>
              <w:keepNext w:val="0"/>
              <w:keepLines w:val="0"/>
              <w:suppressLineNumbers w:val="0"/>
              <w:tabs>
                <w:tab w:val="left" w:pos="0"/>
              </w:tabs>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3、管道与地上、下建（构）筑物及设施的间距，应符合现行国家标准《工业企业总平面设计规范》（GB 50187-2012）的有关规定；</w:t>
            </w:r>
          </w:p>
          <w:p w14:paraId="221AF16E">
            <w:pPr>
              <w:keepNext w:val="0"/>
              <w:keepLines w:val="0"/>
              <w:suppressLineNumbers w:val="0"/>
              <w:tabs>
                <w:tab w:val="left" w:pos="975"/>
              </w:tabs>
              <w:spacing w:before="0" w:beforeAutospacing="0" w:after="0" w:afterAutospacing="0" w:line="360" w:lineRule="auto"/>
              <w:ind w:left="0" w:right="0" w:firstLine="480" w:firstLineChars="200"/>
              <w:rPr>
                <w:rFonts w:hint="default"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4、管道不得从地下穿过房屋或其他建（构）筑物，也不宜穿过其他管网，当必须穿过其他管网时，应按有关规定采取措施。</w:t>
            </w:r>
          </w:p>
          <w:p w14:paraId="4C0C894E">
            <w:pPr>
              <w:pStyle w:val="113"/>
              <w:keepNext w:val="0"/>
              <w:keepLines w:val="0"/>
              <w:suppressLineNumbers w:val="0"/>
              <w:spacing w:before="0" w:beforeAutospacing="0" w:after="0" w:afterAutospacing="0"/>
              <w:ind w:left="0" w:right="0"/>
              <w:rPr>
                <w:rFonts w:hint="eastAsia" w:ascii="Times New Roman" w:hAnsi="Times New Roman" w:eastAsia="宋体" w:cs="Times New Roman"/>
                <w:b w:val="0"/>
                <w:kern w:val="2"/>
                <w:sz w:val="24"/>
                <w:szCs w:val="24"/>
                <w:lang w:val="en-US" w:eastAsia="zh-CN" w:bidi="ar-SA"/>
              </w:rPr>
            </w:pPr>
            <w:bookmarkStart w:id="37" w:name="_Toc217787747"/>
            <w:bookmarkStart w:id="38" w:name="_Toc327218204"/>
            <w:r>
              <w:rPr>
                <w:rFonts w:hint="eastAsia" w:ascii="Times New Roman" w:hAnsi="Times New Roman" w:eastAsia="宋体" w:cs="Times New Roman"/>
                <w:b w:val="0"/>
                <w:kern w:val="2"/>
                <w:sz w:val="24"/>
                <w:szCs w:val="24"/>
                <w:lang w:val="en-US" w:eastAsia="zh-CN" w:bidi="ar-SA"/>
              </w:rPr>
              <w:t>2）管路附属装置及</w:t>
            </w:r>
            <w:bookmarkEnd w:id="37"/>
            <w:bookmarkEnd w:id="38"/>
            <w:r>
              <w:rPr>
                <w:rFonts w:hint="eastAsia" w:ascii="Times New Roman" w:hAnsi="Times New Roman" w:eastAsia="宋体" w:cs="Times New Roman"/>
                <w:b w:val="0"/>
                <w:kern w:val="2"/>
                <w:sz w:val="24"/>
                <w:szCs w:val="24"/>
                <w:lang w:val="en-US" w:eastAsia="zh-CN" w:bidi="ar-SA"/>
              </w:rPr>
              <w:t>设施</w:t>
            </w:r>
          </w:p>
          <w:p w14:paraId="23BA37FC">
            <w:pPr>
              <w:pStyle w:val="113"/>
              <w:keepNext w:val="0"/>
              <w:keepLines w:val="0"/>
              <w:suppressLineNumbers w:val="0"/>
              <w:spacing w:before="0" w:beforeAutospacing="0" w:after="0" w:afterAutospacing="0"/>
              <w:ind w:left="0" w:right="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1．主管、干管、支管、钻场连接处应装设瓦斯计量装置；</w:t>
            </w:r>
          </w:p>
          <w:p w14:paraId="6ABAB519">
            <w:pPr>
              <w:pStyle w:val="113"/>
              <w:keepNext w:val="0"/>
              <w:keepLines w:val="0"/>
              <w:suppressLineNumbers w:val="0"/>
              <w:spacing w:before="0" w:beforeAutospacing="0" w:after="0" w:afterAutospacing="0"/>
              <w:ind w:left="0" w:right="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2．钻场、管道垂直拐弯、低洼、温度突变处应设置放水器，间距取500m～800m，最大不超过1000m；</w:t>
            </w:r>
          </w:p>
          <w:p w14:paraId="44E283B7">
            <w:pPr>
              <w:pStyle w:val="113"/>
              <w:keepNext w:val="0"/>
              <w:keepLines w:val="0"/>
              <w:suppressLineNumbers w:val="0"/>
              <w:spacing w:before="0" w:beforeAutospacing="0" w:after="0" w:afterAutospacing="0"/>
              <w:ind w:left="0" w:right="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3．在管路的适当部位应设置除渣装置，本次设计在泵站内进气管段设置排渣器；</w:t>
            </w:r>
          </w:p>
          <w:p w14:paraId="47823068">
            <w:pPr>
              <w:pStyle w:val="113"/>
              <w:keepNext w:val="0"/>
              <w:keepLines w:val="0"/>
              <w:suppressLineNumbers w:val="0"/>
              <w:spacing w:before="0" w:beforeAutospacing="0" w:after="0" w:afterAutospacing="0"/>
              <w:ind w:left="0" w:right="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4．管路分岔处应设置控制阀门，并宜选择自动手动两用阀，规格应与安装地点的管径相匹配；</w:t>
            </w:r>
          </w:p>
          <w:p w14:paraId="3C72FC9F">
            <w:pPr>
              <w:pStyle w:val="113"/>
              <w:keepNext w:val="0"/>
              <w:keepLines w:val="0"/>
              <w:suppressLineNumbers w:val="0"/>
              <w:spacing w:before="0" w:beforeAutospacing="0" w:after="0" w:afterAutospacing="0"/>
              <w:ind w:left="0" w:right="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5．地面主管直埋时，阀门应设置在观察井内；观察井应位于地表以下，并应采用不燃性材料砌成，且不应透水；</w:t>
            </w:r>
          </w:p>
          <w:p w14:paraId="1364B2CB">
            <w:pPr>
              <w:pStyle w:val="113"/>
              <w:keepNext w:val="0"/>
              <w:keepLines w:val="0"/>
              <w:suppressLineNumbers w:val="0"/>
              <w:spacing w:before="0" w:beforeAutospacing="0" w:after="0" w:afterAutospacing="0"/>
              <w:ind w:left="0" w:right="0"/>
              <w:rPr>
                <w:rFonts w:hint="eastAsia"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6．抽采钻孔连接管宜设抽采负压和瓦斯浓度检测孔，并宜安设控制阀门。</w:t>
            </w:r>
          </w:p>
          <w:p w14:paraId="338A3D65">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7、</w:t>
            </w:r>
            <w:r>
              <w:rPr>
                <w:rFonts w:hint="default" w:ascii="Times New Roman" w:hAnsi="Times New Roman" w:eastAsia="宋体" w:cs="Times New Roman"/>
                <w:b w:val="0"/>
                <w:kern w:val="2"/>
                <w:sz w:val="24"/>
                <w:szCs w:val="24"/>
                <w:lang w:val="en-US" w:eastAsia="zh-CN" w:bidi="ar-SA"/>
              </w:rPr>
              <w:t>抽采泵站的进气侧、出气侧均设置放空管，用来排放井下抽采管路自然排出瓦斯和泵站抽出的瓦斯。安设放空管应注意以下几点：</w:t>
            </w:r>
          </w:p>
          <w:p w14:paraId="54DA14A3">
            <w:pPr>
              <w:pStyle w:val="113"/>
              <w:keepNext w:val="0"/>
              <w:keepLines w:val="0"/>
              <w:suppressLineNumbers w:val="0"/>
              <w:spacing w:before="0" w:beforeAutospacing="0" w:after="0" w:afterAutospacing="0"/>
              <w:ind w:left="0" w:right="0"/>
              <w:rPr>
                <w:rFonts w:hint="default" w:ascii="Times New Roman" w:hAnsi="Times New Roman" w:eastAsia="宋体" w:cs="Times New Roman"/>
                <w:sz w:val="24"/>
                <w:szCs w:val="24"/>
              </w:rPr>
            </w:pPr>
            <w:r>
              <w:rPr>
                <w:rFonts w:hint="default" w:ascii="Times New Roman" w:hAnsi="Times New Roman" w:eastAsia="宋体" w:cs="Times New Roman"/>
                <w:b w:val="0"/>
                <w:kern w:val="2"/>
                <w:sz w:val="24"/>
                <w:szCs w:val="24"/>
                <w:lang w:val="en-US" w:eastAsia="zh-CN" w:bidi="ar-SA"/>
              </w:rPr>
              <w:t>①放空管直径不得小于主管管径。</w:t>
            </w:r>
          </w:p>
          <w:p w14:paraId="69F20F6A">
            <w:pPr>
              <w:pStyle w:val="103"/>
              <w:keepNext w:val="0"/>
              <w:keepLines w:val="0"/>
              <w:suppressLineNumbers w:val="0"/>
              <w:spacing w:before="0" w:beforeAutospacing="0" w:after="0" w:afterAutospacing="0"/>
              <w:ind w:left="0" w:right="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②为防止雨水或其它杂物进入放空管，其上端管口应设防护罩。</w:t>
            </w:r>
          </w:p>
          <w:p w14:paraId="451CE7EB">
            <w:pPr>
              <w:pStyle w:val="103"/>
              <w:keepNext w:val="0"/>
              <w:keepLines w:val="0"/>
              <w:suppressLineNumbers w:val="0"/>
              <w:spacing w:before="0" w:beforeAutospacing="0" w:after="0" w:afterAutospacing="0"/>
              <w:ind w:left="0" w:right="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③为便于操作，放空管阀门距地表1～1.5m。</w:t>
            </w:r>
          </w:p>
          <w:p w14:paraId="072B7318">
            <w:pPr>
              <w:pStyle w:val="103"/>
              <w:keepNext w:val="0"/>
              <w:keepLines w:val="0"/>
              <w:suppressLineNumbers w:val="0"/>
              <w:spacing w:before="0" w:beforeAutospacing="0" w:after="0" w:afterAutospacing="0"/>
              <w:ind w:left="0" w:right="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④放空管周围不允许有易燃物。</w:t>
            </w:r>
          </w:p>
          <w:p w14:paraId="2243508D">
            <w:pPr>
              <w:pStyle w:val="103"/>
              <w:keepNext w:val="0"/>
              <w:keepLines w:val="0"/>
              <w:suppressLineNumbers w:val="0"/>
              <w:spacing w:before="0" w:beforeAutospacing="0" w:after="0" w:afterAutospacing="0"/>
              <w:ind w:left="0" w:right="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⑤放空管的高度需超过管道间屋脊3m以上，与管道、墙壁距离为0.5～1m为宜，最远不得超过5m。低浓度瓦斯管道输送系统不应设置缓冲罐。</w:t>
            </w:r>
          </w:p>
          <w:p w14:paraId="0F673ABD">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eastAsia" w:ascii="Times New Roman" w:hAnsi="Times New Roman" w:eastAsia="宋体" w:cs="Times New Roman"/>
                <w:b w:val="0"/>
                <w:kern w:val="2"/>
                <w:sz w:val="24"/>
                <w:szCs w:val="24"/>
                <w:lang w:val="en-US" w:eastAsia="zh-CN" w:bidi="ar-SA"/>
              </w:rPr>
              <w:t>3）</w:t>
            </w:r>
            <w:r>
              <w:rPr>
                <w:rFonts w:hint="default" w:ascii="Times New Roman" w:hAnsi="Times New Roman" w:eastAsia="宋体" w:cs="Times New Roman"/>
                <w:b w:val="0"/>
                <w:kern w:val="2"/>
                <w:sz w:val="24"/>
                <w:szCs w:val="24"/>
                <w:lang w:val="en-US" w:eastAsia="zh-CN" w:bidi="ar-SA"/>
              </w:rPr>
              <w:t>煤矿低浓度瓦斯管道输送安全保障措施</w:t>
            </w:r>
          </w:p>
          <w:p w14:paraId="3D825F18">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矿井瓦斯抽采系统中瓦斯抽采浓度均低于30%，根据《煤矿低浓度瓦斯管道输送安全保障系统设计规范》（GB 40881-2021）要求，低浓度规定为3%～30%，需要设置安全保障措施。</w:t>
            </w:r>
          </w:p>
          <w:p w14:paraId="47DC8FD8">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为了确保煤矿低浓度瓦斯管道输送安全，煤矿低浓度瓦斯管路输送安全保证措施应符合《煤矿瓦斯抽采工程设计标准》（GB 50471-2018 ）、《煤矿低浓度瓦斯管道输送安全保障系统设计规范》(GB 40881-2021)相关规定。</w:t>
            </w:r>
          </w:p>
          <w:p w14:paraId="60018653">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（一）基本规定</w:t>
            </w:r>
          </w:p>
          <w:p w14:paraId="1263A9F2">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1．在煤矿低浓度瓦斯管道输送系统中靠近可能的火源点（发电机组进气侧、地面排空管口、自燃和容易自燃煤层采空区抽采瓦斯管入口等）管道上，应安设安全保障系统，确保管道输送安全。</w:t>
            </w:r>
          </w:p>
          <w:p w14:paraId="4DAEEED6">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2．系统设计应遵循“阻火泄爆、抑爆阻爆、多级防护、确保安全”的基本原则，安全保障系统应根据气体输送的不同用途从阻火泄爆、抑爆、阻爆、防逆流、安全监控控制以及防雷等安全设施中选择不同的组合构成方式。</w:t>
            </w:r>
          </w:p>
          <w:p w14:paraId="50EC75B8">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3．瓦斯泵站内进、出气侧的管道上均设置阻火泄爆、抑爆两种防爆装置，以防止井下管路瓦斯爆炸或地面放空管雷击引燃波及范围扩大，本次设计采用自动喷粉抑爆装置和水封阻火泄爆装置以熄灭燃烧火焰和释放爆炸能量，减小灾害波及范围。</w:t>
            </w:r>
          </w:p>
          <w:p w14:paraId="386750B2">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4．正压输送管道系统中应安设防逆流装置，防止抽采泵突然停泵而出现回流；利用瓦斯时，抽采泵出气侧管路必须设置防回火、防回流和防爆炸作用的安全装置。</w:t>
            </w:r>
          </w:p>
          <w:p w14:paraId="08808BD5">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5．加压设备应选择湿式压缩机。</w:t>
            </w:r>
          </w:p>
          <w:p w14:paraId="0057DEC8">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6．抽采设备应选择湿式抽采泵。</w:t>
            </w:r>
          </w:p>
          <w:p w14:paraId="5CBD533C">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7．正压输送时，输送压力不应超过20kPa。</w:t>
            </w:r>
          </w:p>
          <w:p w14:paraId="52742732">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8．脱水器内应无机械运动零部件和电气部件。</w:t>
            </w:r>
          </w:p>
          <w:p w14:paraId="51846C53">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9．在管道输送系统中应设置安全监测控制设施。安全监测控制设施除应符合 MT 209 的有关规定外，还应具有以下功能：① 瓦斯管道输送安全保障设施的状态参数监测与报警的功能；②在发生瓦斯燃烧或爆炸时，应能控制安全保障设备快速启动，将瓦斯燃烧或爆炸控制在一定范围内。</w:t>
            </w:r>
          </w:p>
          <w:p w14:paraId="22E82244">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10．安全设施安设段管道及附件应能承受正压2.5MPa 的压力，其他管道及附件应能承受正压1.0MPa、负压0.097MPa 的压力。安全设施安设段管道应选用金属管道。</w:t>
            </w:r>
          </w:p>
          <w:p w14:paraId="6F0D0B27">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（二）低浓度瓦斯排空安全设施</w:t>
            </w:r>
          </w:p>
          <w:p w14:paraId="799F5227">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根据</w:t>
            </w:r>
            <w:bookmarkStart w:id="39" w:name="OLE_LINK39"/>
            <w:bookmarkStart w:id="40" w:name="OLE_LINK38"/>
            <w:r>
              <w:rPr>
                <w:rFonts w:hint="default" w:ascii="Times New Roman" w:hAnsi="Times New Roman" w:eastAsia="宋体" w:cs="Times New Roman"/>
                <w:b w:val="0"/>
                <w:kern w:val="2"/>
                <w:sz w:val="24"/>
                <w:szCs w:val="24"/>
                <w:lang w:val="en-US" w:eastAsia="zh-CN" w:bidi="ar-SA"/>
              </w:rPr>
              <w:t>《煤层气（煤矿瓦斯）排放标准》</w:t>
            </w:r>
            <w:bookmarkEnd w:id="39"/>
            <w:bookmarkEnd w:id="40"/>
            <w:r>
              <w:rPr>
                <w:rFonts w:hint="default" w:ascii="Times New Roman" w:hAnsi="Times New Roman" w:eastAsia="宋体" w:cs="Times New Roman"/>
                <w:b w:val="0"/>
                <w:kern w:val="2"/>
                <w:sz w:val="24"/>
                <w:szCs w:val="24"/>
                <w:lang w:val="en-US" w:eastAsia="zh-CN" w:bidi="ar-SA"/>
              </w:rPr>
              <w:t>（GB 21522-2024），抽采系统瓦斯中甲烷浓度≥8%（＜30%）且抽采纯量＜10m3/min或甲烷浓度＜8%的低浓度瓦斯可进行排放，低浓度瓦斯排空符合以下要求：</w:t>
            </w:r>
          </w:p>
          <w:p w14:paraId="083BBEC4">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1．抽采低浓度瓦斯的抽采系统，其地面瓦斯排空管路应安设阻火泄爆、抑爆两种阻火防爆装置。阻火泄爆装置设计采用水封式阻火泄爆装置，抑爆装置设计采用自动抑爆装置。</w:t>
            </w:r>
          </w:p>
          <w:p w14:paraId="5C271D5C">
            <w:pPr>
              <w:pStyle w:val="113"/>
              <w:keepNext w:val="0"/>
              <w:keepLines w:val="0"/>
              <w:suppressLineNumbers w:val="0"/>
              <w:spacing w:before="0" w:beforeAutospacing="0" w:after="0" w:afterAutospacing="0"/>
              <w:ind w:left="0" w:right="0"/>
              <w:rPr>
                <w:rFonts w:hint="default" w:ascii="Times New Roman" w:hAnsi="Times New Roman" w:eastAsia="宋体" w:cs="Times New Roman"/>
                <w:b w:val="0"/>
                <w:kern w:val="2"/>
                <w:sz w:val="24"/>
                <w:szCs w:val="24"/>
                <w:lang w:val="en-US" w:eastAsia="zh-CN" w:bidi="ar-SA"/>
              </w:rPr>
            </w:pPr>
            <w:r>
              <w:rPr>
                <w:rFonts w:hint="default" w:ascii="Times New Roman" w:hAnsi="Times New Roman" w:eastAsia="宋体" w:cs="Times New Roman"/>
                <w:b w:val="0"/>
                <w:kern w:val="2"/>
                <w:sz w:val="24"/>
                <w:szCs w:val="24"/>
                <w:lang w:val="en-US" w:eastAsia="zh-CN" w:bidi="ar-SA"/>
              </w:rPr>
              <w:t>2．自动抑爆装置的火焰传感器安装在排空管上，距排空管出气口的距离（沿管道轴向）应小于5m。</w:t>
            </w:r>
          </w:p>
          <w:p w14:paraId="1BEFF2F6">
            <w:pPr>
              <w:pStyle w:val="103"/>
              <w:keepNext w:val="0"/>
              <w:keepLines w:val="0"/>
              <w:suppressLineNumbers w:val="0"/>
              <w:spacing w:before="0" w:beforeAutospacing="0" w:after="0" w:afterAutospacing="0"/>
              <w:ind w:left="0" w:right="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3</w:t>
            </w:r>
            <w:r>
              <w:rPr>
                <w:rFonts w:hint="default" w:ascii="Times New Roman" w:hAnsi="Times New Roman" w:eastAsia="宋体" w:cs="Times New Roman"/>
                <w:sz w:val="24"/>
                <w:szCs w:val="24"/>
              </w:rPr>
              <w:t>．自动喷粉抑爆装置的安设位置距火焰传感器的距离（沿管道轴向）为30～60m。</w:t>
            </w:r>
          </w:p>
          <w:p w14:paraId="44D14C03">
            <w:pPr>
              <w:keepNext w:val="0"/>
              <w:keepLines w:val="0"/>
              <w:suppressLineNumbers w:val="0"/>
              <w:tabs>
                <w:tab w:val="left" w:pos="315"/>
                <w:tab w:val="left" w:pos="420"/>
                <w:tab w:val="left" w:pos="525"/>
              </w:tabs>
              <w:spacing w:before="0" w:beforeAutospacing="0" w:after="0" w:afterAutospacing="0"/>
              <w:ind w:left="18" w:leftChars="-87" w:right="0" w:hanging="201" w:hangingChars="84"/>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drawing>
                <wp:inline distT="0" distB="0" distL="114300" distR="114300">
                  <wp:extent cx="4709795" cy="1127125"/>
                  <wp:effectExtent l="0" t="0" r="14605" b="15875"/>
                  <wp:docPr id="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25"/>
                          <pic:cNvPicPr>
                            <a:picLocks noChangeAspect="1"/>
                          </pic:cNvPicPr>
                        </pic:nvPicPr>
                        <pic:blipFill>
                          <a:blip r:embed="rId13"/>
                          <a:stretch>
                            <a:fillRect/>
                          </a:stretch>
                        </pic:blipFill>
                        <pic:spPr>
                          <a:xfrm>
                            <a:off x="0" y="0"/>
                            <a:ext cx="4709795" cy="1127125"/>
                          </a:xfrm>
                          <a:prstGeom prst="rect">
                            <a:avLst/>
                          </a:prstGeom>
                          <a:noFill/>
                          <a:ln>
                            <a:noFill/>
                          </a:ln>
                        </pic:spPr>
                      </pic:pic>
                    </a:graphicData>
                  </a:graphic>
                </wp:inline>
              </w:drawing>
            </w:r>
          </w:p>
          <w:p w14:paraId="15C19EDE">
            <w:pPr>
              <w:keepNext w:val="0"/>
              <w:keepLines w:val="0"/>
              <w:suppressLineNumbers w:val="0"/>
              <w:tabs>
                <w:tab w:val="left" w:pos="315"/>
                <w:tab w:val="left" w:pos="420"/>
                <w:tab w:val="left" w:pos="525"/>
              </w:tabs>
              <w:spacing w:before="0" w:beforeAutospacing="0" w:after="0" w:afterAutospacing="0" w:line="360" w:lineRule="auto"/>
              <w:ind w:left="-7" w:leftChars="-87" w:right="0" w:hanging="176" w:hangingChars="84"/>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1-火焰传感器；2--水封阻火泄爆装置；3-自动喷粉抑爆装置；4-湿式真空泵；</w:t>
            </w:r>
          </w:p>
          <w:p w14:paraId="507A93F6">
            <w:pPr>
              <w:keepNext w:val="0"/>
              <w:keepLines w:val="0"/>
              <w:suppressLineNumbers w:val="0"/>
              <w:tabs>
                <w:tab w:val="left" w:pos="315"/>
                <w:tab w:val="left" w:pos="420"/>
                <w:tab w:val="left" w:pos="525"/>
              </w:tabs>
              <w:spacing w:before="0" w:beforeAutospacing="0" w:after="0" w:afterAutospacing="0" w:line="360" w:lineRule="auto"/>
              <w:ind w:left="-7" w:leftChars="-87" w:right="0" w:hanging="176" w:hangingChars="84"/>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5-截止阀；6-排空管；7-气流方向。</w:t>
            </w:r>
          </w:p>
          <w:p w14:paraId="5EA5D3BE">
            <w:pPr>
              <w:keepNext w:val="0"/>
              <w:keepLines w:val="0"/>
              <w:numPr>
                <w:ilvl w:val="0"/>
                <w:numId w:val="9"/>
              </w:numPr>
              <w:suppressLineNumbers w:val="0"/>
              <w:spacing w:before="0" w:beforeAutospacing="0" w:after="0" w:afterAutospacing="0" w:line="360" w:lineRule="auto"/>
              <w:ind w:left="0" w:leftChars="0" w:right="0" w:firstLine="560" w:firstLineChars="0"/>
              <w:jc w:val="center"/>
              <w:rPr>
                <w:rFonts w:hint="default" w:ascii="Times New Roman" w:hAnsi="Times New Roman" w:eastAsia="宋体" w:cs="Times New Roman"/>
                <w:sz w:val="24"/>
                <w:szCs w:val="24"/>
              </w:rPr>
            </w:pPr>
            <w:r>
              <w:rPr>
                <w:rFonts w:hint="eastAsia" w:cs="Times New Roman"/>
                <w:sz w:val="24"/>
                <w:szCs w:val="24"/>
                <w:lang w:val="en-US" w:eastAsia="zh-CN"/>
              </w:rPr>
              <w:t xml:space="preserve"> </w:t>
            </w:r>
            <w:r>
              <w:rPr>
                <w:rFonts w:hint="default" w:ascii="Times New Roman" w:hAnsi="Times New Roman" w:eastAsia="宋体" w:cs="Times New Roman"/>
                <w:sz w:val="24"/>
                <w:szCs w:val="24"/>
              </w:rPr>
              <w:t xml:space="preserve">  地面瓦斯排空系统安全设施安装示意图</w:t>
            </w:r>
          </w:p>
          <w:p w14:paraId="07A42F9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sz w:val="24"/>
                <w:szCs w:val="24"/>
                <w:lang w:val="en-US" w:eastAsia="zh-CN"/>
              </w:rPr>
            </w:pPr>
            <w:r>
              <w:rPr>
                <w:rFonts w:hint="eastAsia" w:cs="Times New Roman"/>
                <w:sz w:val="24"/>
                <w:szCs w:val="24"/>
                <w:lang w:val="en-US" w:eastAsia="zh-CN"/>
              </w:rPr>
              <w:t>2、</w:t>
            </w:r>
            <w:r>
              <w:rPr>
                <w:rFonts w:hint="default" w:ascii="Times New Roman" w:hAnsi="Times New Roman" w:eastAsia="宋体" w:cs="Times New Roman"/>
                <w:sz w:val="24"/>
                <w:szCs w:val="24"/>
                <w:lang w:val="en-US" w:eastAsia="zh-CN"/>
              </w:rPr>
              <w:t>瓦斯抽采泵房：</w:t>
            </w:r>
          </w:p>
          <w:p w14:paraId="7401099B">
            <w:pPr>
              <w:pStyle w:val="103"/>
              <w:keepNext w:val="0"/>
              <w:keepLines w:val="0"/>
              <w:pageBreakBefore w:val="0"/>
              <w:widowControl w:val="0"/>
              <w:suppressLineNumbers w:val="0"/>
              <w:kinsoku/>
              <w:wordWrap/>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新建瓦斯抽采泵房紧邻现有瓦斯抽采泵房西侧，平面尺寸约16m×13.5m，混凝土框架结构，主体一层，建筑面积约216m</w:t>
            </w:r>
            <w:r>
              <w:rPr>
                <w:rFonts w:hint="default" w:ascii="Times New Roman" w:hAnsi="Times New Roman" w:eastAsia="宋体" w:cs="Times New Roman"/>
                <w:b w:val="0"/>
                <w:bCs/>
                <w:color w:val="auto"/>
                <w:sz w:val="24"/>
                <w:szCs w:val="24"/>
                <w:highlight w:val="none"/>
                <w:vertAlign w:val="superscript"/>
              </w:rPr>
              <w:t>2</w:t>
            </w:r>
            <w:r>
              <w:rPr>
                <w:rFonts w:hint="default" w:ascii="Times New Roman" w:hAnsi="Times New Roman" w:eastAsia="宋体" w:cs="Times New Roman"/>
                <w:b w:val="0"/>
                <w:bCs/>
                <w:color w:val="auto"/>
                <w:sz w:val="24"/>
                <w:szCs w:val="24"/>
                <w:highlight w:val="none"/>
              </w:rPr>
              <w:t>。基础采用混凝土独立基础，埋深2.5m；屋顶为彩钢岩棉夹芯板双坡屋面，屋脊高约12m；围护墙采用240mm厚煤矸石空心砖填充墙，内外墙面刷乳胶漆；门窗采用钢大门、铝合金窗。</w:t>
            </w:r>
          </w:p>
          <w:p w14:paraId="07F4C2E7">
            <w:pPr>
              <w:pStyle w:val="103"/>
              <w:keepNext w:val="0"/>
              <w:keepLines w:val="0"/>
              <w:pageBreakBefore w:val="0"/>
              <w:widowControl w:val="0"/>
              <w:suppressLineNumbers w:val="0"/>
              <w:kinsoku/>
              <w:wordWrap/>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新建瓦斯抽采泵房室内地面±0.000m标高与现有瓦斯抽采泵房室内地面标高一致，室内外高差约150mm。室内地面做法（自上而下）：200厚C30砼面层，150厚碎石垫层，素土夯实。</w:t>
            </w:r>
          </w:p>
          <w:p w14:paraId="7CB265C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sz w:val="24"/>
                <w:szCs w:val="24"/>
                <w:lang w:val="en-US" w:eastAsia="zh-CN"/>
              </w:rPr>
            </w:pPr>
            <w:bookmarkStart w:id="41" w:name="OLE_LINK10"/>
            <w:bookmarkStart w:id="42" w:name="OLE_LINK11"/>
            <w:r>
              <w:rPr>
                <w:rFonts w:hint="default" w:ascii="Times New Roman" w:hAnsi="Times New Roman" w:eastAsia="宋体" w:cs="Times New Roman"/>
                <w:sz w:val="24"/>
                <w:szCs w:val="24"/>
                <w:lang w:val="en-US" w:eastAsia="zh-CN"/>
              </w:rPr>
              <w:t>瓦斯泵基础</w:t>
            </w:r>
            <w:r>
              <w:rPr>
                <w:rFonts w:hint="eastAsia" w:ascii="Times New Roman" w:hAnsi="Times New Roman" w:eastAsia="宋体" w:cs="Times New Roman"/>
                <w:sz w:val="24"/>
                <w:szCs w:val="24"/>
                <w:lang w:val="en-US" w:eastAsia="zh-CN"/>
              </w:rPr>
              <w:t>：</w:t>
            </w:r>
            <w:bookmarkEnd w:id="41"/>
            <w:bookmarkEnd w:id="42"/>
            <w:r>
              <w:rPr>
                <w:rFonts w:hint="default" w:ascii="Times New Roman" w:hAnsi="Times New Roman" w:eastAsia="宋体" w:cs="Times New Roman"/>
                <w:sz w:val="24"/>
                <w:szCs w:val="24"/>
                <w:lang w:val="en-US" w:eastAsia="zh-CN"/>
              </w:rPr>
              <w:t>新建瓦斯抽采泵房内增设瓦斯泵基础2座。采用C30钢筋混凝土浇筑，构筑物体积总计约50m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w:t>
            </w:r>
          </w:p>
          <w:p w14:paraId="6135AA0E">
            <w:pPr>
              <w:keepNext w:val="0"/>
              <w:keepLines w:val="0"/>
              <w:suppressLineNumbers w:val="0"/>
              <w:tabs>
                <w:tab w:val="left" w:pos="975"/>
              </w:tabs>
              <w:spacing w:before="0" w:beforeAutospacing="0" w:after="0" w:afterAutospacing="0" w:line="360" w:lineRule="auto"/>
              <w:ind w:left="0" w:right="0"/>
              <w:rPr>
                <w:rFonts w:hint="eastAsia" w:eastAsia="宋体" w:cs="Times New Roman"/>
                <w:color w:val="auto"/>
                <w:sz w:val="24"/>
                <w:lang w:eastAsia="zh-CN"/>
              </w:rPr>
            </w:pPr>
            <w:r>
              <w:rPr>
                <w:rFonts w:hint="eastAsia" w:cs="Times New Roman"/>
                <w:b/>
                <w:bCs/>
                <w:strike w:val="0"/>
                <w:color w:val="auto"/>
                <w:sz w:val="24"/>
              </w:rPr>
              <w:t>运营期工艺流程</w:t>
            </w:r>
            <w:r>
              <w:rPr>
                <w:rFonts w:hint="eastAsia" w:cs="Times New Roman"/>
                <w:strike w:val="0"/>
                <w:color w:val="auto"/>
                <w:sz w:val="24"/>
                <w:lang w:eastAsia="zh-CN"/>
              </w:rPr>
              <w:t>：</w:t>
            </w:r>
          </w:p>
          <w:p w14:paraId="4F6F213C">
            <w:pPr>
              <w:keepNext w:val="0"/>
              <w:keepLines w:val="0"/>
              <w:suppressLineNumbers w:val="0"/>
              <w:tabs>
                <w:tab w:val="left" w:pos="975"/>
              </w:tabs>
              <w:spacing w:before="0" w:beforeAutospacing="0" w:after="0" w:afterAutospacing="0" w:line="360" w:lineRule="auto"/>
              <w:ind w:left="0" w:right="0" w:firstLine="480" w:firstLineChars="200"/>
              <w:rPr>
                <w:rFonts w:hint="eastAsia" w:cs="Times New Roman"/>
                <w:color w:val="auto"/>
                <w:sz w:val="24"/>
              </w:rPr>
            </w:pPr>
            <w:r>
              <w:rPr>
                <w:rFonts w:hint="eastAsia" w:cs="Times New Roman"/>
                <w:color w:val="auto"/>
                <w:sz w:val="24"/>
              </w:rPr>
              <w:t>项目生产工艺流程如</w:t>
            </w:r>
            <w:r>
              <w:rPr>
                <w:rFonts w:hint="eastAsia" w:cs="Times New Roman"/>
                <w:color w:val="auto"/>
                <w:sz w:val="24"/>
                <w:lang w:val="en-US" w:eastAsia="zh-CN"/>
              </w:rPr>
              <w:t>下</w:t>
            </w:r>
            <w:r>
              <w:rPr>
                <w:rFonts w:hint="eastAsia" w:cs="Times New Roman"/>
                <w:color w:val="auto"/>
                <w:sz w:val="24"/>
              </w:rPr>
              <w:t>所示。</w:t>
            </w:r>
          </w:p>
          <w:p w14:paraId="2DE9C403">
            <w:pPr>
              <w:pStyle w:val="2"/>
              <w:keepLines w:val="0"/>
              <w:suppressLineNumbers w:val="0"/>
              <w:spacing w:beforeAutospacing="0" w:afterAutospacing="0"/>
              <w:ind w:right="0"/>
              <w:jc w:val="center"/>
              <w:rPr>
                <w:rFonts w:hint="eastAsia" w:cs="Times New Roman"/>
                <w:color w:val="auto"/>
              </w:rPr>
            </w:pPr>
            <w:bookmarkStart w:id="43" w:name="OLE_LINK1"/>
            <w:r>
              <w:rPr>
                <w:rFonts w:hint="eastAsia" w:cs="Times New Roman"/>
                <w:color w:val="auto"/>
              </w:rPr>
              <w:object>
                <v:shape id="_x0000_i1027" o:spt="75" type="#_x0000_t75" style="height:101.25pt;width:330.75pt;" o:ole="t" filled="f" o:preferrelative="t" stroked="f" coordsize="21600,21600">
                  <v:path/>
                  <v:fill on="f" focussize="0,0"/>
                  <v:stroke on="f"/>
                  <v:imagedata r:id="rId15" o:title=""/>
                  <o:lock v:ext="edit" aspectratio="f"/>
                  <w10:wrap type="none"/>
                  <w10:anchorlock/>
                </v:shape>
                <o:OLEObject Type="Embed" ProgID="Visio.Drawing.11" ShapeID="_x0000_i1027" DrawAspect="Content" ObjectID="_1468075727" r:id="rId14">
                  <o:LockedField>false</o:LockedField>
                </o:OLEObject>
              </w:object>
            </w:r>
            <w:bookmarkEnd w:id="43"/>
          </w:p>
          <w:p w14:paraId="7146A11B">
            <w:pPr>
              <w:pStyle w:val="22"/>
              <w:keepNext w:val="0"/>
              <w:keepLines w:val="0"/>
              <w:suppressLineNumbers w:val="0"/>
              <w:spacing w:beforeAutospacing="0" w:afterAutospacing="0"/>
              <w:ind w:left="0" w:right="0"/>
              <w:rPr>
                <w:rFonts w:hint="eastAsia" w:cs="Times New Roman"/>
                <w:color w:val="auto"/>
                <w:szCs w:val="21"/>
              </w:rPr>
            </w:pPr>
            <w:r>
              <w:rPr>
                <w:rFonts w:hint="eastAsia" w:cs="Times New Roman"/>
                <w:color w:val="auto"/>
                <w:sz w:val="24"/>
              </w:rPr>
              <w:t>注：</w:t>
            </w:r>
            <w:r>
              <w:rPr>
                <w:rFonts w:hint="eastAsia" w:cs="Times New Roman"/>
                <w:color w:val="auto"/>
                <w:szCs w:val="21"/>
              </w:rPr>
              <w:t>N：噪声；W：瓦斯</w:t>
            </w:r>
            <w:r>
              <w:rPr>
                <w:rFonts w:hint="eastAsia" w:cs="Times New Roman"/>
                <w:color w:val="auto"/>
                <w:szCs w:val="21"/>
                <w:lang w:eastAsia="zh-CN"/>
              </w:rPr>
              <w:t>抽采排</w:t>
            </w:r>
            <w:r>
              <w:rPr>
                <w:rFonts w:hint="eastAsia" w:cs="Times New Roman"/>
                <w:color w:val="auto"/>
                <w:szCs w:val="21"/>
              </w:rPr>
              <w:t>水。</w:t>
            </w:r>
          </w:p>
          <w:p w14:paraId="1F74D233">
            <w:pPr>
              <w:keepNext w:val="0"/>
              <w:keepLines w:val="0"/>
              <w:numPr>
                <w:ilvl w:val="0"/>
                <w:numId w:val="9"/>
              </w:numPr>
              <w:suppressLineNumbers w:val="0"/>
              <w:spacing w:before="0" w:beforeAutospacing="0" w:after="0" w:afterAutospacing="0" w:line="360" w:lineRule="auto"/>
              <w:ind w:left="0" w:leftChars="0" w:right="0" w:firstLine="560" w:firstLineChars="0"/>
              <w:jc w:val="center"/>
              <w:rPr>
                <w:rFonts w:hint="default" w:cs="Times New Roman"/>
                <w:color w:val="auto"/>
                <w:sz w:val="24"/>
              </w:rPr>
            </w:pPr>
            <w:r>
              <w:rPr>
                <w:rFonts w:hint="eastAsia" w:cs="Times New Roman"/>
                <w:color w:val="auto"/>
                <w:sz w:val="24"/>
                <w:lang w:val="en-US" w:eastAsia="zh-CN"/>
              </w:rPr>
              <w:t xml:space="preserve"> </w:t>
            </w:r>
            <w:r>
              <w:rPr>
                <w:rFonts w:hint="default" w:cs="Times New Roman"/>
                <w:color w:val="auto"/>
                <w:sz w:val="24"/>
              </w:rPr>
              <w:t xml:space="preserve">  </w:t>
            </w:r>
            <w:r>
              <w:rPr>
                <w:rFonts w:hint="eastAsia" w:cs="Times New Roman"/>
                <w:color w:val="auto"/>
                <w:sz w:val="24"/>
              </w:rPr>
              <w:t>本项目工艺流程及产排污环节示意图</w:t>
            </w:r>
          </w:p>
          <w:p w14:paraId="43277D65">
            <w:pPr>
              <w:keepNext w:val="0"/>
              <w:keepLines w:val="0"/>
              <w:suppressLineNumbers w:val="0"/>
              <w:tabs>
                <w:tab w:val="left" w:pos="975"/>
              </w:tabs>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工艺流程</w:t>
            </w:r>
            <w:r>
              <w:rPr>
                <w:rFonts w:hint="eastAsia" w:cs="Times New Roman"/>
                <w:color w:val="auto"/>
                <w:sz w:val="24"/>
              </w:rPr>
              <w:t>简述</w:t>
            </w:r>
            <w:r>
              <w:rPr>
                <w:rFonts w:hint="default" w:cs="Times New Roman"/>
                <w:color w:val="auto"/>
                <w:sz w:val="24"/>
              </w:rPr>
              <w:t>：</w:t>
            </w:r>
          </w:p>
          <w:p w14:paraId="5484F6E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矿井瓦斯抽采系统一般包括瓦斯抽采泵、地面及入井抽采管路、井下抽采干管，井下巷道瓦斯经瓦斯抽采泵通过井下抽采干管、入井抽采管路及地面抽采管路输送至综合利用装置进行综合利用。</w:t>
            </w:r>
          </w:p>
          <w:p w14:paraId="6BAE1D48">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抽采泵的进、出气端的管道上，设置水封阻火泄爆装置，自动喷粉抑爆装置、以防止井下管路瓦斯爆炸或地面放空管雷击燃烧波及范围扩大。抽采泵进、出气端均设置放空管，用来排放井下抽出的瓦斯，放空管与泵站的进、出气端用连通管连通，实现一管两用，排放井下抽采管路自然排出瓦斯和泵站抽出的瓦斯。</w:t>
            </w:r>
          </w:p>
          <w:p w14:paraId="3EAE7DDE">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抽采管路上（进、入口）配置控制阀门、测压嘴、流量计，对抽采瓦斯系统进行计量和测定。瓦斯抽采泵站配备监测系统，设立检测分站，对瓦斯抽采真空泵的供水、抽采泵的轴温进行监控，同时对抽采瓦斯浓度、负压和流量等进行监测。管道间和放空管附近设置避雷装置。</w:t>
            </w:r>
          </w:p>
          <w:p w14:paraId="20A8953B">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井下抽采瓦斯处于高温高压环境，气体携带饱和水蒸气，瓦斯沿管路输送至地面后压力下降、温度降低，水汽析出凝结成液态水，随瓦斯气流进入水封阻火装置经气水分离器分离后会产生少量瓦斯凝结水，瓦斯凝结水中含有少量煤粉即SS，瓦斯凝结水进入循环水系统水池沉淀后循环利用</w:t>
            </w:r>
            <w:r>
              <w:rPr>
                <w:rFonts w:hint="eastAsia" w:ascii="Times New Roman" w:hAnsi="Times New Roman" w:eastAsia="宋体" w:cs="Times New Roman"/>
                <w:color w:val="auto"/>
                <w:sz w:val="24"/>
                <w:lang w:val="en-US" w:eastAsia="zh-CN"/>
              </w:rPr>
              <w:t>。</w:t>
            </w:r>
          </w:p>
          <w:p w14:paraId="45A95111">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color w:val="auto"/>
                <w:sz w:val="24"/>
                <w:lang w:val="en-US" w:eastAsia="zh-CN"/>
              </w:rPr>
              <w:t>本项目循环水系统补水采用自来水作为补水，投加瑞巴斯Ⅱ型多功能阻垢水处理剂，药剂通过络合作用络合水中钙、镁硬度离子，抑制碳酸钙、碳酸镁结晶析出，改变水垢晶体形态，防止真空泵</w:t>
            </w:r>
            <w:r>
              <w:rPr>
                <w:rFonts w:hint="eastAsia" w:ascii="Times New Roman" w:hAnsi="Times New Roman" w:eastAsia="宋体" w:cs="Times New Roman"/>
                <w:color w:val="auto"/>
                <w:sz w:val="24"/>
                <w:highlight w:val="none"/>
                <w:lang w:val="en-US" w:eastAsia="zh-CN"/>
              </w:rPr>
              <w:t>壳体、管道结垢。循环水系统定期排污，控制水体盐类富集，根据建设单位运行经验，约3个月排放1次，每次排放量约200</w:t>
            </w:r>
            <w:r>
              <w:rPr>
                <w:rFonts w:hint="eastAsia" w:ascii="Times New Roman" w:hAnsi="Times New Roman" w:eastAsia="宋体" w:cs="Times New Roman"/>
                <w:b w:val="0"/>
                <w:bCs w:val="0"/>
                <w:color w:val="auto"/>
                <w:kern w:val="2"/>
                <w:sz w:val="21"/>
                <w:szCs w:val="21"/>
                <w:highlight w:val="none"/>
                <w:lang w:val="en-US" w:eastAsia="zh-CN" w:bidi="ar-SA"/>
              </w:rPr>
              <w:t>m</w:t>
            </w:r>
            <w:r>
              <w:rPr>
                <w:rFonts w:hint="eastAsia" w:ascii="Times New Roman" w:hAnsi="Times New Roman" w:eastAsia="宋体" w:cs="Times New Roman"/>
                <w:b w:val="0"/>
                <w:bCs w:val="0"/>
                <w:color w:val="auto"/>
                <w:kern w:val="2"/>
                <w:sz w:val="21"/>
                <w:szCs w:val="21"/>
                <w:highlight w:val="none"/>
                <w:vertAlign w:val="superscript"/>
                <w:lang w:val="en-US" w:eastAsia="zh-CN" w:bidi="ar-SA"/>
              </w:rPr>
              <w:t>3</w:t>
            </w:r>
            <w:r>
              <w:rPr>
                <w:rFonts w:hint="eastAsia" w:ascii="Times New Roman" w:hAnsi="Times New Roman" w:eastAsia="宋体" w:cs="Times New Roman"/>
                <w:b w:val="0"/>
                <w:bCs w:val="0"/>
                <w:color w:val="auto"/>
                <w:kern w:val="2"/>
                <w:sz w:val="21"/>
                <w:szCs w:val="21"/>
                <w:highlight w:val="none"/>
                <w:vertAlign w:val="baseline"/>
                <w:lang w:val="en-US" w:eastAsia="zh-CN" w:bidi="ar-SA"/>
              </w:rPr>
              <w:t>，</w:t>
            </w:r>
            <w:r>
              <w:rPr>
                <w:rFonts w:hint="eastAsia" w:ascii="Times New Roman" w:hAnsi="Times New Roman" w:eastAsia="宋体" w:cs="Times New Roman"/>
                <w:b w:val="0"/>
                <w:bCs w:val="0"/>
                <w:color w:val="auto"/>
                <w:kern w:val="2"/>
                <w:sz w:val="21"/>
                <w:szCs w:val="21"/>
                <w:vertAlign w:val="baseline"/>
                <w:lang w:val="en-US" w:eastAsia="zh-CN" w:bidi="ar-SA"/>
              </w:rPr>
              <w:t>约2.2</w:t>
            </w:r>
            <w:r>
              <w:rPr>
                <w:rFonts w:hint="eastAsia" w:ascii="Times New Roman" w:hAnsi="Times New Roman" w:eastAsia="宋体" w:cs="Times New Roman"/>
                <w:b w:val="0"/>
                <w:bCs w:val="0"/>
                <w:color w:val="auto"/>
                <w:kern w:val="2"/>
                <w:sz w:val="21"/>
                <w:szCs w:val="21"/>
                <w:lang w:val="en-US" w:eastAsia="zh-CN" w:bidi="ar-SA"/>
              </w:rPr>
              <w:t>m</w:t>
            </w:r>
            <w:r>
              <w:rPr>
                <w:rFonts w:hint="eastAsia" w:ascii="Times New Roman" w:hAnsi="Times New Roman" w:eastAsia="宋体" w:cs="Times New Roman"/>
                <w:b w:val="0"/>
                <w:bCs w:val="0"/>
                <w:color w:val="auto"/>
                <w:kern w:val="2"/>
                <w:sz w:val="21"/>
                <w:szCs w:val="21"/>
                <w:vertAlign w:val="superscript"/>
                <w:lang w:val="en-US" w:eastAsia="zh-CN" w:bidi="ar-SA"/>
              </w:rPr>
              <w:t>3</w:t>
            </w:r>
            <w:r>
              <w:rPr>
                <w:rFonts w:hint="eastAsia" w:ascii="Times New Roman" w:hAnsi="Times New Roman" w:eastAsia="宋体" w:cs="Times New Roman"/>
                <w:b w:val="0"/>
                <w:bCs w:val="0"/>
                <w:color w:val="auto"/>
                <w:kern w:val="2"/>
                <w:sz w:val="21"/>
                <w:szCs w:val="21"/>
                <w:lang w:val="en-US" w:eastAsia="zh-CN" w:bidi="ar-SA"/>
              </w:rPr>
              <w:t>/d。</w:t>
            </w:r>
          </w:p>
          <w:p w14:paraId="010DD1FC">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sz w:val="24"/>
                <w:lang w:eastAsia="zh-CN"/>
              </w:rPr>
            </w:pPr>
            <w:r>
              <w:rPr>
                <w:rFonts w:hint="eastAsia" w:cs="Times New Roman"/>
                <w:color w:val="auto"/>
                <w:sz w:val="24"/>
                <w:lang w:eastAsia="zh-CN"/>
              </w:rPr>
              <w:t>产排污环节：</w:t>
            </w:r>
          </w:p>
          <w:p w14:paraId="48EA216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lang w:val="en-US" w:eastAsia="zh-CN"/>
              </w:rPr>
              <w:t>废气：项目抽采的瓦斯直接输送至综合利用装置进行综合利用，运营期无工艺废气产生排放。</w:t>
            </w:r>
          </w:p>
          <w:p w14:paraId="6D7FC9A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废水：项目不新增员工，运营期无生活污水产生</w:t>
            </w:r>
            <w:r>
              <w:rPr>
                <w:rFonts w:hint="eastAsia" w:hAnsi="宋体" w:cs="Times New Roman"/>
                <w:color w:val="auto"/>
                <w:sz w:val="24"/>
              </w:rPr>
              <w:t>。</w:t>
            </w:r>
            <w:r>
              <w:rPr>
                <w:rFonts w:hint="eastAsia" w:cs="Times New Roman"/>
                <w:color w:val="auto"/>
                <w:sz w:val="24"/>
                <w:lang w:val="en-US" w:eastAsia="zh-CN"/>
              </w:rPr>
              <w:t>瓦斯抽采过程中会产生少量瓦斯凝结水，</w:t>
            </w:r>
            <w:r>
              <w:rPr>
                <w:rFonts w:hint="eastAsia" w:ascii="Times New Roman" w:hAnsi="Times New Roman" w:eastAsia="宋体" w:cs="Times New Roman"/>
                <w:color w:val="auto"/>
                <w:kern w:val="2"/>
                <w:sz w:val="24"/>
                <w:szCs w:val="24"/>
                <w:lang w:val="en-US" w:eastAsia="zh-CN" w:bidi="ar-SA"/>
              </w:rPr>
              <w:t>瓦斯凝结水中含有少量煤粉即SS，瓦斯凝结水进入循环水系统水池沉淀后循环利用</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highlight w:val="none"/>
                <w:lang w:val="en-US" w:eastAsia="zh-CN"/>
              </w:rPr>
              <w:t>循环水系统定期排污，约3个月排放1次，每次排放量约200m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，约2.2m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/d，循环水系统定期排污水经现有污水管网排入工业场地内的矿井水处理站处理后通过顾北煤矿总排口外排至永幸河。</w:t>
            </w:r>
          </w:p>
          <w:p w14:paraId="2386479C">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噪声：抽采泵站内设备运行噪声。 </w:t>
            </w:r>
          </w:p>
          <w:p w14:paraId="2CD0BEBD">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固废：设备运行产生的废润滑油、废润滑油桶及废离子交换树脂。</w:t>
            </w:r>
          </w:p>
          <w:p w14:paraId="0EFA12E1">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3、施工时序及建设周期</w:t>
            </w:r>
          </w:p>
          <w:p w14:paraId="174D2D6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eastAsia="宋体" w:cs="Times New Roman"/>
                <w:color w:val="auto"/>
                <w:lang w:eastAsia="zh-CN"/>
              </w:rPr>
            </w:pPr>
            <w:r>
              <w:rPr>
                <w:rFonts w:hint="default" w:cs="Times New Roman"/>
                <w:color w:val="auto"/>
                <w:sz w:val="24"/>
                <w:szCs w:val="24"/>
              </w:rPr>
              <w:t>本项目建设</w:t>
            </w:r>
            <w:r>
              <w:rPr>
                <w:rFonts w:hint="eastAsia" w:cs="Times New Roman"/>
                <w:color w:val="auto"/>
                <w:sz w:val="24"/>
                <w:szCs w:val="24"/>
                <w:lang w:eastAsia="zh-CN"/>
              </w:rPr>
              <w:t>工期</w:t>
            </w:r>
            <w:r>
              <w:rPr>
                <w:rFonts w:hint="default" w:ascii="Times New Roman" w:hAnsi="Times New Roman" w:eastAsia="宋体" w:cs="Times New Roman"/>
                <w:color w:val="auto"/>
                <w:sz w:val="24"/>
                <w:lang w:val="en-US" w:eastAsia="zh-CN"/>
              </w:rPr>
              <w:t>预计5个月，瓦斯抽采泵房和地面管路施工约1个月，供配电系统、冷却水系统、监控、防雷等改造施工约2个月，设备采购及安装约2个月。项目预计2026年9月开工建设，2027年2月投产运营。</w:t>
            </w:r>
            <w:bookmarkEnd w:id="36"/>
            <w:r>
              <w:rPr>
                <w:rFonts w:hint="default" w:ascii="Times New Roman" w:hAnsi="Times New Roman" w:eastAsia="宋体" w:cs="Times New Roman"/>
                <w:color w:val="auto"/>
                <w:sz w:val="24"/>
                <w:lang w:val="en-US" w:eastAsia="zh-CN"/>
              </w:rPr>
              <w:t>本项目优先施工瓦斯抽采泵房和地面管路，随后改造工程施工，最后进行设备安装</w:t>
            </w:r>
            <w:r>
              <w:rPr>
                <w:rFonts w:hint="eastAsia" w:cs="Times New Roman"/>
                <w:color w:val="auto"/>
                <w:sz w:val="24"/>
                <w:szCs w:val="24"/>
                <w:lang w:eastAsia="zh-CN"/>
              </w:rPr>
              <w:t>。</w:t>
            </w:r>
          </w:p>
        </w:tc>
        <w:tc>
          <w:tcPr>
            <w:tcW w:w="2435" w:type="pct"/>
            <w:noWrap w:val="0"/>
            <w:vAlign w:val="center"/>
          </w:tcPr>
          <w:p w14:paraId="3472EB6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cs="Times New Roman"/>
                <w:color w:val="auto"/>
                <w:sz w:val="24"/>
                <w:szCs w:val="24"/>
              </w:rPr>
            </w:pPr>
          </w:p>
        </w:tc>
      </w:tr>
      <w:tr w14:paraId="0E1C03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30" w:type="pct"/>
            <w:noWrap w:val="0"/>
            <w:vAlign w:val="center"/>
          </w:tcPr>
          <w:p w14:paraId="01D74F51">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color w:val="auto"/>
                <w:kern w:val="0"/>
                <w:szCs w:val="21"/>
              </w:rPr>
              <w:t>其他</w:t>
            </w:r>
          </w:p>
        </w:tc>
        <w:tc>
          <w:tcPr>
            <w:tcW w:w="2434" w:type="pct"/>
            <w:noWrap w:val="0"/>
            <w:vAlign w:val="top"/>
          </w:tcPr>
          <w:p w14:paraId="12C48F05">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无</w:t>
            </w:r>
          </w:p>
          <w:p w14:paraId="3EA5B995">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2659628E">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3DDE29F0">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46589F07">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0C400B39">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101C5CE7">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1034A7B5">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4711931B">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414EBDDE">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74501787">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2BDDF7CE">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7BEDF55C">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66157340">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0CB7F81C">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67015BB3">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p w14:paraId="6E79F2D9">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tc>
        <w:tc>
          <w:tcPr>
            <w:tcW w:w="2435" w:type="pct"/>
            <w:noWrap w:val="0"/>
            <w:vAlign w:val="top"/>
          </w:tcPr>
          <w:p w14:paraId="45C1B7F9">
            <w:pPr>
              <w:keepNext w:val="0"/>
              <w:keepLines w:val="0"/>
              <w:suppressLineNumbers w:val="0"/>
              <w:adjustRightInd w:val="0"/>
              <w:snapToGrid w:val="0"/>
              <w:spacing w:before="0" w:beforeAutospacing="0" w:after="0" w:afterAutospacing="0"/>
              <w:ind w:left="0" w:right="0"/>
              <w:rPr>
                <w:rFonts w:hint="eastAsia" w:ascii="宋体" w:hAnsi="宋体" w:eastAsia="宋体" w:cs="Times New Roman"/>
                <w:color w:val="auto"/>
                <w:sz w:val="24"/>
                <w:szCs w:val="24"/>
                <w:lang w:val="en-US" w:eastAsia="zh-CN"/>
              </w:rPr>
            </w:pPr>
          </w:p>
        </w:tc>
      </w:tr>
    </w:tbl>
    <w:p w14:paraId="2134C363">
      <w:pPr>
        <w:pStyle w:val="24"/>
        <w:jc w:val="center"/>
        <w:outlineLvl w:val="0"/>
        <w:rPr>
          <w:rFonts w:ascii="黑体" w:hAnsi="黑体" w:eastAsia="黑体"/>
          <w:snapToGrid w:val="0"/>
          <w:color w:val="auto"/>
          <w:sz w:val="30"/>
          <w:szCs w:val="30"/>
        </w:rPr>
      </w:pPr>
      <w:r>
        <w:rPr>
          <w:rFonts w:eastAsia="仿宋_GB2312"/>
          <w:b/>
          <w:bCs/>
          <w:color w:val="auto"/>
        </w:rPr>
        <w:br w:type="page"/>
      </w:r>
      <w:r>
        <w:rPr>
          <w:rFonts w:hint="eastAsia" w:ascii="黑体" w:hAnsi="黑体" w:eastAsia="黑体"/>
          <w:snapToGrid w:val="0"/>
          <w:color w:val="auto"/>
          <w:sz w:val="30"/>
          <w:szCs w:val="30"/>
        </w:rPr>
        <w:t>三、生态环境现状、保护目标及评价标准</w:t>
      </w:r>
    </w:p>
    <w:tbl>
      <w:tblPr>
        <w:tblStyle w:val="28"/>
        <w:tblW w:w="466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5"/>
        <w:gridCol w:w="7498"/>
      </w:tblGrid>
      <w:tr w14:paraId="66103F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286" w:type="pct"/>
            <w:noWrap w:val="0"/>
            <w:vAlign w:val="center"/>
          </w:tcPr>
          <w:p w14:paraId="46FA3F8B">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生态环境现状</w:t>
            </w:r>
          </w:p>
        </w:tc>
        <w:tc>
          <w:tcPr>
            <w:tcW w:w="4713" w:type="pct"/>
            <w:noWrap w:val="0"/>
            <w:vAlign w:val="center"/>
          </w:tcPr>
          <w:p w14:paraId="6A568340">
            <w:pPr>
              <w:keepNext/>
              <w:keepLines/>
              <w:suppressLineNumbers w:val="0"/>
              <w:spacing w:before="0" w:beforeAutospacing="0" w:after="0" w:afterAutospacing="0" w:line="360" w:lineRule="auto"/>
              <w:ind w:left="0" w:right="0" w:firstLine="482" w:firstLineChars="200"/>
              <w:outlineLvl w:val="2"/>
              <w:rPr>
                <w:rFonts w:hint="eastAsia" w:ascii="Times New Roman" w:hAnsi="Times New Roman" w:cs="Times New Roman"/>
                <w:b/>
                <w:bCs/>
                <w:color w:val="auto"/>
                <w:sz w:val="24"/>
                <w:lang w:val="en-US" w:eastAsia="zh-CN"/>
              </w:rPr>
            </w:pPr>
            <w:bookmarkStart w:id="44" w:name="_Toc5258"/>
            <w:r>
              <w:rPr>
                <w:rFonts w:hint="eastAsia" w:ascii="Times New Roman" w:hAnsi="Times New Roman" w:cs="Times New Roman"/>
                <w:b/>
                <w:bCs/>
                <w:color w:val="auto"/>
                <w:sz w:val="24"/>
                <w:lang w:val="en-US" w:eastAsia="zh-CN"/>
              </w:rPr>
              <w:t>1、生态环境</w:t>
            </w:r>
          </w:p>
          <w:p w14:paraId="4F0999AF">
            <w:pPr>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顾北煤矿地面瓦斯抽采泵站扩建工程项目位于</w:t>
            </w:r>
            <w:r>
              <w:rPr>
                <w:rFonts w:hint="eastAsia" w:ascii="Times New Roman" w:hAnsi="Times New Roman" w:eastAsia="宋体" w:cs="Times New Roman"/>
                <w:color w:val="auto"/>
                <w:kern w:val="2"/>
                <w:sz w:val="24"/>
                <w:szCs w:val="24"/>
                <w:highlight w:val="none"/>
                <w:lang w:val="en-US" w:eastAsia="zh-CN" w:bidi="ar-SA"/>
              </w:rPr>
              <w:t>安徽省淮南市凤台县顾桥镇顾北煤矿内，项目用地</w:t>
            </w:r>
            <w:r>
              <w:rPr>
                <w:rFonts w:hint="eastAsia" w:cs="Times New Roman"/>
                <w:color w:val="auto"/>
                <w:sz w:val="24"/>
                <w:vertAlign w:val="baseline"/>
                <w:lang w:val="en-US" w:eastAsia="zh-CN"/>
              </w:rPr>
              <w:t>现状为闲置空地。</w:t>
            </w:r>
          </w:p>
          <w:p w14:paraId="520473DA">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1）、主体功能区规划</w:t>
            </w:r>
          </w:p>
          <w:p w14:paraId="08172496">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根据《安徽省国土空间规划（2021—2035年）》，项目所在区域属于国家农产品主产区，所在区域不涉及自然保护区、自然文化遗产、重点文物保护单位、风景名胜区、重要湿地、湿地公园、森林公园、蓄滞（行）洪区、水产种质资源保护区等禁止开发的区域。</w:t>
            </w:r>
          </w:p>
          <w:p w14:paraId="6BD6FAC4">
            <w:pPr>
              <w:pStyle w:val="2"/>
              <w:keepLines w:val="0"/>
              <w:suppressLineNumbers w:val="0"/>
              <w:spacing w:beforeAutospacing="0" w:afterAutospacing="0"/>
              <w:ind w:right="0"/>
              <w:jc w:val="center"/>
              <w:rPr>
                <w:rFonts w:hint="eastAsia" w:eastAsia="宋体" w:cs="Times New Roman"/>
                <w:color w:val="auto"/>
                <w:lang w:val="en-US" w:eastAsia="zh-CN"/>
              </w:rPr>
            </w:pPr>
            <w:r>
              <w:rPr>
                <w:rFonts w:hint="default" w:cs="Times New Roman"/>
                <w:color w:val="auto"/>
              </w:rPr>
              <w:drawing>
                <wp:inline distT="0" distB="0" distL="114300" distR="114300">
                  <wp:extent cx="3046730" cy="4552315"/>
                  <wp:effectExtent l="0" t="0" r="1270" b="635"/>
                  <wp:docPr id="6"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30"/>
                          <pic:cNvPicPr>
                            <a:picLocks noChangeAspect="1"/>
                          </pic:cNvPicPr>
                        </pic:nvPicPr>
                        <pic:blipFill>
                          <a:blip r:embed="rId16"/>
                          <a:stretch>
                            <a:fillRect/>
                          </a:stretch>
                        </pic:blipFill>
                        <pic:spPr>
                          <a:xfrm>
                            <a:off x="0" y="0"/>
                            <a:ext cx="3046730" cy="4552315"/>
                          </a:xfrm>
                          <a:prstGeom prst="rect">
                            <a:avLst/>
                          </a:prstGeom>
                          <a:noFill/>
                          <a:ln>
                            <a:noFill/>
                          </a:ln>
                        </pic:spPr>
                      </pic:pic>
                    </a:graphicData>
                  </a:graphic>
                </wp:inline>
              </w:drawing>
            </w:r>
          </w:p>
          <w:p w14:paraId="229FEDD0">
            <w:pPr>
              <w:keepNext w:val="0"/>
              <w:keepLines w:val="0"/>
              <w:numPr>
                <w:ilvl w:val="0"/>
                <w:numId w:val="9"/>
              </w:numPr>
              <w:suppressLineNumbers w:val="0"/>
              <w:spacing w:before="0" w:beforeAutospacing="0" w:after="0" w:afterAutospacing="0" w:line="360" w:lineRule="auto"/>
              <w:ind w:left="0" w:leftChars="0" w:right="0" w:firstLine="560" w:firstLineChars="0"/>
              <w:jc w:val="center"/>
              <w:rPr>
                <w:rFonts w:hint="default" w:ascii="Times New Roman" w:hAnsi="Times New Roman" w:eastAsia="黑体" w:cs="Times New Roman"/>
                <w:color w:val="auto"/>
                <w:szCs w:val="24"/>
                <w:highlight w:val="none"/>
              </w:rPr>
            </w:pPr>
            <w:r>
              <w:rPr>
                <w:rFonts w:hint="default" w:ascii="Times New Roman" w:hAnsi="Times New Roman" w:eastAsia="宋体" w:cs="Times New Roman"/>
                <w:color w:val="auto"/>
                <w:lang w:val="en-US" w:eastAsia="zh-CN"/>
              </w:rPr>
              <w:t xml:space="preserve"> </w:t>
            </w:r>
            <w:r>
              <w:rPr>
                <w:rFonts w:hint="eastAsia" w:ascii="宋体" w:hAnsi="宋体" w:eastAsia="宋体" w:cs="宋体"/>
                <w:color w:val="auto"/>
                <w:sz w:val="24"/>
                <w:szCs w:val="24"/>
                <w:lang w:val="en-US" w:eastAsia="zh-CN"/>
              </w:rPr>
              <w:t>淮南市国土空间规划</w:t>
            </w:r>
            <w:r>
              <w:rPr>
                <w:rFonts w:hint="eastAsia" w:ascii="宋体" w:hAnsi="宋体" w:eastAsia="宋体" w:cs="宋体"/>
                <w:color w:val="auto"/>
                <w:sz w:val="24"/>
                <w:szCs w:val="24"/>
                <w:highlight w:val="none"/>
              </w:rPr>
              <w:t>图</w:t>
            </w:r>
          </w:p>
          <w:p w14:paraId="35495212">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2）、生态功能区划</w:t>
            </w:r>
          </w:p>
          <w:p w14:paraId="11CE44A8">
            <w:pPr>
              <w:keepNext w:val="0"/>
              <w:keepLines w:val="0"/>
              <w:suppressLineNumbers w:val="0"/>
              <w:tabs>
                <w:tab w:val="left" w:pos="0"/>
              </w:tabs>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根据《安徽省生态功能区划》，本项目所在的淮南市</w:t>
            </w:r>
            <w:r>
              <w:rPr>
                <w:rFonts w:hint="eastAsia" w:ascii="Times New Roman" w:hAnsi="Times New Roman" w:eastAsia="宋体" w:cs="Times New Roman"/>
                <w:bCs/>
                <w:color w:val="auto"/>
                <w:sz w:val="24"/>
                <w:szCs w:val="24"/>
                <w:highlight w:val="none"/>
                <w:lang w:eastAsia="zh-CN"/>
              </w:rPr>
              <w:t>凤台县</w:t>
            </w:r>
            <w:r>
              <w:rPr>
                <w:rFonts w:hint="default" w:ascii="Times New Roman" w:hAnsi="Times New Roman" w:eastAsia="宋体" w:cs="Times New Roman"/>
                <w:bCs/>
                <w:color w:val="auto"/>
                <w:sz w:val="24"/>
                <w:szCs w:val="24"/>
                <w:highlight w:val="none"/>
              </w:rPr>
              <w:t>属沿淮淮北平原生态区，本项目所在区域为</w:t>
            </w:r>
            <w:r>
              <w:rPr>
                <w:rFonts w:hint="eastAsia" w:ascii="宋体" w:hAnsi="宋体" w:eastAsia="宋体" w:cs="宋体"/>
                <w:bCs/>
                <w:color w:val="auto"/>
                <w:sz w:val="24"/>
                <w:szCs w:val="24"/>
                <w:highlight w:val="none"/>
              </w:rPr>
              <w:t>Ⅰ</w:t>
            </w:r>
            <w:r>
              <w:rPr>
                <w:rFonts w:hint="default" w:ascii="Times New Roman" w:hAnsi="Times New Roman" w:eastAsia="宋体" w:cs="Times New Roman"/>
                <w:bCs/>
                <w:color w:val="auto"/>
                <w:sz w:val="24"/>
                <w:szCs w:val="24"/>
                <w:highlight w:val="none"/>
              </w:rPr>
              <w:t>3淮河中下游湿地与农业生态亚区下的</w:t>
            </w:r>
            <w:r>
              <w:rPr>
                <w:rFonts w:hint="eastAsia" w:ascii="宋体" w:hAnsi="宋体" w:eastAsia="宋体" w:cs="宋体"/>
                <w:bCs/>
                <w:color w:val="auto"/>
                <w:sz w:val="24"/>
                <w:szCs w:val="24"/>
                <w:highlight w:val="none"/>
              </w:rPr>
              <w:t>Ⅰ</w:t>
            </w:r>
            <w:r>
              <w:rPr>
                <w:rFonts w:hint="default" w:ascii="Times New Roman" w:hAnsi="Times New Roman" w:eastAsia="宋体" w:cs="Times New Roman"/>
                <w:bCs/>
                <w:color w:val="auto"/>
                <w:sz w:val="24"/>
                <w:szCs w:val="24"/>
                <w:highlight w:val="none"/>
              </w:rPr>
              <w:t>3-3淮南农业与城镇生态功能区。</w:t>
            </w:r>
          </w:p>
          <w:p w14:paraId="6FF4F18D">
            <w:pPr>
              <w:keepNext w:val="0"/>
              <w:keepLines w:val="0"/>
              <w:suppressLineNumbers w:val="0"/>
              <w:tabs>
                <w:tab w:val="left" w:pos="0"/>
              </w:tabs>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本功能区位于淮河中游，包括淮南市全部，北岸的凤台县中南部及颍上县东南部，南岸的长丰东北角、定远县西北角以及</w:t>
            </w:r>
            <w:r>
              <w:rPr>
                <w:rFonts w:hint="eastAsia" w:ascii="Times New Roman" w:hAnsi="Times New Roman" w:eastAsia="宋体" w:cs="Times New Roman"/>
                <w:bCs/>
                <w:color w:val="auto"/>
                <w:sz w:val="24"/>
                <w:szCs w:val="24"/>
                <w:highlight w:val="none"/>
                <w:lang w:eastAsia="zh-CN"/>
              </w:rPr>
              <w:t>凤阳县</w:t>
            </w:r>
            <w:r>
              <w:rPr>
                <w:rFonts w:hint="default" w:ascii="Times New Roman" w:hAnsi="Times New Roman" w:eastAsia="宋体" w:cs="Times New Roman"/>
                <w:bCs/>
                <w:color w:val="auto"/>
                <w:sz w:val="24"/>
                <w:szCs w:val="24"/>
                <w:highlight w:val="none"/>
              </w:rPr>
              <w:t>西部和怀远县西南角的少数乡镇，面积2098.0km</w:t>
            </w:r>
            <w:r>
              <w:rPr>
                <w:rFonts w:hint="default" w:ascii="Times New Roman" w:hAnsi="Times New Roman" w:eastAsia="宋体" w:cs="Times New Roman"/>
                <w:bCs/>
                <w:color w:val="auto"/>
                <w:sz w:val="24"/>
                <w:szCs w:val="24"/>
                <w:highlight w:val="none"/>
                <w:vertAlign w:val="superscript"/>
              </w:rPr>
              <w:t>2</w:t>
            </w:r>
            <w:r>
              <w:rPr>
                <w:rFonts w:hint="default" w:ascii="Times New Roman" w:hAnsi="Times New Roman" w:eastAsia="宋体" w:cs="Times New Roman"/>
                <w:bCs/>
                <w:color w:val="auto"/>
                <w:sz w:val="24"/>
                <w:szCs w:val="24"/>
                <w:highlight w:val="none"/>
              </w:rPr>
              <w:t>。本区气候属亚热带湿润气候与暖温带半湿润气候过渡地带，日照充足，雨量适中，四季分明，年均无霜期220天，年均温度15.3</w:t>
            </w:r>
            <w:r>
              <w:rPr>
                <w:rFonts w:hint="eastAsia" w:ascii="宋体" w:hAnsi="宋体" w:eastAsia="宋体" w:cs="宋体"/>
                <w:bCs/>
                <w:color w:val="auto"/>
                <w:sz w:val="24"/>
                <w:szCs w:val="24"/>
                <w:highlight w:val="none"/>
              </w:rPr>
              <w:t>℃</w:t>
            </w:r>
            <w:r>
              <w:rPr>
                <w:rFonts w:hint="default" w:ascii="Times New Roman" w:hAnsi="Times New Roman" w:eastAsia="宋体" w:cs="Times New Roman"/>
                <w:bCs/>
                <w:color w:val="auto"/>
                <w:sz w:val="24"/>
                <w:szCs w:val="24"/>
                <w:highlight w:val="none"/>
              </w:rPr>
              <w:t>，年平均降水量965mm，年蒸发量1600mm。本区</w:t>
            </w:r>
            <w:r>
              <w:rPr>
                <w:rFonts w:hint="eastAsia" w:ascii="Times New Roman" w:hAnsi="Times New Roman" w:eastAsia="宋体" w:cs="Times New Roman"/>
                <w:bCs/>
                <w:color w:val="auto"/>
                <w:sz w:val="24"/>
                <w:szCs w:val="24"/>
                <w:highlight w:val="none"/>
                <w:lang w:eastAsia="zh-CN"/>
              </w:rPr>
              <w:t>地貌</w:t>
            </w:r>
            <w:r>
              <w:rPr>
                <w:rFonts w:hint="default" w:ascii="Times New Roman" w:hAnsi="Times New Roman" w:eastAsia="宋体" w:cs="Times New Roman"/>
                <w:bCs/>
                <w:color w:val="auto"/>
                <w:sz w:val="24"/>
                <w:szCs w:val="24"/>
                <w:highlight w:val="none"/>
              </w:rPr>
              <w:t>以平原为主，丘岗嵌于其中，海拔最高处为241m。本区内工矿与城镇密集，主要为安徽省重要工业城市淮南市，本区煤炭远景储量444×10</w:t>
            </w:r>
            <w:r>
              <w:rPr>
                <w:rFonts w:hint="default" w:ascii="Times New Roman" w:hAnsi="Times New Roman" w:eastAsia="宋体" w:cs="Times New Roman"/>
                <w:bCs/>
                <w:color w:val="auto"/>
                <w:sz w:val="24"/>
                <w:szCs w:val="24"/>
                <w:highlight w:val="none"/>
                <w:vertAlign w:val="superscript"/>
              </w:rPr>
              <w:t>8</w:t>
            </w:r>
            <w:r>
              <w:rPr>
                <w:rFonts w:hint="default" w:ascii="Times New Roman" w:hAnsi="Times New Roman" w:eastAsia="宋体" w:cs="Times New Roman"/>
                <w:bCs/>
                <w:color w:val="auto"/>
                <w:sz w:val="24"/>
                <w:szCs w:val="24"/>
                <w:highlight w:val="none"/>
              </w:rPr>
              <w:t>t，探明储量145×10</w:t>
            </w:r>
            <w:r>
              <w:rPr>
                <w:rFonts w:hint="default" w:ascii="Times New Roman" w:hAnsi="Times New Roman" w:eastAsia="宋体" w:cs="Times New Roman"/>
                <w:bCs/>
                <w:color w:val="auto"/>
                <w:sz w:val="24"/>
                <w:szCs w:val="24"/>
                <w:highlight w:val="none"/>
                <w:vertAlign w:val="superscript"/>
              </w:rPr>
              <w:t>8</w:t>
            </w:r>
            <w:r>
              <w:rPr>
                <w:rFonts w:hint="default" w:ascii="Times New Roman" w:hAnsi="Times New Roman" w:eastAsia="宋体" w:cs="Times New Roman"/>
                <w:bCs/>
                <w:color w:val="auto"/>
                <w:sz w:val="24"/>
                <w:szCs w:val="24"/>
                <w:highlight w:val="none"/>
              </w:rPr>
              <w:t>t，是全国十大煤田之一，占安徽省储量的63%，煤质好，煤种多。</w:t>
            </w:r>
          </w:p>
          <w:p w14:paraId="3FDF466A">
            <w:pPr>
              <w:keepNext w:val="0"/>
              <w:keepLines w:val="0"/>
              <w:suppressLineNumbers w:val="0"/>
              <w:tabs>
                <w:tab w:val="left" w:pos="0"/>
              </w:tabs>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生态功能区内潴育水稻土、黄潮土和黄褐土广泛分布，在丘岗区有石灰岩土分布，部分地区裸岩出露，石材开采盛行。耕作制度多为一年两熟为主，主要农作物有水稻、小麦等，经济作物有油菜、花生等。丘岗地区分布有地带性天然次生林，主要包括暖温带落叶阔叶林、暖温带针叶林和北亚热带针叶林等。</w:t>
            </w:r>
          </w:p>
          <w:p w14:paraId="5A27502F">
            <w:pPr>
              <w:keepNext w:val="0"/>
              <w:keepLines w:val="0"/>
              <w:suppressLineNumbers w:val="0"/>
              <w:tabs>
                <w:tab w:val="left" w:pos="0"/>
              </w:tabs>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该生态功能区的煤炭资源已进行了大规模开采，采空后塌陷区已成为</w:t>
            </w:r>
            <w:r>
              <w:rPr>
                <w:rFonts w:hint="eastAsia" w:ascii="Times New Roman" w:hAnsi="Times New Roman" w:eastAsia="宋体" w:cs="Times New Roman"/>
                <w:bCs/>
                <w:color w:val="auto"/>
                <w:sz w:val="24"/>
                <w:szCs w:val="24"/>
                <w:highlight w:val="none"/>
                <w:lang w:val="en-US" w:eastAsia="zh-CN"/>
              </w:rPr>
              <w:t>区域</w:t>
            </w:r>
            <w:r>
              <w:rPr>
                <w:rFonts w:hint="default" w:ascii="Times New Roman" w:hAnsi="Times New Roman" w:eastAsia="宋体" w:cs="Times New Roman"/>
                <w:bCs/>
                <w:color w:val="auto"/>
                <w:sz w:val="24"/>
                <w:szCs w:val="24"/>
                <w:highlight w:val="none"/>
              </w:rPr>
              <w:t>主要生态环境问题之一。由于农业生产所需要的水热土等条件相对较好，本区也是重要的农业生产区，但容易受洪涝等灾害干扰。本区东南部的高塘湖以及沿淮分布的焦岗湖、蓝峰湖、上下六坊堤、石姚段、汤渔湖和洛河洼均是淮河流域重要的洪水调蓄功能区。在发展农业、采矿业和城镇建设过程中，进行矿区生态保护与恢复，加强采石管理与城镇污染治理，协调洪水调蓄与农业生产关系是该区生态建设的重要内容。</w:t>
            </w:r>
          </w:p>
          <w:p w14:paraId="277EBACB">
            <w:pPr>
              <w:pStyle w:val="71"/>
              <w:keepNext w:val="0"/>
              <w:keepLines w:val="0"/>
              <w:pageBreakBefore w:val="0"/>
              <w:widowControl w:val="0"/>
              <w:numPr>
                <w:ilvl w:val="1"/>
                <w:numId w:val="4"/>
              </w:numPr>
              <w:suppressLineNumbers w:val="0"/>
              <w:tabs>
                <w:tab w:val="left" w:pos="840"/>
                <w:tab w:val="clear" w:pos="1440"/>
              </w:tabs>
              <w:kinsoku/>
              <w:wordWrap/>
              <w:overflowPunct/>
              <w:topLinePunct w:val="0"/>
              <w:autoSpaceDE/>
              <w:autoSpaceDN/>
              <w:bidi w:val="0"/>
              <w:adjustRightInd w:val="0"/>
              <w:snapToGrid w:val="0"/>
              <w:spacing w:before="0" w:beforeAutospacing="0" w:afterAutospacing="0" w:line="240" w:lineRule="auto"/>
              <w:ind w:left="2239" w:leftChars="0" w:right="0" w:hanging="2239" w:firstLineChars="0"/>
              <w:jc w:val="center"/>
              <w:textAlignment w:val="auto"/>
              <w:rPr>
                <w:rFonts w:hint="default" w:ascii="Times New Roman" w:hAnsi="Times New Roman" w:eastAsia="黑体" w:cs="Times New Roman"/>
                <w:color w:val="auto"/>
                <w:szCs w:val="24"/>
                <w:highlight w:val="none"/>
              </w:rPr>
            </w:pPr>
            <w:r>
              <w:rPr>
                <w:rFonts w:hint="eastAsia" w:ascii="宋体" w:hAnsi="宋体" w:eastAsia="宋体" w:cs="宋体"/>
                <w:color w:val="auto"/>
                <w:szCs w:val="24"/>
                <w:highlight w:val="none"/>
              </w:rPr>
              <w:t>项目生态功能区划一览表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867"/>
              <w:gridCol w:w="859"/>
              <w:gridCol w:w="1160"/>
              <w:gridCol w:w="926"/>
              <w:gridCol w:w="1377"/>
              <w:gridCol w:w="1225"/>
            </w:tblGrid>
            <w:tr w14:paraId="359C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pct"/>
                  <w:noWrap w:val="0"/>
                  <w:vAlign w:val="center"/>
                </w:tcPr>
                <w:p w14:paraId="76A9BA87">
                  <w:pPr>
                    <w:keepNext w:val="0"/>
                    <w:keepLines w:val="0"/>
                    <w:suppressLineNumbers w:val="0"/>
                    <w:tabs>
                      <w:tab w:val="left" w:pos="0"/>
                    </w:tabs>
                    <w:spacing w:before="0" w:beforeAutospacing="0" w:after="0" w:afterAutospacing="0" w:line="240" w:lineRule="atLeast"/>
                    <w:ind w:left="0" w:right="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生态功能一级区</w:t>
                  </w:r>
                </w:p>
              </w:tc>
              <w:tc>
                <w:tcPr>
                  <w:tcW w:w="596" w:type="pct"/>
                  <w:noWrap w:val="0"/>
                  <w:vAlign w:val="center"/>
                </w:tcPr>
                <w:p w14:paraId="2CB90802">
                  <w:pPr>
                    <w:keepNext w:val="0"/>
                    <w:keepLines w:val="0"/>
                    <w:suppressLineNumbers w:val="0"/>
                    <w:tabs>
                      <w:tab w:val="left" w:pos="0"/>
                    </w:tabs>
                    <w:spacing w:before="0" w:beforeAutospacing="0" w:after="0" w:afterAutospacing="0" w:line="240" w:lineRule="atLeast"/>
                    <w:ind w:left="0" w:right="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生态功能二级区</w:t>
                  </w:r>
                </w:p>
              </w:tc>
              <w:tc>
                <w:tcPr>
                  <w:tcW w:w="590" w:type="pct"/>
                  <w:noWrap w:val="0"/>
                  <w:vAlign w:val="center"/>
                </w:tcPr>
                <w:p w14:paraId="2586E1CE">
                  <w:pPr>
                    <w:keepNext w:val="0"/>
                    <w:keepLines w:val="0"/>
                    <w:suppressLineNumbers w:val="0"/>
                    <w:tabs>
                      <w:tab w:val="left" w:pos="0"/>
                    </w:tabs>
                    <w:spacing w:before="0" w:beforeAutospacing="0" w:after="0" w:afterAutospacing="0" w:line="240" w:lineRule="atLeast"/>
                    <w:ind w:left="0" w:right="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生态功能三级区</w:t>
                  </w:r>
                </w:p>
              </w:tc>
              <w:tc>
                <w:tcPr>
                  <w:tcW w:w="797" w:type="pct"/>
                  <w:noWrap w:val="0"/>
                  <w:vAlign w:val="center"/>
                </w:tcPr>
                <w:p w14:paraId="675C6E0D">
                  <w:pPr>
                    <w:keepNext w:val="0"/>
                    <w:keepLines w:val="0"/>
                    <w:suppressLineNumbers w:val="0"/>
                    <w:tabs>
                      <w:tab w:val="left" w:pos="0"/>
                    </w:tabs>
                    <w:spacing w:before="0" w:beforeAutospacing="0" w:after="0" w:afterAutospacing="0" w:line="240" w:lineRule="atLeast"/>
                    <w:ind w:left="0" w:right="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涉及县市</w:t>
                  </w:r>
                </w:p>
              </w:tc>
              <w:tc>
                <w:tcPr>
                  <w:tcW w:w="636" w:type="pct"/>
                  <w:noWrap w:val="0"/>
                  <w:vAlign w:val="center"/>
                </w:tcPr>
                <w:p w14:paraId="78DEEDED">
                  <w:pPr>
                    <w:keepNext w:val="0"/>
                    <w:keepLines w:val="0"/>
                    <w:suppressLineNumbers w:val="0"/>
                    <w:tabs>
                      <w:tab w:val="left" w:pos="0"/>
                    </w:tabs>
                    <w:spacing w:before="0" w:beforeAutospacing="0" w:after="0" w:afterAutospacing="0" w:line="240" w:lineRule="atLeast"/>
                    <w:ind w:left="0" w:right="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面积（km</w:t>
                  </w:r>
                  <w:r>
                    <w:rPr>
                      <w:rFonts w:hint="default" w:ascii="Times New Roman" w:hAnsi="Times New Roman" w:eastAsia="宋体" w:cs="Times New Roman"/>
                      <w:bCs/>
                      <w:color w:val="auto"/>
                      <w:szCs w:val="21"/>
                      <w:highlight w:val="none"/>
                      <w:vertAlign w:val="superscript"/>
                    </w:rPr>
                    <w:t>2</w:t>
                  </w:r>
                  <w:r>
                    <w:rPr>
                      <w:rFonts w:hint="default" w:ascii="Times New Roman" w:hAnsi="Times New Roman" w:eastAsia="宋体" w:cs="Times New Roman"/>
                      <w:bCs/>
                      <w:color w:val="auto"/>
                      <w:szCs w:val="21"/>
                      <w:highlight w:val="none"/>
                    </w:rPr>
                    <w:t>）</w:t>
                  </w:r>
                </w:p>
              </w:tc>
              <w:tc>
                <w:tcPr>
                  <w:tcW w:w="946" w:type="pct"/>
                  <w:noWrap w:val="0"/>
                  <w:vAlign w:val="center"/>
                </w:tcPr>
                <w:p w14:paraId="3D0FA566">
                  <w:pPr>
                    <w:keepNext w:val="0"/>
                    <w:keepLines w:val="0"/>
                    <w:suppressLineNumbers w:val="0"/>
                    <w:tabs>
                      <w:tab w:val="left" w:pos="0"/>
                    </w:tabs>
                    <w:spacing w:before="0" w:beforeAutospacing="0" w:after="0" w:afterAutospacing="0" w:line="240" w:lineRule="atLeast"/>
                    <w:ind w:left="0" w:right="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生态环境敏感性</w:t>
                  </w:r>
                </w:p>
              </w:tc>
              <w:tc>
                <w:tcPr>
                  <w:tcW w:w="842" w:type="pct"/>
                  <w:noWrap w:val="0"/>
                  <w:vAlign w:val="center"/>
                </w:tcPr>
                <w:p w14:paraId="210A1168">
                  <w:pPr>
                    <w:keepNext w:val="0"/>
                    <w:keepLines w:val="0"/>
                    <w:suppressLineNumbers w:val="0"/>
                    <w:tabs>
                      <w:tab w:val="left" w:pos="0"/>
                    </w:tabs>
                    <w:spacing w:before="0" w:beforeAutospacing="0" w:after="0" w:afterAutospacing="0" w:line="240" w:lineRule="atLeast"/>
                    <w:ind w:left="0" w:right="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保护措施与发展方向</w:t>
                  </w:r>
                </w:p>
              </w:tc>
            </w:tr>
            <w:tr w14:paraId="58D1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pct"/>
                  <w:noWrap w:val="0"/>
                  <w:vAlign w:val="center"/>
                </w:tcPr>
                <w:p w14:paraId="6C3C6063">
                  <w:pPr>
                    <w:keepNext w:val="0"/>
                    <w:keepLines w:val="0"/>
                    <w:suppressLineNumbers w:val="0"/>
                    <w:tabs>
                      <w:tab w:val="left" w:pos="0"/>
                    </w:tabs>
                    <w:spacing w:before="0" w:beforeAutospacing="0" w:after="0" w:afterAutospacing="0" w:line="240" w:lineRule="atLeast"/>
                    <w:ind w:left="0" w:right="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沿淮淮北平原生态区</w:t>
                  </w:r>
                </w:p>
              </w:tc>
              <w:tc>
                <w:tcPr>
                  <w:tcW w:w="596" w:type="pct"/>
                  <w:noWrap w:val="0"/>
                  <w:vAlign w:val="center"/>
                </w:tcPr>
                <w:p w14:paraId="1AB12AEE">
                  <w:pPr>
                    <w:keepNext w:val="0"/>
                    <w:keepLines w:val="0"/>
                    <w:suppressLineNumbers w:val="0"/>
                    <w:tabs>
                      <w:tab w:val="left" w:pos="0"/>
                    </w:tabs>
                    <w:spacing w:before="0" w:beforeAutospacing="0" w:after="0" w:afterAutospacing="0" w:line="240" w:lineRule="atLeast"/>
                    <w:ind w:left="0" w:right="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淮河中下游湿地与农业生态亚区</w:t>
                  </w:r>
                </w:p>
              </w:tc>
              <w:tc>
                <w:tcPr>
                  <w:tcW w:w="590" w:type="pct"/>
                  <w:noWrap w:val="0"/>
                  <w:vAlign w:val="center"/>
                </w:tcPr>
                <w:p w14:paraId="229FB186">
                  <w:pPr>
                    <w:keepNext w:val="0"/>
                    <w:keepLines w:val="0"/>
                    <w:suppressLineNumbers w:val="0"/>
                    <w:tabs>
                      <w:tab w:val="left" w:pos="0"/>
                    </w:tabs>
                    <w:spacing w:before="0" w:beforeAutospacing="0" w:after="0" w:afterAutospacing="0" w:line="240" w:lineRule="atLeast"/>
                    <w:ind w:left="0" w:right="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淮南农业与城镇生态功能区</w:t>
                  </w:r>
                </w:p>
              </w:tc>
              <w:tc>
                <w:tcPr>
                  <w:tcW w:w="797" w:type="pct"/>
                  <w:noWrap w:val="0"/>
                  <w:vAlign w:val="center"/>
                </w:tcPr>
                <w:p w14:paraId="4483FAE7">
                  <w:pPr>
                    <w:keepNext w:val="0"/>
                    <w:keepLines w:val="0"/>
                    <w:suppressLineNumbers w:val="0"/>
                    <w:tabs>
                      <w:tab w:val="left" w:pos="0"/>
                    </w:tabs>
                    <w:spacing w:before="0" w:beforeAutospacing="0" w:after="0" w:afterAutospacing="0" w:line="240" w:lineRule="atLeast"/>
                    <w:ind w:left="0" w:right="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本功能区位于淮河中游，包括淮南市全部，北岸的凤台县中南部及颍上县东南部，南岸的长丰东北角、定远县西北角以及</w:t>
                  </w:r>
                  <w:r>
                    <w:rPr>
                      <w:rFonts w:hint="eastAsia" w:ascii="Times New Roman" w:hAnsi="Times New Roman" w:eastAsia="宋体" w:cs="Times New Roman"/>
                      <w:bCs/>
                      <w:color w:val="auto"/>
                      <w:szCs w:val="21"/>
                      <w:highlight w:val="none"/>
                      <w:lang w:eastAsia="zh-CN"/>
                    </w:rPr>
                    <w:t>凤阳县</w:t>
                  </w:r>
                  <w:r>
                    <w:rPr>
                      <w:rFonts w:hint="default" w:ascii="Times New Roman" w:hAnsi="Times New Roman" w:eastAsia="宋体" w:cs="Times New Roman"/>
                      <w:bCs/>
                      <w:color w:val="auto"/>
                      <w:szCs w:val="21"/>
                      <w:highlight w:val="none"/>
                    </w:rPr>
                    <w:t>西部和怀远县西南角的少数乡镇。</w:t>
                  </w:r>
                </w:p>
              </w:tc>
              <w:tc>
                <w:tcPr>
                  <w:tcW w:w="636" w:type="pct"/>
                  <w:noWrap w:val="0"/>
                  <w:vAlign w:val="center"/>
                </w:tcPr>
                <w:p w14:paraId="45E36004">
                  <w:pPr>
                    <w:keepNext w:val="0"/>
                    <w:keepLines w:val="0"/>
                    <w:suppressLineNumbers w:val="0"/>
                    <w:tabs>
                      <w:tab w:val="left" w:pos="0"/>
                    </w:tabs>
                    <w:spacing w:before="0" w:beforeAutospacing="0" w:after="0" w:afterAutospacing="0" w:line="240" w:lineRule="atLeast"/>
                    <w:ind w:left="0" w:right="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2098.0</w:t>
                  </w:r>
                </w:p>
              </w:tc>
              <w:tc>
                <w:tcPr>
                  <w:tcW w:w="946" w:type="pct"/>
                  <w:noWrap w:val="0"/>
                  <w:vAlign w:val="center"/>
                </w:tcPr>
                <w:p w14:paraId="3BB3138E">
                  <w:pPr>
                    <w:keepNext w:val="0"/>
                    <w:keepLines w:val="0"/>
                    <w:suppressLineNumbers w:val="0"/>
                    <w:tabs>
                      <w:tab w:val="left" w:pos="0"/>
                    </w:tabs>
                    <w:spacing w:before="0" w:beforeAutospacing="0" w:after="0" w:afterAutospacing="0" w:line="240" w:lineRule="atLeast"/>
                    <w:ind w:left="0" w:right="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本生态功能区的煤炭资源已进行了大规模开采，采空后塌陷区已成为区主要生态环境问题之一。由于农业生产所需要的水热土等条件相对较好，本区也是重要的农业生产区，但容易受洪涝等灾害干扰。</w:t>
                  </w:r>
                </w:p>
              </w:tc>
              <w:tc>
                <w:tcPr>
                  <w:tcW w:w="842" w:type="pct"/>
                  <w:noWrap w:val="0"/>
                  <w:vAlign w:val="center"/>
                </w:tcPr>
                <w:p w14:paraId="6929F328">
                  <w:pPr>
                    <w:keepNext w:val="0"/>
                    <w:keepLines w:val="0"/>
                    <w:suppressLineNumbers w:val="0"/>
                    <w:tabs>
                      <w:tab w:val="left" w:pos="0"/>
                    </w:tabs>
                    <w:spacing w:before="0" w:beforeAutospacing="0" w:after="0" w:afterAutospacing="0" w:line="240" w:lineRule="atLeast"/>
                    <w:ind w:left="0" w:right="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在发展农业、采矿业和城镇建设过程中，进行矿区生态保护与恢复，加强采石管理与城镇污染治理，协调洪水调蓄与农业生产关系是该区生态建设的重要内容。</w:t>
                  </w:r>
                </w:p>
              </w:tc>
            </w:tr>
          </w:tbl>
          <w:p w14:paraId="6EFF1DEF">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2）、生态功能区划</w:t>
            </w:r>
          </w:p>
          <w:p w14:paraId="308D53A3">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根据原环保部、中国科学院制定的《全国生态功能区规划（修编版）》，项目所在区域位于产品提供功能区---II-01-15黄淮平原农产品提供功能区。</w:t>
            </w:r>
          </w:p>
          <w:p w14:paraId="72CB099E">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b w:val="0"/>
                <w:color w:val="auto"/>
                <w:spacing w:val="0"/>
                <w:kern w:val="2"/>
                <w:sz w:val="24"/>
                <w:szCs w:val="24"/>
                <w:highlight w:val="none"/>
                <w:lang w:val="en-US" w:eastAsia="zh-CN" w:bidi="ar-SA"/>
              </w:rPr>
            </w:pPr>
            <w:r>
              <w:rPr>
                <w:rFonts w:hint="eastAsia" w:ascii="Times New Roman" w:hAnsi="Times New Roman" w:eastAsia="宋体" w:cs="Times New Roman"/>
                <w:b w:val="0"/>
                <w:color w:val="auto"/>
                <w:spacing w:val="0"/>
                <w:kern w:val="2"/>
                <w:sz w:val="24"/>
                <w:szCs w:val="24"/>
                <w:highlight w:val="none"/>
                <w:lang w:val="en-US" w:eastAsia="zh-CN" w:bidi="ar-SA"/>
              </w:rPr>
              <w:t>本区域地貌以平原为主，丘岗嵌于其中，海拔最高处为241m。本生态功能区内潴育水稻土、黄潮土和黄褐土广泛分布，在丘岗区有石灰岩土分布，部分地区裸岩出露，石材开采盛行。耕作制度多为一年两熟为主，主要农作物有水稻、小麦等，经济作物有油菜、花生等。丘岗地区分布有地带性天然次生林，主要包括暖温带落叶阔叶林、暖温带针叶林和北亚热带针叶林等。该生态功能区的煤资源已进行了大规模开采，采空后塌陷区已成为区主要生态环境问题之一。由于农业生产所需要的水热土等条件相对较好，本区也是重要的农业生产区，但容易受洪涝等灾害干扰。</w:t>
            </w:r>
          </w:p>
          <w:p w14:paraId="19CF16FE">
            <w:pPr>
              <w:keepNext w:val="0"/>
              <w:keepLines w:val="0"/>
              <w:numPr>
                <w:ilvl w:val="0"/>
                <w:numId w:val="0"/>
              </w:numPr>
              <w:suppressLineNumbers w:val="0"/>
              <w:tabs>
                <w:tab w:val="left" w:pos="0"/>
              </w:tabs>
              <w:spacing w:before="0" w:beforeAutospacing="0" w:after="0" w:afterAutospacing="0" w:line="360" w:lineRule="auto"/>
              <w:ind w:left="0" w:right="0"/>
              <w:jc w:val="both"/>
              <w:rPr>
                <w:rFonts w:hint="default" w:ascii="Times New Roman" w:hAnsi="Times New Roman" w:eastAsia="宋体" w:cs="Times New Roman"/>
                <w:color w:val="auto"/>
                <w:lang w:val="en-US" w:eastAsia="zh-CN"/>
              </w:rPr>
            </w:pPr>
            <w:r>
              <w:rPr>
                <w:rFonts w:hint="default" w:ascii="Times New Roman" w:hAnsi="Times New Roman" w:eastAsia="黑体" w:cs="Times New Roman"/>
                <w:color w:val="auto"/>
                <w:szCs w:val="24"/>
                <w:highlight w:val="none"/>
              </w:rPr>
              <mc:AlternateContent>
                <mc:Choice Requires="wps">
                  <w:drawing>
                    <wp:anchor distT="0" distB="0" distL="114300" distR="114300" simplePos="0" relativeHeight="251663360" behindDoc="0" locked="0" layoutInCell="1" allowOverlap="1">
                      <wp:simplePos x="0" y="0"/>
                      <wp:positionH relativeFrom="column">
                        <wp:posOffset>2402205</wp:posOffset>
                      </wp:positionH>
                      <wp:positionV relativeFrom="paragraph">
                        <wp:posOffset>2038350</wp:posOffset>
                      </wp:positionV>
                      <wp:extent cx="981710" cy="388620"/>
                      <wp:effectExtent l="88265" t="5080" r="15875" b="63500"/>
                      <wp:wrapNone/>
                      <wp:docPr id="3" name="自选图形 83"/>
                      <wp:cNvGraphicFramePr/>
                      <a:graphic xmlns:a="http://schemas.openxmlformats.org/drawingml/2006/main">
                        <a:graphicData uri="http://schemas.microsoft.com/office/word/2010/wordprocessingShape">
                          <wps:wsp>
                            <wps:cNvSpPr/>
                            <wps:spPr>
                              <a:xfrm>
                                <a:off x="0" y="0"/>
                                <a:ext cx="981710" cy="388620"/>
                              </a:xfrm>
                              <a:prstGeom prst="wedgeRectCallout">
                                <a:avLst>
                                  <a:gd name="adj1" fmla="val -55116"/>
                                  <a:gd name="adj2" fmla="val 59625"/>
                                </a:avLst>
                              </a:prstGeom>
                              <a:solidFill>
                                <a:srgbClr val="FFFFFF"/>
                              </a:solidFill>
                              <a:ln w="9525" cap="flat" cmpd="sng">
                                <a:solidFill>
                                  <a:srgbClr val="000000"/>
                                </a:solidFill>
                                <a:prstDash val="solid"/>
                                <a:miter/>
                                <a:headEnd type="none" w="med" len="med"/>
                                <a:tailEnd type="none" w="med" len="med"/>
                              </a:ln>
                            </wps:spPr>
                            <wps:txbx>
                              <w:txbxContent>
                                <w:p w14:paraId="77FE1A67">
                                  <w:pPr>
                                    <w:rPr>
                                      <w:rFonts w:ascii="黑体" w:hAnsi="黑体" w:eastAsia="黑体"/>
                                      <w:sz w:val="22"/>
                                    </w:rPr>
                                  </w:pPr>
                                  <w:r>
                                    <w:rPr>
                                      <w:rFonts w:ascii="黑体" w:hAnsi="黑体" w:eastAsia="黑体"/>
                                      <w:sz w:val="22"/>
                                    </w:rPr>
                                    <w:t>本项目位置</w:t>
                                  </w:r>
                                </w:p>
                              </w:txbxContent>
                            </wps:txbx>
                            <wps:bodyPr wrap="square" upright="1"/>
                          </wps:wsp>
                        </a:graphicData>
                      </a:graphic>
                    </wp:anchor>
                  </w:drawing>
                </mc:Choice>
                <mc:Fallback>
                  <w:pict>
                    <v:shape id="自选图形 83" o:spid="_x0000_s1026" o:spt="61" type="#_x0000_t61" style="position:absolute;left:0pt;margin-left:189.15pt;margin-top:160.5pt;height:30.6pt;width:77.3pt;z-index:251663360;mso-width-relative:page;mso-height-relative:page;" fillcolor="#FFFFFF" filled="t" stroked="t" coordsize="21600,21600" o:gfxdata="UEsDBAoAAAAAAIdO4kAAAAAAAAAAAAAAAAAEAAAAZHJzL1BLAwQUAAAACACHTuJAI2hoZ9sAAAAL&#10;AQAADwAAAGRycy9kb3ducmV2LnhtbE2PzU7DMBCE70i8g7VIXBB14giahjg9gLiAOLRFSL258daJ&#10;Gq+j2P3h7VlOcNvdGc1+Uy8vfhAnnGIfSEM+y0AgtcH25DR8bl7vSxAxGbJmCIQavjHCsrm+qk1l&#10;w5lWeFonJziEYmU0dCmNlZSx7dCbOAsjEmv7MHmTeJ2ctJM5c7gfpMqyR+lNT/yhMyM+d9ge1kev&#10;4T26rbvbfHzZt/ylaA/zRbK91fr2Js+eQCS8pD8z/OIzOjTMtAtHslEMGop5WbCVB5VzKXY8FGoB&#10;YseXUimQTS3/d2h+AFBLAwQUAAAACACHTuJA9NsyNEICAACbBAAADgAAAGRycy9lMm9Eb2MueG1s&#10;rVRLktMwEN1TxR1U2k8cJ5WQccWZxYSwoWCKgQMokmyL0g9JiZ0dO4ozsGPJHeA2UwW3oCWbTGZg&#10;kQVeOC2r9brfe+osrzol0Z47L4wucT4aY8Q1NUzousTv3m4uFhj5QDQj0mhe4gP3+Gr19MmytQWf&#10;mMZIxh0CEO2L1pa4CcEWWeZpwxXxI2O5hs3KOEUCLF2dMUdaQFcym4zH86w1jllnKPcevq77TTwg&#10;unMATVUJyteG7hTXoUd1XJIAlHwjrMer1G1VcRpeV5XnAckSA9OQ3lAE4m18Z6slKWpHbCPo0AI5&#10;p4VHnBQRGooeodYkELRz4i8oJagz3lRhRI3KeiJJEWCRjx9pc9sQyxMXkNrbo+j+/8HSV/sbhwQr&#10;8RQjTRQY/vPTt18fP999+XH3/StaTKNErfUFZN7aGzesPISRb1c5FX+BCeqSrIejrLwLiMLHy0X+&#10;LAfBKWxNF4v5JMme3R+2zocX3CgUgxK3nNX8DVh3TaQ0u5CEJfuXPiSF2dAnYe9zjColwbA9kehi&#10;Nsvz+eDoSdLkNGl2OZ/MYg6UHyAh+tNAxPdGCrYRUqaFq7fX0iHAL/EmPcPhB2lSoxZ4zgAaUQJD&#10;UcFlhFBZENbrOjF4cMKfAo/T8y/g2Nia+KZvICH0BJUI3KXL23DCnmuGwsGCeRpmFsdmFGcYSQ4j&#10;HqOUGYiQ52SCIFKDQtH13ucYhW7bDeZvDTvArWlhbIDehx1xUHNnnagbsC9PROIRuLNJ6GG+4lCc&#10;rlOJ+/+U1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jaGhn2wAAAAsBAAAPAAAAAAAAAAEAIAAA&#10;ACIAAABkcnMvZG93bnJldi54bWxQSwECFAAUAAAACACHTuJA9NsyNEICAACbBAAADgAAAAAAAAAB&#10;ACAAAAAqAQAAZHJzL2Uyb0RvYy54bWxQSwUGAAAAAAYABgBZAQAA3gUAAAAA&#10;" adj="-1105,23679">
                      <v:fill on="t" focussize="0,0"/>
                      <v:stroke color="#000000" joinstyle="miter"/>
                      <v:imagedata o:title=""/>
                      <o:lock v:ext="edit" aspectratio="f"/>
                      <v:textbox>
                        <w:txbxContent>
                          <w:p w14:paraId="77FE1A67">
                            <w:pPr>
                              <w:rPr>
                                <w:rFonts w:ascii="黑体" w:hAnsi="黑体" w:eastAsia="黑体"/>
                                <w:sz w:val="22"/>
                              </w:rPr>
                            </w:pPr>
                            <w:r>
                              <w:rPr>
                                <w:rFonts w:ascii="黑体" w:hAnsi="黑体" w:eastAsia="黑体"/>
                                <w:sz w:val="22"/>
                              </w:rPr>
                              <w:t>本项目位置</w:t>
                            </w:r>
                          </w:p>
                        </w:txbxContent>
                      </v:textbox>
                    </v:shape>
                  </w:pict>
                </mc:Fallback>
              </mc:AlternateContent>
            </w:r>
            <w:r>
              <w:rPr>
                <w:rFonts w:hint="default" w:ascii="Times New Roman" w:hAnsi="Times New Roman" w:eastAsia="黑体" w:cs="Times New Roman"/>
                <w:color w:val="auto"/>
                <w:szCs w:val="24"/>
                <w:highlight w:val="none"/>
              </w:rPr>
              <mc:AlternateContent>
                <mc:Choice Requires="wps">
                  <w:drawing>
                    <wp:anchor distT="0" distB="0" distL="114300" distR="114300" simplePos="0" relativeHeight="251664384" behindDoc="0" locked="0" layoutInCell="1" allowOverlap="1">
                      <wp:simplePos x="0" y="0"/>
                      <wp:positionH relativeFrom="column">
                        <wp:posOffset>2212340</wp:posOffset>
                      </wp:positionH>
                      <wp:positionV relativeFrom="paragraph">
                        <wp:posOffset>2367280</wp:posOffset>
                      </wp:positionV>
                      <wp:extent cx="107950" cy="107950"/>
                      <wp:effectExtent l="13970" t="15875" r="30480" b="28575"/>
                      <wp:wrapNone/>
                      <wp:docPr id="111" name="自选图形 84"/>
                      <wp:cNvGraphicFramePr/>
                      <a:graphic xmlns:a="http://schemas.openxmlformats.org/drawingml/2006/main">
                        <a:graphicData uri="http://schemas.microsoft.com/office/word/2010/wordprocessingShape">
                          <wps:wsp>
                            <wps:cNvSpPr/>
                            <wps:spPr>
                              <a:xfrm>
                                <a:off x="0" y="0"/>
                                <a:ext cx="107950" cy="107950"/>
                              </a:xfrm>
                              <a:prstGeom prst="star5">
                                <a:avLst/>
                              </a:prstGeom>
                              <a:solidFill>
                                <a:srgbClr val="FF0000"/>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自选图形 84" o:spid="_x0000_s1026" style="position:absolute;left:0pt;margin-left:174.2pt;margin-top:186.4pt;height:8.5pt;width:8.5pt;z-index:251664384;mso-width-relative:page;mso-height-relative:page;" fillcolor="#FF0000" filled="t" stroked="t" coordsize="107950,107950" o:gfxdata="UEsDBAoAAAAAAIdO4kAAAAAAAAAAAAAAAAAEAAAAZHJzL1BLAwQUAAAACACHTuJAr6WhUdkAAAAL&#10;AQAADwAAAGRycy9kb3ducmV2LnhtbE2PwU7DMBBE70j8g7VIXBB10qYhDXF6QICEeqL0A9x4iQPx&#10;OsROWv6e5QS32d3R7Jtqe3a9mHEMnScF6SIBgdR401Gr4PD2dFuACFGT0b0nVPCNAbb15UWlS+NP&#10;9IrzPraCQyiUWoGNcSilDI1Fp8PCD0h8e/ej05HHsZVm1CcOd71cJkkune6IP1g94IPF5nM/OU7J&#10;HnfT5nl+ST8m21g6fN2s+1yp66s0uQcR8Rz/zPCLz+hQM9PRT2SC6BWssiJjK4u7JXdgxypf8+bI&#10;otgUIOtK/u9Q/wBQSwMEFAAAAAgAh07iQFjf1cgVAgAAQwQAAA4AAABkcnMvZTJvRG9jLnhtbK1T&#10;zY7TMBC+I/EOlu80SUVhN2q6B0q5IFhp4QFce9JY8h+227Q3bohn4MaRd2DfZiV4C8ZOKN2FQw/k&#10;kIzj8TfzffN5frXXiuzAB2lNQ6tJSQkYboU0m4a+f7d6ckFJiMwIpqyBhh4g0KvF40fz3tUwtZ1V&#10;AjxBEBPq3jW0i9HVRRF4B5qFiXVgcLO1XrOIS78phGc9omtVTMvyWdFbL5y3HELAv8thk46I/hxA&#10;27aSw9LyrQYTB1QPikWkFDrpAl3kbtsWeHzbtgEiUQ1FpjG/sQjG6/QuFnNWbzxzneRjC+ycFh5w&#10;0kwaLHqEWrLIyNbLv6C05N4G28YJt7oYiGRFkEVVPtDmpmMOMheUOrij6OH/wfI3u2tPpEAnVBUl&#10;hmkc+Y9P335+/Hz35fbu+1dy8TSJ1LtQY+6Nu/bjKmCYGO9br9MXuZB9FvZwFBb2kXD8WZXPL2co&#10;OcetMUaU4s9h50N8BVaTFDQU/ednWU+2ex3ikPs7JxULVkmxkkrlhd+sXyhPdgyHvFqV+KSWEf5e&#10;mjKkb+jlbDrDRhg6t0XHYKgdsg9mk+vdOxFOgRPsv4FTY0sWuqGBjDD4SssISS5Wd8DESyNIPDjU&#10;1+DFoqkZDYISBXgPU5QzI5PqnExkp0yChuzyUaU0pmEwKVpbccDp9mhvZPhhyzyW3TovNx2KXGWR&#10;Uh56K8s13oNk3tM1xqd3f/E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6WhUdkAAAALAQAADwAA&#10;AAAAAAABACAAAAAiAAAAZHJzL2Rvd25yZXYueG1sUEsBAhQAFAAAAAgAh07iQFjf1cgVAgAAQwQA&#10;AA4AAAAAAAAAAQAgAAAAKAEAAGRycy9lMm9Eb2MueG1sUEsFBgAAAAAGAAYAWQEAAK8FAAAAAA==&#10;" path="m0,41233l41233,41233,53975,0,66716,41233,107949,41233,74591,66716,87333,107949,53975,82465,20616,107949,33358,66716xe">
                      <v:path o:connectlocs="53975,0;0,41233;20616,107949;87333,107949;107949,41233" o:connectangles="247,164,82,82,0"/>
                      <v:fill on="t" focussize="0,0"/>
                      <v:stroke color="#000000" joinstyle="miter"/>
                      <v:imagedata o:title=""/>
                      <o:lock v:ext="edit" aspectratio="f"/>
                    </v:shape>
                  </w:pict>
                </mc:Fallback>
              </mc:AlternateContent>
            </w:r>
            <w:r>
              <w:rPr>
                <w:rFonts w:hint="default" w:ascii="Times New Roman" w:hAnsi="Times New Roman" w:eastAsia="黑体" w:cs="Times New Roman"/>
                <w:color w:val="auto"/>
                <w:szCs w:val="24"/>
                <w:highlight w:val="none"/>
              </w:rPr>
              <w:drawing>
                <wp:inline distT="0" distB="0" distL="114300" distR="114300">
                  <wp:extent cx="4658360" cy="6585585"/>
                  <wp:effectExtent l="0" t="0" r="8890" b="5715"/>
                  <wp:docPr id="7" name="图片 23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31" descr="未标题-1"/>
                          <pic:cNvPicPr>
                            <a:picLocks noChangeAspect="1"/>
                          </pic:cNvPicPr>
                        </pic:nvPicPr>
                        <pic:blipFill>
                          <a:blip r:embed="rId17"/>
                          <a:stretch>
                            <a:fillRect/>
                          </a:stretch>
                        </pic:blipFill>
                        <pic:spPr>
                          <a:xfrm>
                            <a:off x="0" y="0"/>
                            <a:ext cx="4658360" cy="6585585"/>
                          </a:xfrm>
                          <a:prstGeom prst="rect">
                            <a:avLst/>
                          </a:prstGeom>
                          <a:noFill/>
                          <a:ln>
                            <a:noFill/>
                          </a:ln>
                        </pic:spPr>
                      </pic:pic>
                    </a:graphicData>
                  </a:graphic>
                </wp:inline>
              </w:drawing>
            </w:r>
            <w:r>
              <w:rPr>
                <w:rFonts w:hint="default" w:ascii="Times New Roman" w:hAnsi="Times New Roman" w:eastAsia="黑体" w:cs="Times New Roman"/>
                <w:color w:val="auto"/>
                <w:szCs w:val="24"/>
                <w:highlight w:val="none"/>
              </w:rPr>
              <mc:AlternateContent>
                <mc:Choice Requires="wps">
                  <w:drawing>
                    <wp:anchor distT="0" distB="0" distL="114300" distR="114300" simplePos="0" relativeHeight="251661312" behindDoc="0" locked="0" layoutInCell="1" allowOverlap="1">
                      <wp:simplePos x="0" y="0"/>
                      <wp:positionH relativeFrom="column">
                        <wp:posOffset>2418080</wp:posOffset>
                      </wp:positionH>
                      <wp:positionV relativeFrom="paragraph">
                        <wp:posOffset>-5605145</wp:posOffset>
                      </wp:positionV>
                      <wp:extent cx="955040" cy="356235"/>
                      <wp:effectExtent l="4445" t="5080" r="12065" b="95885"/>
                      <wp:wrapNone/>
                      <wp:docPr id="112" name="自选图形 87"/>
                      <wp:cNvGraphicFramePr/>
                      <a:graphic xmlns:a="http://schemas.openxmlformats.org/drawingml/2006/main">
                        <a:graphicData uri="http://schemas.microsoft.com/office/word/2010/wordprocessingShape">
                          <wps:wsp>
                            <wps:cNvSpPr/>
                            <wps:spPr>
                              <a:xfrm>
                                <a:off x="0" y="0"/>
                                <a:ext cx="955040" cy="356235"/>
                              </a:xfrm>
                              <a:prstGeom prst="wedgeRectCallout">
                                <a:avLst>
                                  <a:gd name="adj1" fmla="val -45148"/>
                                  <a:gd name="adj2" fmla="val 69963"/>
                                </a:avLst>
                              </a:prstGeom>
                              <a:solidFill>
                                <a:srgbClr val="FFFFFF"/>
                              </a:solidFill>
                              <a:ln w="9525" cap="flat" cmpd="sng">
                                <a:solidFill>
                                  <a:srgbClr val="000000"/>
                                </a:solidFill>
                                <a:prstDash val="solid"/>
                                <a:miter/>
                                <a:headEnd type="none" w="med" len="med"/>
                                <a:tailEnd type="none" w="med" len="med"/>
                              </a:ln>
                              <a:effectLst/>
                            </wps:spPr>
                            <wps:txbx>
                              <w:txbxContent>
                                <w:p w14:paraId="3ED54B78">
                                  <w:pPr>
                                    <w:rPr>
                                      <w:rFonts w:ascii="黑体" w:hAnsi="黑体" w:eastAsia="黑体"/>
                                      <w:sz w:val="22"/>
                                    </w:rPr>
                                  </w:pPr>
                                  <w:r>
                                    <w:rPr>
                                      <w:rFonts w:ascii="黑体" w:hAnsi="黑体" w:eastAsia="黑体"/>
                                      <w:sz w:val="22"/>
                                    </w:rPr>
                                    <w:t>本项目位置</w:t>
                                  </w:r>
                                </w:p>
                              </w:txbxContent>
                            </wps:txbx>
                            <wps:bodyPr wrap="square" upright="1"/>
                          </wps:wsp>
                        </a:graphicData>
                      </a:graphic>
                    </wp:anchor>
                  </w:drawing>
                </mc:Choice>
                <mc:Fallback>
                  <w:pict>
                    <v:shape id="自选图形 87" o:spid="_x0000_s1026" o:spt="61" type="#_x0000_t61" style="position:absolute;left:0pt;margin-left:190.4pt;margin-top:-441.35pt;height:28.05pt;width:75.2pt;z-index:251661312;mso-width-relative:page;mso-height-relative:page;" fillcolor="#FFFFFF" filled="t" stroked="t" coordsize="21600,21600" o:gfxdata="UEsDBAoAAAAAAIdO4kAAAAAAAAAAAAAAAAAEAAAAZHJzL1BLAwQUAAAACACHTuJAgaK2E90AAAAN&#10;AQAADwAAAGRycy9kb3ducmV2LnhtbE2PzU7DMBCE70i8g7VIXKrWTipSK8SpEAIOFYdSSrk6sYlD&#10;7XUUuz+8Pe4Jjjs7mvmmWp6dJUc9ht6jgGzGgGhsveqxE7B9f55yICFKVNJ61AJ+dIBlfX1VyVL5&#10;E77p4yZ2JIVgKKUAE+NQUhpao50MMz9oTL8vPzoZ0zl2VI3ylMKdpTljBXWyx9Rg5KAfjW73m4MT&#10;8Lp64LZZx49vs5rsJy7b7T6fXoS4vcnYPZCoz/HPDBf8hA51Ymr8AVUgVsCcs4QeBUw5zxdAkuVu&#10;nuVAmouUFwXQuqL/V9S/UEsDBBQAAAAIAIdO4kBNo7iiTAIAAKsEAAAOAAAAZHJzL2Uyb0RvYy54&#10;bWytVEuS0zAQ3VPFHVTaT2znR5KKM4sJYUPBFAMHUCzZFqUfkhI7O3YUZ2DHkjvAbaYKbkFLNklm&#10;YJEFXjgtufX03uvuLK9bKdCeWce1ynE2SDFiqtCUqyrH795urmYYOU8UJUIrluMDc/h69fTJsjEL&#10;NtS1FpRZBCDKLRqT49p7s0gSV9RMEjfQhin4WGoriYelrRJqSQPoUiTDNJ0mjbbUWF0w52B33X3E&#10;PaK9BFCXJS/YWhc7yZTvUC0TxIMkV3Pj8CqyLUtW+Ndl6ZhHIseg1Mc3XALxNryT1ZIsKktMzYue&#10;ArmEwiNNknAFlx6h1sQTtLP8LyjJC6udLv2g0DLphERHQEWWPvLmriaGRS1gtTNH093/gy1e7W8t&#10;4hQ6IRtipIiEkv/89O3Xx8/3X37cf/+KZs+CSY1xC8i9M7e2XzkIg+K2tDL8ghbURmMPR2NZ61EB&#10;m/PJJB2D5QV8Gk2mw9EkYCanw8Y6/4JpiUKQ44bRir2B4t0QIfTOR2vJ/qXz0WPa8yT0fYZRKQWU&#10;bE8EuhpPsvGsr+lZEgg7JU3n8+mov76HBCJ/CAR8pwWnGy5EXNhqeyMsAvwcb+LTH36QJhRqgs7h&#10;BFQSGIsS2hFCacBap6qo4MEJdw6cxudfwIHYmri6IxAROoGSe2Zj+9aM0OeKIn8wUDwFU4sDGcko&#10;RoLBkIcoZnrCxSWZYIhQQT2LIwS+h3KFHuiqHiLfblvYDeFW0wN0UQNjBGI/7IgFBjtjeVVDMbMo&#10;K+RBD8eq9/MWhuR8Ha84/ces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BorYT3QAAAA0BAAAP&#10;AAAAAAAAAAEAIAAAACIAAABkcnMvZG93bnJldi54bWxQSwECFAAUAAAACACHTuJATaO4okwCAACr&#10;BAAADgAAAAAAAAABACAAAAAsAQAAZHJzL2Uyb0RvYy54bWxQSwUGAAAAAAYABgBZAQAA6gUAAAAA&#10;" adj="1048,25912">
                      <v:fill on="t" focussize="0,0"/>
                      <v:stroke color="#000000" joinstyle="miter"/>
                      <v:imagedata o:title=""/>
                      <o:lock v:ext="edit" aspectratio="f"/>
                      <v:textbox>
                        <w:txbxContent>
                          <w:p w14:paraId="3ED54B78">
                            <w:pPr>
                              <w:rPr>
                                <w:rFonts w:ascii="黑体" w:hAnsi="黑体" w:eastAsia="黑体"/>
                                <w:sz w:val="22"/>
                              </w:rPr>
                            </w:pPr>
                            <w:r>
                              <w:rPr>
                                <w:rFonts w:ascii="黑体" w:hAnsi="黑体" w:eastAsia="黑体"/>
                                <w:sz w:val="22"/>
                              </w:rPr>
                              <w:t>本项目位置</w:t>
                            </w:r>
                          </w:p>
                        </w:txbxContent>
                      </v:textbox>
                    </v:shape>
                  </w:pict>
                </mc:Fallback>
              </mc:AlternateContent>
            </w:r>
            <w:r>
              <w:rPr>
                <w:rFonts w:hint="default" w:ascii="Times New Roman" w:hAnsi="Times New Roman" w:eastAsia="黑体" w:cs="Times New Roman"/>
                <w:color w:val="auto"/>
                <w:szCs w:val="24"/>
                <w:highlight w:val="none"/>
              </w:rPr>
              <mc:AlternateContent>
                <mc:Choice Requires="wps">
                  <w:drawing>
                    <wp:anchor distT="0" distB="0" distL="114300" distR="114300" simplePos="0" relativeHeight="251662336" behindDoc="0" locked="0" layoutInCell="1" allowOverlap="1">
                      <wp:simplePos x="0" y="0"/>
                      <wp:positionH relativeFrom="column">
                        <wp:posOffset>2391410</wp:posOffset>
                      </wp:positionH>
                      <wp:positionV relativeFrom="paragraph">
                        <wp:posOffset>-5174615</wp:posOffset>
                      </wp:positionV>
                      <wp:extent cx="107950" cy="107950"/>
                      <wp:effectExtent l="13970" t="15875" r="30480" b="28575"/>
                      <wp:wrapNone/>
                      <wp:docPr id="113" name="自选图形 86"/>
                      <wp:cNvGraphicFramePr/>
                      <a:graphic xmlns:a="http://schemas.openxmlformats.org/drawingml/2006/main">
                        <a:graphicData uri="http://schemas.microsoft.com/office/word/2010/wordprocessingShape">
                          <wps:wsp>
                            <wps:cNvSpPr/>
                            <wps:spPr>
                              <a:xfrm>
                                <a:off x="0" y="0"/>
                                <a:ext cx="107950" cy="107950"/>
                              </a:xfrm>
                              <a:prstGeom prst="star5">
                                <a:avLst/>
                              </a:prstGeom>
                              <a:solidFill>
                                <a:srgbClr val="FF0000"/>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自选图形 86" o:spid="_x0000_s1026" style="position:absolute;left:0pt;margin-left:188.3pt;margin-top:-407.45pt;height:8.5pt;width:8.5pt;z-index:251662336;mso-width-relative:page;mso-height-relative:page;" fillcolor="#FF0000" filled="t" stroked="t" coordsize="107950,107950" o:gfxdata="UEsDBAoAAAAAAIdO4kAAAAAAAAAAAAAAAAAEAAAAZHJzL1BLAwQUAAAACACHTuJAaZS+P9sAAAAN&#10;AQAADwAAAGRycy9kb3ducmV2LnhtbE2PQU7DMBBF90jcwRokNqh1QkpSp3G6QICEuqL0AG7sxoF4&#10;HGInLbdnWMFy/ny9eVNtL65nsxlD51FCukyAGWy87rCVcHh/XqyBhahQq96jkfBtAmzr66tKldqf&#10;8c3M+9gygmAolQQb41ByHhprnApLPxik3cmPTkUax5brUZ0J7np+nyQ5d6pDumDVYB6taT73kyPK&#10;6mk3iZf5Nf2YbGPx8HX30OdS3t6kyQZYNJf4V4ZffVKHmpyOfkIdWC8hK/KcqhIW63QlgFElExlF&#10;R4oKUQjgdcX/f1H/AFBLAwQUAAAACACHTuJAQTfhxRUCAABDBAAADgAAAGRycy9lMm9Eb2MueG1s&#10;rVPNjtMwEL4j8Q6W7zRpUZfdqOkeKOWCYKWFB3BtJ7HkPzxu0964IZ6BG0feAd5mJXgLxk4o3YVD&#10;D+SQjOPxN/N983lxvTea7GQA5WxNp5OSEmm5E8q2NX33dv3kkhKIzAqmnZU1PUig18vHjxa9r+TM&#10;dU4LGQiCWKh6X9MuRl8VBfBOGgYT56XFzcYFwyIuQ1uIwHpEN7qYleVF0bsgfHBcAuDf1bBJR8Rw&#10;DqBrGsXlyvGtkTYOqEFqFpESdMoDXeZum0by+KZpQEaia4pMY35jEYw36V0sF6xqA/Od4mML7JwW&#10;HnAyTFkseoRascjINqi/oIziwYFr4oQ7UwxEsiLIYlo+0Oa2Y15mLig1+KPo8P9g+evdTSBKoBOm&#10;TymxzODIf3z8+vPDp7vP3+++fSGXF0mk3kOFubf+JowrwDAx3jfBpC9yIfss7OEorNxHwvHntHx2&#10;NUfJOW6NMaIUfw77APGldIakoKbovzDPerLdK4hD7u+cVAycVmKttM6L0G6e60B2DIe8Xpf4pJYR&#10;/l6atqSv6dV8NsdGGDq3QcdgaDyyB9vmevdOwClwgv03cGpsxaAbGsgIg6+MijLJxapOMvHCChIP&#10;HvW1eLFoasZIQYmWeA9TlDMjU/qcTGSnbYKW2eWjSmlMw2BStHHigNPt0d7I8P2WBSy79UG1HYo8&#10;zSKlPPRWlmu8B8m8p2uMT+/+8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plL4/2wAAAA0BAAAP&#10;AAAAAAAAAAEAIAAAACIAAABkcnMvZG93bnJldi54bWxQSwECFAAUAAAACACHTuJAQTfhxRUCAABD&#10;BAAADgAAAAAAAAABACAAAAAqAQAAZHJzL2Uyb0RvYy54bWxQSwUGAAAAAAYABgBZAQAAsQUAAAAA&#10;" path="m0,41233l41233,41233,53975,0,66716,41233,107949,41233,74591,66716,87333,107949,53975,82465,20616,107949,33358,66716xe">
                      <v:path o:connectlocs="53975,0;0,41233;20616,107949;87333,107949;107949,41233" o:connectangles="247,164,82,82,0"/>
                      <v:fill on="t" focussize="0,0"/>
                      <v:stroke color="#000000" joinstyle="miter"/>
                      <v:imagedata o:title=""/>
                      <o:lock v:ext="edit" aspectratio="f"/>
                    </v:shape>
                  </w:pict>
                </mc:Fallback>
              </mc:AlternateContent>
            </w:r>
          </w:p>
          <w:p w14:paraId="0247B308">
            <w:pPr>
              <w:keepNext w:val="0"/>
              <w:keepLines w:val="0"/>
              <w:numPr>
                <w:ilvl w:val="0"/>
                <w:numId w:val="9"/>
              </w:numPr>
              <w:suppressLineNumbers w:val="0"/>
              <w:spacing w:before="0" w:beforeAutospacing="0" w:after="0" w:afterAutospacing="0" w:line="360" w:lineRule="auto"/>
              <w:ind w:left="0" w:leftChars="0" w:right="0" w:firstLine="560" w:firstLineChars="0"/>
              <w:jc w:val="center"/>
              <w:rPr>
                <w:rFonts w:hint="default" w:ascii="Times New Roman" w:hAnsi="Times New Roman" w:eastAsia="黑体" w:cs="Times New Roman"/>
                <w:color w:val="auto"/>
                <w:szCs w:val="24"/>
                <w:highlight w:val="none"/>
              </w:rPr>
            </w:pPr>
            <w:r>
              <w:rPr>
                <w:rFonts w:hint="default" w:ascii="Times New Roman" w:hAnsi="Times New Roman" w:eastAsia="宋体" w:cs="Times New Roman"/>
                <w:color w:val="auto"/>
                <w:lang w:val="en-US" w:eastAsia="zh-CN"/>
              </w:rPr>
              <w:t xml:space="preserve"> </w:t>
            </w:r>
            <w:r>
              <w:rPr>
                <w:rFonts w:hint="eastAsia" w:ascii="宋体" w:hAnsi="宋体" w:eastAsia="宋体" w:cs="宋体"/>
                <w:color w:val="auto"/>
                <w:sz w:val="24"/>
                <w:szCs w:val="24"/>
                <w:lang w:val="en-US" w:eastAsia="zh-CN"/>
              </w:rPr>
              <w:t>安徽省</w:t>
            </w:r>
            <w:r>
              <w:rPr>
                <w:rFonts w:hint="eastAsia" w:ascii="宋体" w:hAnsi="宋体" w:eastAsia="宋体" w:cs="宋体"/>
                <w:color w:val="auto"/>
                <w:sz w:val="24"/>
                <w:szCs w:val="24"/>
                <w:highlight w:val="none"/>
              </w:rPr>
              <w:t>生态功能区划图</w:t>
            </w:r>
          </w:p>
          <w:bookmarkEnd w:id="44"/>
          <w:p w14:paraId="2D2579BC">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b w:val="0"/>
                <w:color w:val="auto"/>
                <w:spacing w:val="0"/>
                <w:kern w:val="2"/>
                <w:sz w:val="24"/>
                <w:szCs w:val="24"/>
                <w:highlight w:val="none"/>
                <w:lang w:val="en-US" w:eastAsia="zh-CN" w:bidi="ar-SA"/>
              </w:rPr>
            </w:pPr>
            <w:r>
              <w:rPr>
                <w:rFonts w:hint="eastAsia" w:ascii="Times New Roman" w:hAnsi="Times New Roman" w:eastAsia="宋体" w:cs="Times New Roman"/>
                <w:b w:val="0"/>
                <w:color w:val="auto"/>
                <w:spacing w:val="0"/>
                <w:kern w:val="2"/>
                <w:sz w:val="24"/>
                <w:szCs w:val="24"/>
                <w:highlight w:val="none"/>
                <w:lang w:val="en-US" w:eastAsia="zh-CN" w:bidi="ar-SA"/>
              </w:rPr>
              <w:t>3）、土地利用现状</w:t>
            </w:r>
          </w:p>
          <w:p w14:paraId="5C65EE88">
            <w:pPr>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b w:val="0"/>
                <w:color w:val="auto"/>
                <w:spacing w:val="0"/>
                <w:kern w:val="2"/>
                <w:sz w:val="24"/>
                <w:szCs w:val="24"/>
                <w:highlight w:val="none"/>
                <w:lang w:val="en-US" w:eastAsia="zh-CN" w:bidi="ar-SA"/>
              </w:rPr>
              <w:t>本项目不新增占地，项目用地位于凤台县顾桥镇顾北煤矿现有</w:t>
            </w:r>
            <w:r>
              <w:rPr>
                <w:rFonts w:hint="default" w:ascii="Times New Roman" w:hAnsi="Times New Roman" w:cs="Times New Roman"/>
                <w:color w:val="auto"/>
                <w:sz w:val="24"/>
                <w:szCs w:val="24"/>
                <w:highlight w:val="none"/>
                <w:lang w:eastAsia="zh-CN"/>
              </w:rPr>
              <w:t>工业场地</w:t>
            </w:r>
            <w:r>
              <w:rPr>
                <w:rFonts w:hint="eastAsia" w:ascii="Times New Roman" w:hAnsi="Times New Roman" w:eastAsia="宋体" w:cs="Times New Roman"/>
                <w:b w:val="0"/>
                <w:color w:val="auto"/>
                <w:spacing w:val="0"/>
                <w:kern w:val="2"/>
                <w:sz w:val="24"/>
                <w:szCs w:val="24"/>
                <w:highlight w:val="none"/>
                <w:lang w:val="en-US" w:eastAsia="zh-CN" w:bidi="ar-SA"/>
              </w:rPr>
              <w:t>内，</w:t>
            </w:r>
            <w:r>
              <w:rPr>
                <w:rFonts w:hint="default" w:ascii="Times New Roman" w:hAnsi="Times New Roman" w:cs="Times New Roman"/>
                <w:color w:val="auto"/>
                <w:sz w:val="24"/>
                <w:highlight w:val="none"/>
                <w:lang w:eastAsia="zh-CN"/>
              </w:rPr>
              <w:t>用地性质属于工业用地</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现状为闲置空地。</w:t>
            </w:r>
          </w:p>
          <w:p w14:paraId="0F976B93">
            <w:pPr>
              <w:keepNext w:val="0"/>
              <w:keepLines w:val="0"/>
              <w:numPr>
                <w:ilvl w:val="0"/>
                <w:numId w:val="10"/>
              </w:numPr>
              <w:suppressLineNumbers w:val="0"/>
              <w:spacing w:before="0" w:beforeAutospacing="0" w:after="0" w:afterAutospacing="0" w:line="360" w:lineRule="auto"/>
              <w:ind w:left="-60" w:leftChars="0" w:right="0" w:firstLine="480" w:firstLineChars="0"/>
              <w:rPr>
                <w:rFonts w:hint="eastAsia" w:ascii="Times New Roman" w:hAnsi="Times New Roman" w:eastAsia="宋体" w:cs="Times New Roman"/>
                <w:color w:val="auto"/>
                <w:kern w:val="2"/>
                <w:sz w:val="24"/>
                <w:szCs w:val="24"/>
                <w:highlight w:val="none"/>
                <w:lang w:val="sq-AL" w:eastAsia="zh-CN" w:bidi="ar-SA"/>
              </w:rPr>
            </w:pPr>
            <w:r>
              <w:rPr>
                <w:rFonts w:hint="eastAsia" w:ascii="Times New Roman" w:hAnsi="Times New Roman" w:eastAsia="宋体" w:cs="Times New Roman"/>
                <w:color w:val="auto"/>
                <w:kern w:val="2"/>
                <w:sz w:val="24"/>
                <w:szCs w:val="24"/>
                <w:highlight w:val="none"/>
                <w:lang w:val="sq-AL" w:eastAsia="zh-CN" w:bidi="ar-SA"/>
              </w:rPr>
              <w:t>、土壤</w:t>
            </w:r>
          </w:p>
          <w:p w14:paraId="70989EA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项目所在区域顾桥镇地处淮河中游平原，土壤类型具有明显的区域性，主要分为四类：潮土（黄潮土）占耕地面积 70% 以上。主要沿淮河、西淝河等河流沿岸及平原区分布，是水稻、小麦主产区。砂礓黑土：广泛分布于采煤沉陷区及周边低洼地带。土壤质地黏重、结构紧实，含较多砂礓（钙质结核），易旱易涝，肥力中等，适合耐旱作物。水稻土：主要分布于长期水旱轮作区及沉陷区周边水田。由潮土、砂礓黑土经长期耕作、淹水熟化形成，耕作层肥沃，保水保肥性好，是水稻高产土壤。黄棕壤：零星分布于镇域西部、南部岗地（如八公山余脉）。土层较薄、质地偏砂，呈微酸性，肥力较低，适合旱作与林果种植。</w:t>
            </w:r>
          </w:p>
          <w:p w14:paraId="0D44464D">
            <w:pPr>
              <w:keepNext w:val="0"/>
              <w:keepLines w:val="0"/>
              <w:numPr>
                <w:ilvl w:val="0"/>
                <w:numId w:val="10"/>
              </w:numPr>
              <w:suppressLineNumbers w:val="0"/>
              <w:spacing w:before="0" w:beforeAutospacing="0" w:after="0" w:afterAutospacing="0" w:line="360" w:lineRule="auto"/>
              <w:ind w:left="-60" w:leftChars="0" w:right="0" w:firstLine="480" w:firstLineChars="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sq-AL" w:eastAsia="zh-CN" w:bidi="ar-SA"/>
              </w:rPr>
              <w:t>植被类型</w:t>
            </w:r>
          </w:p>
          <w:p w14:paraId="05B2995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项目所在区域顾桥镇位于我国东部暖温带半湿润季风气候区，具有典型的南北、海陆过渡性气候特征，自然条件表现为暖温带向亚热带过渡的特点，植被区划隶属于暖温带落叶阔叶林区，地带性植被类型为落叶阔叶林。由于受长期人类活动和耕作的影响，区域内自然生态系统不复存在，自然植被分布面积极少，仅在受人为因素干扰较小的荒地、河滩地等局部区域存在少量自然植被，生态系统结构较为简单，农田生态系统占绝对优势，基本上能维持动态平衡。 </w:t>
            </w:r>
          </w:p>
          <w:p w14:paraId="5180AF2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项目区域植被以人工植被为主，主要包括农作物植被和林业植被两种类型，其中农作物植被占绝对优势，遍布于整个评价区，林业植被数量较小，呈斑块状分布在村庄及周边或条带状与农田植被镶嵌分布。</w:t>
            </w:r>
          </w:p>
          <w:p w14:paraId="52A33303">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农作物以水稻、小麦、大豆、薯类等为主，间有少量的油菜、麻类、花生、棉花等经济作物和林果等，形成水稻－小麦、小麦－大豆、小麦－薯类为主的一年两熟制， 局部有水稻－小麦－绿肥两年三熟的耕作制度。区内农业生产条件较好，但目前机械化生产水平较低，平均亩产量在 450kg 左右，仍有一定的增产潜力。 </w:t>
            </w:r>
          </w:p>
          <w:p w14:paraId="1DCD863E">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项目区内的林业以人工营造的农田防护林及路旁、渠旁、水旁和村旁的“四旁”绿化为主，林网类型较为简单、缺乏完整性。农田林网主要树种为杨树，部分为杨树和楝树为主，灌区两岸的个别地段树种组成较为丰富，村镇及矿区绿化树种多样，沿河两岸和塌陷区的低湿滩地分布有芦苇、杂草等天然植物群落。区内的乔木、灌木和草本植物以华北植物区系为主，未见外来入侵植物。</w:t>
            </w:r>
          </w:p>
          <w:p w14:paraId="68F08214">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Cs/>
                <w:color w:val="auto"/>
                <w:sz w:val="24"/>
                <w:highlight w:val="none"/>
              </w:rPr>
              <w:t>根据现场调查，本工程</w:t>
            </w:r>
            <w:r>
              <w:rPr>
                <w:rFonts w:hint="eastAsia" w:ascii="Times New Roman" w:hAnsi="Times New Roman" w:cs="Times New Roman"/>
                <w:bCs/>
                <w:color w:val="auto"/>
                <w:sz w:val="24"/>
                <w:highlight w:val="none"/>
                <w:lang w:val="en-US" w:eastAsia="zh-CN"/>
              </w:rPr>
              <w:t>施工</w:t>
            </w:r>
            <w:r>
              <w:rPr>
                <w:rFonts w:hint="default" w:ascii="Times New Roman" w:hAnsi="Times New Roman" w:cs="Times New Roman"/>
                <w:bCs/>
                <w:color w:val="auto"/>
                <w:sz w:val="24"/>
                <w:highlight w:val="none"/>
              </w:rPr>
              <w:t>区域</w:t>
            </w:r>
            <w:r>
              <w:rPr>
                <w:rFonts w:hint="eastAsia" w:ascii="Times New Roman" w:hAnsi="Times New Roman" w:cs="Times New Roman"/>
                <w:bCs/>
                <w:color w:val="auto"/>
                <w:sz w:val="24"/>
                <w:highlight w:val="none"/>
                <w:lang w:val="en-US" w:eastAsia="zh-CN"/>
              </w:rPr>
              <w:t>现状为闲置空地，无</w:t>
            </w:r>
            <w:r>
              <w:rPr>
                <w:rFonts w:hint="default" w:ascii="Times New Roman" w:hAnsi="Times New Roman" w:cs="Times New Roman"/>
                <w:bCs/>
                <w:color w:val="auto"/>
                <w:sz w:val="24"/>
                <w:highlight w:val="none"/>
              </w:rPr>
              <w:t>植被</w:t>
            </w:r>
            <w:r>
              <w:rPr>
                <w:rFonts w:hint="eastAsia" w:ascii="Times New Roman" w:hAnsi="Times New Roman" w:cs="Times New Roman"/>
                <w:bCs/>
                <w:color w:val="auto"/>
                <w:sz w:val="24"/>
                <w:highlight w:val="none"/>
                <w:lang w:eastAsia="zh-CN"/>
              </w:rPr>
              <w:t>，</w:t>
            </w:r>
            <w:r>
              <w:rPr>
                <w:rFonts w:hint="eastAsia" w:ascii="Times New Roman" w:hAnsi="Times New Roman" w:cs="Times New Roman"/>
                <w:bCs/>
                <w:color w:val="auto"/>
                <w:sz w:val="24"/>
                <w:highlight w:val="none"/>
                <w:lang w:val="en-US" w:eastAsia="zh-CN"/>
              </w:rPr>
              <w:t>周边</w:t>
            </w:r>
            <w:r>
              <w:rPr>
                <w:rFonts w:hint="default" w:ascii="Times New Roman" w:hAnsi="Times New Roman" w:cs="Times New Roman"/>
                <w:bCs/>
                <w:color w:val="auto"/>
                <w:sz w:val="24"/>
                <w:highlight w:val="none"/>
              </w:rPr>
              <w:t>主要为绿化植被和行道树。</w:t>
            </w:r>
            <w:r>
              <w:rPr>
                <w:rFonts w:hint="eastAsia" w:ascii="Times New Roman" w:hAnsi="Times New Roman" w:eastAsia="宋体" w:cs="Times New Roman"/>
                <w:color w:val="auto"/>
                <w:kern w:val="2"/>
                <w:sz w:val="24"/>
                <w:szCs w:val="24"/>
                <w:highlight w:val="none"/>
                <w:lang w:val="en-US" w:eastAsia="zh-CN" w:bidi="ar-SA"/>
              </w:rPr>
              <w:t xml:space="preserve"> </w:t>
            </w:r>
          </w:p>
          <w:p w14:paraId="5CD09921">
            <w:pPr>
              <w:keepNext w:val="0"/>
              <w:keepLines w:val="0"/>
              <w:numPr>
                <w:ilvl w:val="0"/>
                <w:numId w:val="10"/>
              </w:numPr>
              <w:suppressLineNumbers w:val="0"/>
              <w:spacing w:before="0" w:beforeAutospacing="0" w:after="0" w:afterAutospacing="0" w:line="360" w:lineRule="auto"/>
              <w:ind w:left="-60" w:leftChars="0" w:right="0" w:firstLine="480" w:firstLineChars="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sq-AL" w:eastAsia="zh-CN" w:bidi="ar-SA"/>
              </w:rPr>
              <w:t>野生动物</w:t>
            </w:r>
          </w:p>
          <w:p w14:paraId="314D5345">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在《中国动物地理划分》上，安徽省淮河以北的淮河流域属古北界华北区的黄淮平原亚区，其生态地理动物群属温带森林——森林平原、农田动物群。在组成与结构比较简单的生态境域中，动物种类比较贫乏，区域范围内有大面积塌陷，动物种类较少。 根据现场调查，本项目区域未见国家及省级重点保护的野生濒危动物</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没有大型野生动物，仅有少量鸟类、鼠类以及各种昆虫等小型动物。</w:t>
            </w:r>
          </w:p>
          <w:p w14:paraId="436D283F">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7</w:t>
            </w:r>
            <w:r>
              <w:rPr>
                <w:rFonts w:hint="eastAsia" w:ascii="Times New Roman" w:hAnsi="Times New Roman" w:eastAsia="宋体" w:cs="Times New Roman"/>
                <w:color w:val="auto"/>
                <w:kern w:val="2"/>
                <w:sz w:val="24"/>
                <w:szCs w:val="24"/>
                <w:highlight w:val="none"/>
                <w:lang w:val="sq-AL" w:eastAsia="zh-CN" w:bidi="ar-SA"/>
              </w:rPr>
              <w:t>）水生生态</w:t>
            </w:r>
          </w:p>
          <w:p w14:paraId="3D1BA1BE">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占地范围内无水体，项目周边有较多因采煤塌陷形成的水域。根据《淮南市生态环境现状调查报告》中对潘谢矿区现有塌陷水域水生生物调查的有关资料显示，现有塌陷区水域，春秋两季共有浮游藻类76属203 种，浮游动物16种，底栖动物15种。塌陷水域共有水生管束植物9种，分别为金鱼藻、喜早莲子草、狐尾藻、芦苇、荇菜、水蓼、凤眼莲和黑藻。</w:t>
            </w:r>
          </w:p>
          <w:p w14:paraId="03E9B2A1">
            <w:pPr>
              <w:keepNext w:val="0"/>
              <w:keepLines w:val="0"/>
              <w:suppressLineNumbers w:val="0"/>
              <w:spacing w:before="0" w:beforeAutospacing="0" w:after="0" w:afterAutospacing="0" w:line="360" w:lineRule="auto"/>
              <w:ind w:left="0" w:right="0" w:firstLine="482" w:firstLineChars="200"/>
              <w:rPr>
                <w:rFonts w:hint="default" w:eastAsia="宋体" w:cs="Times New Roman"/>
                <w:b/>
                <w:color w:val="auto"/>
                <w:sz w:val="24"/>
                <w:lang w:val="en-US" w:eastAsia="zh-CN"/>
              </w:rPr>
            </w:pPr>
            <w:r>
              <w:rPr>
                <w:rFonts w:hint="default" w:cs="Times New Roman"/>
                <w:b/>
                <w:bCs/>
                <w:color w:val="auto"/>
                <w:sz w:val="24"/>
              </w:rPr>
              <w:t>2、</w:t>
            </w:r>
            <w:r>
              <w:rPr>
                <w:rFonts w:hint="eastAsia" w:cs="Times New Roman"/>
                <w:b/>
                <w:bCs/>
                <w:color w:val="auto"/>
                <w:sz w:val="24"/>
                <w:lang w:val="en-US" w:eastAsia="zh-CN"/>
              </w:rPr>
              <w:t>地形地貌</w:t>
            </w:r>
          </w:p>
          <w:p w14:paraId="153D8C2A">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市境在构造单元上属于中朝准地台淮河台坳淮南陷褶断带（即华北地台豫淮褶皱带）东部的淮南复向斜。东界为郯庐断裂，西临周口坳陷，北接蚌埠隆起，南邻合肥坳陷，南北为洞山断裂和刘府断裂夹持。区内构造以北西西向构造占主导地位，受后期强烈改造，但总体形态变化不大，复式向斜内次一级褶皱及断裂发育。地质演化历史可分为前震旦纪、震旦纪—三叠纪、侏罗纪—第四纪3个阶段，前震旦纪，淮南地壳处于活动阶段；震旦纪—三叠纪属于剧烈运动时期，先后经历了蚌埠、凤阳、皖南、加里东、华西力、印支等运动。其间地壳几度隆起沉降，形成了海陆交互相地层。特别是晚石炭纪和二叠纪时期海陆交互相的沉积环境，为煤炭资源的生成提供了良好条件，从而形成了境内大量的煤炭资源。侏罗纪—第四纪，经过燕山运动和喜马拉雅运动，逐渐塑造出了今天的地貌特征。</w:t>
            </w:r>
          </w:p>
          <w:p w14:paraId="497B8513">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凤台县</w:t>
            </w:r>
            <w:r>
              <w:rPr>
                <w:rFonts w:hint="default" w:cs="Times New Roman"/>
                <w:bCs/>
                <w:snapToGrid w:val="0"/>
                <w:color w:val="auto"/>
                <w:sz w:val="24"/>
              </w:rPr>
              <w:t>呈东南、西北向倾斜，南北长50km，东西宽42km，</w:t>
            </w:r>
            <w:r>
              <w:rPr>
                <w:rFonts w:hint="default" w:cs="Times New Roman"/>
                <w:color w:val="auto"/>
                <w:sz w:val="24"/>
              </w:rPr>
              <w:t>地势自西北向东南倾斜，海拔19.45~40m，坡降1/7000~10000，</w:t>
            </w:r>
            <w:r>
              <w:rPr>
                <w:rFonts w:hint="default" w:cs="Times New Roman"/>
                <w:bCs/>
                <w:snapToGrid w:val="0"/>
                <w:color w:val="auto"/>
                <w:sz w:val="24"/>
              </w:rPr>
              <w:t>淮河、茨淮新河、西淝河等穿境而过，国土面积</w:t>
            </w:r>
            <w:r>
              <w:rPr>
                <w:rFonts w:hint="default" w:eastAsia="仿宋_GB2312" w:cs="Times New Roman"/>
                <w:color w:val="auto"/>
                <w:sz w:val="24"/>
              </w:rPr>
              <w:t>841.67</w:t>
            </w:r>
            <w:r>
              <w:rPr>
                <w:rFonts w:hint="default" w:cs="Times New Roman"/>
                <w:bCs/>
                <w:snapToGrid w:val="0"/>
                <w:color w:val="auto"/>
                <w:sz w:val="24"/>
              </w:rPr>
              <w:t>km</w:t>
            </w:r>
            <w:r>
              <w:rPr>
                <w:rFonts w:hint="default" w:cs="Times New Roman"/>
                <w:bCs/>
                <w:snapToGrid w:val="0"/>
                <w:color w:val="auto"/>
                <w:sz w:val="24"/>
                <w:vertAlign w:val="superscript"/>
              </w:rPr>
              <w:t>2</w:t>
            </w:r>
            <w:r>
              <w:rPr>
                <w:rFonts w:hint="default" w:cs="Times New Roman"/>
                <w:bCs/>
                <w:snapToGrid w:val="0"/>
                <w:color w:val="auto"/>
                <w:sz w:val="24"/>
              </w:rPr>
              <w:t>。</w:t>
            </w:r>
            <w:r>
              <w:rPr>
                <w:rFonts w:hint="default" w:cs="Times New Roman"/>
                <w:color w:val="auto"/>
                <w:sz w:val="24"/>
              </w:rPr>
              <w:t>因河流变迁，交替沉积和黄淮泛滥侵蚀堆积，加之人为活动影响，形成“大平小不平”地貌特征；淮河以北属淮北平原，淮河与西淝河-花家湖两岸为0.5~2km河漫滩涂；西淝河与淮河入口处，汛期受淮河洪峰顶托向西南泛滥并反复冲刷，河面扩展坡浅，形成董峰湖河口湾地。淮河南岸与江淮丘陵衔接，局部为石灰岩残丘，山脊自东向西，为剥蚀构造的低山丘陵类型。</w:t>
            </w:r>
          </w:p>
          <w:p w14:paraId="1D47FE60">
            <w:pPr>
              <w:keepNext w:val="0"/>
              <w:keepLines w:val="0"/>
              <w:suppressLineNumbers w:val="0"/>
              <w:spacing w:before="0" w:beforeAutospacing="0" w:after="0" w:afterAutospacing="0" w:line="360" w:lineRule="auto"/>
              <w:ind w:left="0" w:right="0" w:firstLine="480" w:firstLineChars="200"/>
              <w:rPr>
                <w:rFonts w:hint="default" w:cs="Times New Roman"/>
                <w:bCs/>
                <w:snapToGrid w:val="0"/>
                <w:color w:val="auto"/>
                <w:sz w:val="24"/>
              </w:rPr>
            </w:pPr>
            <w:r>
              <w:rPr>
                <w:rFonts w:hint="default" w:cs="Times New Roman"/>
                <w:color w:val="auto"/>
                <w:sz w:val="24"/>
              </w:rPr>
              <w:t>凤台县属淮河台彻，长期受下降运动控制，地面大部分被第四系覆盖，仅淮河南岸大山镇、凤台林场、县城西部刘集乡一带，出露元古界和古生界地层；构造形迹以断裂构造为主，且多隐伏于第四系之下；尚塘断裂带东西走向，向北倾斜，倾角70</w:t>
            </w:r>
            <w:r>
              <w:rPr>
                <w:rFonts w:hint="default" w:cs="Times New Roman"/>
                <w:bCs/>
                <w:snapToGrid w:val="0"/>
                <w:color w:val="auto"/>
                <w:sz w:val="24"/>
              </w:rPr>
              <w:t>°</w:t>
            </w:r>
            <w:r>
              <w:rPr>
                <w:rFonts w:hint="default" w:cs="Times New Roman"/>
                <w:color w:val="auto"/>
                <w:sz w:val="24"/>
              </w:rPr>
              <w:t>，为刘府断裂带的组成部分，县境长15km，西自利辛县入境，北延蒙城县境内；桂集向斜，为淮南复式向斜之一部，以桂集为中心，向东西至县界，境内长30km，大部分为第四系覆盖；丁集背斜是潘集背斜向西北延伸部分，境内长14km左右，西北走向，轴部在西北部倾斜</w:t>
            </w:r>
            <w:r>
              <w:rPr>
                <w:rFonts w:hint="default" w:cs="Times New Roman"/>
                <w:bCs/>
                <w:snapToGrid w:val="0"/>
                <w:color w:val="auto"/>
                <w:sz w:val="24"/>
              </w:rPr>
              <w:t>。</w:t>
            </w:r>
          </w:p>
          <w:p w14:paraId="7D96F6EC">
            <w:pPr>
              <w:keepNext w:val="0"/>
              <w:keepLines w:val="0"/>
              <w:suppressLineNumbers w:val="0"/>
              <w:spacing w:before="0" w:beforeAutospacing="0" w:after="0" w:afterAutospacing="0" w:line="360" w:lineRule="auto"/>
              <w:ind w:left="0" w:right="0" w:firstLine="482" w:firstLineChars="200"/>
              <w:rPr>
                <w:rFonts w:hint="default" w:cs="Times New Roman"/>
                <w:b/>
                <w:color w:val="auto"/>
                <w:sz w:val="24"/>
              </w:rPr>
            </w:pPr>
            <w:r>
              <w:rPr>
                <w:rFonts w:hint="default" w:cs="Times New Roman"/>
                <w:b/>
                <w:color w:val="auto"/>
                <w:sz w:val="24"/>
              </w:rPr>
              <w:t>3、气候、气象</w:t>
            </w:r>
          </w:p>
          <w:p w14:paraId="3AB0EE5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项目所在地</w:t>
            </w:r>
            <w:r>
              <w:rPr>
                <w:rFonts w:hint="default" w:ascii="Times New Roman" w:hAnsi="Times New Roman" w:eastAsia="宋体" w:cs="Times New Roman"/>
                <w:color w:val="auto"/>
                <w:sz w:val="24"/>
              </w:rPr>
              <w:t>属于暖温带半湿润季风气候区。气候特征主要表现为：春温多变，夏雨集中，秋高气爽，冬季干冷，季风显著，四季分明。</w:t>
            </w:r>
          </w:p>
          <w:p w14:paraId="7CE1E6D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据淮南市气象台资料：多年平均气温15.5℃，极端最高气温41.4℃（1959年8月24日），极端</w:t>
            </w:r>
            <w:r>
              <w:rPr>
                <w:rFonts w:hint="eastAsia" w:ascii="Times New Roman" w:hAnsi="Times New Roman" w:eastAsia="宋体" w:cs="Times New Roman"/>
                <w:color w:val="auto"/>
                <w:sz w:val="24"/>
                <w:lang w:eastAsia="zh-CN"/>
              </w:rPr>
              <w:t>最低</w:t>
            </w:r>
            <w:r>
              <w:rPr>
                <w:rFonts w:hint="default" w:ascii="Times New Roman" w:hAnsi="Times New Roman" w:eastAsia="宋体" w:cs="Times New Roman"/>
                <w:color w:val="auto"/>
                <w:sz w:val="24"/>
              </w:rPr>
              <w:t>气温-22.8℃（1966年1月31日）；多年平均降水量为928mm，最大年降水量1723.5mm，最小年降水量471.9mm，降水主要集中在每年的6~8月，约占全年降水量的45%；多年平均蒸发量1610.14mm（水面），最大年2008.1mm（1958 年），最小年1261.2mm（1980年）；多年平均相对湿度72％；全年日照时数最多年份为2609.9小时，最少年份为1960.8小时，平均为2279.2小时；年平均风速在1.9～3.7米/秒之间，平均值是2.8米/秒；无霜期最长261天，最短179天，平均223.7天。</w:t>
            </w:r>
          </w:p>
          <w:p w14:paraId="3B1AE9B9">
            <w:pPr>
              <w:keepNext w:val="0"/>
              <w:keepLines w:val="0"/>
              <w:suppressLineNumbers w:val="0"/>
              <w:spacing w:before="0" w:beforeAutospacing="0" w:after="0" w:afterAutospacing="0" w:line="360" w:lineRule="auto"/>
              <w:ind w:left="0" w:right="0" w:firstLine="482" w:firstLineChars="200"/>
              <w:rPr>
                <w:rFonts w:hint="default" w:cs="Times New Roman"/>
                <w:b/>
                <w:color w:val="auto"/>
                <w:sz w:val="24"/>
              </w:rPr>
            </w:pPr>
            <w:r>
              <w:rPr>
                <w:rFonts w:hint="default" w:cs="Times New Roman"/>
                <w:b/>
                <w:color w:val="auto"/>
                <w:sz w:val="24"/>
              </w:rPr>
              <w:t>4、水文状况</w:t>
            </w:r>
          </w:p>
          <w:p w14:paraId="0C259276">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凤台县地表水系属淮河流域，</w:t>
            </w:r>
            <w:r>
              <w:rPr>
                <w:rFonts w:hint="default" w:cs="Times New Roman"/>
                <w:color w:val="auto"/>
                <w:spacing w:val="2"/>
                <w:sz w:val="24"/>
              </w:rPr>
              <w:t>淮河1~3级支流</w:t>
            </w:r>
            <w:r>
              <w:rPr>
                <w:rFonts w:hint="default" w:cs="Times New Roman"/>
                <w:color w:val="auto"/>
                <w:sz w:val="24"/>
              </w:rPr>
              <w:t>10条、湖泊3处，其中：跨界淮河干支流5条、跨界淮河旁侧湖泊2处；此外，还有新集、张集、顾桥矿区采煤塌陷水域，总积水面积105.84km</w:t>
            </w:r>
            <w:r>
              <w:rPr>
                <w:rFonts w:hint="default" w:cs="Times New Roman"/>
                <w:color w:val="auto"/>
                <w:sz w:val="24"/>
                <w:vertAlign w:val="superscript"/>
              </w:rPr>
              <w:t>2</w:t>
            </w:r>
            <w:r>
              <w:rPr>
                <w:rFonts w:hint="default" w:cs="Times New Roman"/>
                <w:color w:val="auto"/>
                <w:sz w:val="24"/>
              </w:rPr>
              <w:t>。</w:t>
            </w:r>
          </w:p>
          <w:p w14:paraId="006A6E15">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淮河：淮河由陆家沟口入凤台县境，至永幸河闸口以下分南北岔，北岔入市境潘集区，南岔入市境八公山区，境内长32.6km（总长37.7km），平均河宽420m，南岔平均河宽330m，北岔平均河宽310m。淮南市辖淮河入境鲁台孜水文站，1960年前最低水位14.68m（1953年6月19日）、最高水位26.00m（1954年7月27日），1961~2000年最低水位15.1m（1978年11月8日）、最高水位26.00m（1991年7月13日），最大流量12800m</w:t>
            </w:r>
            <w:r>
              <w:rPr>
                <w:rFonts w:hint="default" w:cs="Times New Roman"/>
                <w:color w:val="auto"/>
                <w:sz w:val="24"/>
                <w:vertAlign w:val="superscript"/>
              </w:rPr>
              <w:t>3</w:t>
            </w:r>
            <w:r>
              <w:rPr>
                <w:rFonts w:hint="default" w:cs="Times New Roman"/>
                <w:color w:val="auto"/>
                <w:sz w:val="24"/>
              </w:rPr>
              <w:t>/s（1950年7月18日），最小流量0（1979年1月1日）。市辖淮河干流，90%保证率，多年平均流量300m</w:t>
            </w:r>
            <w:r>
              <w:rPr>
                <w:rFonts w:hint="default" w:cs="Times New Roman"/>
                <w:color w:val="auto"/>
                <w:sz w:val="24"/>
                <w:vertAlign w:val="superscript"/>
              </w:rPr>
              <w:t>3</w:t>
            </w:r>
            <w:r>
              <w:rPr>
                <w:rFonts w:hint="default" w:cs="Times New Roman"/>
                <w:color w:val="auto"/>
                <w:sz w:val="24"/>
              </w:rPr>
              <w:t>/s，多年最枯月平均流量20m</w:t>
            </w:r>
            <w:r>
              <w:rPr>
                <w:rFonts w:hint="default" w:cs="Times New Roman"/>
                <w:color w:val="auto"/>
                <w:sz w:val="24"/>
                <w:vertAlign w:val="superscript"/>
              </w:rPr>
              <w:t>3</w:t>
            </w:r>
            <w:r>
              <w:rPr>
                <w:rFonts w:hint="default" w:cs="Times New Roman"/>
                <w:color w:val="auto"/>
                <w:sz w:val="24"/>
              </w:rPr>
              <w:t>/s；多年平均含砂量0.581kg/m</w:t>
            </w:r>
            <w:r>
              <w:rPr>
                <w:rFonts w:hint="default" w:cs="Times New Roman"/>
                <w:color w:val="auto"/>
                <w:sz w:val="24"/>
                <w:vertAlign w:val="superscript"/>
              </w:rPr>
              <w:t>3</w:t>
            </w:r>
            <w:r>
              <w:rPr>
                <w:rFonts w:hint="default" w:cs="Times New Roman"/>
                <w:color w:val="auto"/>
                <w:sz w:val="24"/>
              </w:rPr>
              <w:t>，最大含砂量17.2kg/m</w:t>
            </w:r>
            <w:r>
              <w:rPr>
                <w:rFonts w:hint="default" w:cs="Times New Roman"/>
                <w:color w:val="auto"/>
                <w:sz w:val="24"/>
                <w:vertAlign w:val="superscript"/>
              </w:rPr>
              <w:t>3</w:t>
            </w:r>
            <w:r>
              <w:rPr>
                <w:rFonts w:hint="default" w:cs="Times New Roman"/>
                <w:color w:val="auto"/>
                <w:sz w:val="24"/>
              </w:rPr>
              <w:t>，最小含砂量0.002kg/m</w:t>
            </w:r>
            <w:r>
              <w:rPr>
                <w:rFonts w:hint="default" w:cs="Times New Roman"/>
                <w:color w:val="auto"/>
                <w:sz w:val="24"/>
                <w:vertAlign w:val="superscript"/>
              </w:rPr>
              <w:t>3</w:t>
            </w:r>
            <w:r>
              <w:rPr>
                <w:rFonts w:hint="default" w:cs="Times New Roman"/>
                <w:color w:val="auto"/>
                <w:sz w:val="24"/>
              </w:rPr>
              <w:t>。</w:t>
            </w:r>
          </w:p>
          <w:p w14:paraId="332A510A">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——茨淮新河：淮河一级支流，人工河流，上起沙颍河茨淮铺，于荆山口上游入淮河，流经阜阳、利辛、蒙城、凤台、淮南、怀远四县两市，全长134.2km，流域总面积7127km</w:t>
            </w:r>
            <w:r>
              <w:rPr>
                <w:rFonts w:hint="default" w:cs="Times New Roman"/>
                <w:color w:val="auto"/>
                <w:sz w:val="24"/>
                <w:vertAlign w:val="superscript"/>
              </w:rPr>
              <w:t>2</w:t>
            </w:r>
            <w:r>
              <w:rPr>
                <w:rFonts w:hint="default" w:cs="Times New Roman"/>
                <w:color w:val="auto"/>
                <w:sz w:val="24"/>
              </w:rPr>
              <w:t>；凤台县流经长31.12km，境内河宽225~375m，1995~2004年最枯月平均流量1.98m</w:t>
            </w:r>
            <w:r>
              <w:rPr>
                <w:rFonts w:hint="default" w:cs="Times New Roman"/>
                <w:color w:val="auto"/>
                <w:sz w:val="24"/>
                <w:vertAlign w:val="superscript"/>
              </w:rPr>
              <w:t>3</w:t>
            </w:r>
            <w:r>
              <w:rPr>
                <w:rFonts w:hint="default" w:cs="Times New Roman"/>
                <w:color w:val="auto"/>
                <w:sz w:val="24"/>
              </w:rPr>
              <w:t>/s。</w:t>
            </w:r>
          </w:p>
          <w:p w14:paraId="6AEA9890">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——西淝河：</w:t>
            </w:r>
            <w:r>
              <w:rPr>
                <w:rFonts w:hint="default" w:cs="Times New Roman"/>
                <w:color w:val="auto"/>
                <w:spacing w:val="-2"/>
                <w:sz w:val="24"/>
              </w:rPr>
              <w:t>淮河一级支流，全长178km，凤台县辖55.3km；流域面积4100km</w:t>
            </w:r>
            <w:r>
              <w:rPr>
                <w:rFonts w:hint="default" w:cs="Times New Roman"/>
                <w:color w:val="auto"/>
                <w:spacing w:val="-2"/>
                <w:sz w:val="24"/>
                <w:vertAlign w:val="superscript"/>
              </w:rPr>
              <w:t>2</w:t>
            </w:r>
            <w:r>
              <w:rPr>
                <w:rFonts w:hint="default" w:cs="Times New Roman"/>
                <w:color w:val="auto"/>
                <w:spacing w:val="-2"/>
                <w:sz w:val="24"/>
              </w:rPr>
              <w:t>，1972年茨淮新河开通后，实际汇水面积1609km</w:t>
            </w:r>
            <w:r>
              <w:rPr>
                <w:rFonts w:hint="default" w:cs="Times New Roman"/>
                <w:color w:val="auto"/>
                <w:spacing w:val="-2"/>
                <w:sz w:val="24"/>
                <w:vertAlign w:val="superscript"/>
              </w:rPr>
              <w:t>2</w:t>
            </w:r>
            <w:r>
              <w:rPr>
                <w:rFonts w:hint="default" w:cs="Times New Roman"/>
                <w:color w:val="auto"/>
                <w:spacing w:val="-2"/>
                <w:sz w:val="24"/>
              </w:rPr>
              <w:t>，平均河宽250m；</w:t>
            </w:r>
            <w:r>
              <w:rPr>
                <w:rFonts w:hint="default" w:cs="Times New Roman"/>
                <w:color w:val="auto"/>
                <w:sz w:val="24"/>
              </w:rPr>
              <w:t>历史最高水位：闸上24.82m（1954年7月29日），闸下25.38m（1954年7月27日）；历史最低水位：闸上14.22m（1953年6月21日），闸下13.96m（1958年7月3日）；最大流量1360m</w:t>
            </w:r>
            <w:r>
              <w:rPr>
                <w:rFonts w:hint="default" w:cs="Times New Roman"/>
                <w:color w:val="auto"/>
                <w:sz w:val="24"/>
                <w:vertAlign w:val="superscript"/>
              </w:rPr>
              <w:t>3</w:t>
            </w:r>
            <w:r>
              <w:rPr>
                <w:rFonts w:hint="default" w:cs="Times New Roman"/>
                <w:color w:val="auto"/>
                <w:sz w:val="24"/>
              </w:rPr>
              <w:t>/s，多年最枯月平均流量1.32m</w:t>
            </w:r>
            <w:r>
              <w:rPr>
                <w:rFonts w:hint="default" w:cs="Times New Roman"/>
                <w:color w:val="auto"/>
                <w:sz w:val="24"/>
                <w:vertAlign w:val="superscript"/>
              </w:rPr>
              <w:t>3</w:t>
            </w:r>
            <w:r>
              <w:rPr>
                <w:rFonts w:hint="default" w:cs="Times New Roman"/>
                <w:color w:val="auto"/>
                <w:sz w:val="24"/>
              </w:rPr>
              <w:t>/s。</w:t>
            </w:r>
          </w:p>
          <w:p w14:paraId="31F63E8A">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——岗（港）河：淮河二级支流，西淝河支流，流经全长35km，平均河宽150m；鸭子沟与岗河、架河相连。</w:t>
            </w:r>
          </w:p>
          <w:p w14:paraId="6109BDDB">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——永幸河：淮河二级支流，人工河流，流径全长46.91km，平均河宽5~10m，水深3m左右，灌溉面积600km</w:t>
            </w:r>
            <w:r>
              <w:rPr>
                <w:rFonts w:hint="default" w:cs="Times New Roman"/>
                <w:color w:val="auto"/>
                <w:sz w:val="24"/>
                <w:vertAlign w:val="superscript"/>
              </w:rPr>
              <w:t>2</w:t>
            </w:r>
            <w:r>
              <w:rPr>
                <w:rFonts w:hint="default" w:cs="Times New Roman"/>
                <w:color w:val="auto"/>
                <w:sz w:val="24"/>
              </w:rPr>
              <w:t>。</w:t>
            </w:r>
          </w:p>
          <w:p w14:paraId="2388B201">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——架河：淮河二级支流，全长29.45km，上游河宽10~20m，下游河宽1000m，戴家湖是架河的旁侧湖泊，水体与之相连；淮浙煤电</w:t>
            </w:r>
            <w:r>
              <w:rPr>
                <w:rFonts w:hint="default" w:cs="Times New Roman"/>
                <w:color w:val="auto"/>
                <w:kern w:val="0"/>
                <w:sz w:val="24"/>
              </w:rPr>
              <w:t>凤台发电厂、</w:t>
            </w:r>
            <w:r>
              <w:rPr>
                <w:rFonts w:hint="default" w:cs="Times New Roman"/>
                <w:color w:val="auto"/>
                <w:sz w:val="24"/>
              </w:rPr>
              <w:t>县污水处理厂污废水均排入架河。</w:t>
            </w:r>
          </w:p>
          <w:p w14:paraId="7AEFCF99">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——西城河：县城纳污河流，积水面积8.08hm</w:t>
            </w:r>
            <w:r>
              <w:rPr>
                <w:rFonts w:hint="default" w:cs="Times New Roman"/>
                <w:color w:val="auto"/>
                <w:sz w:val="24"/>
                <w:vertAlign w:val="superscript"/>
              </w:rPr>
              <w:t>2</w:t>
            </w:r>
            <w:r>
              <w:rPr>
                <w:rFonts w:hint="default" w:cs="Times New Roman"/>
                <w:color w:val="auto"/>
                <w:sz w:val="24"/>
              </w:rPr>
              <w:t>，县人民医院、</w:t>
            </w:r>
            <w:r>
              <w:rPr>
                <w:rFonts w:hint="default" w:cs="Times New Roman"/>
                <w:color w:val="auto"/>
                <w:kern w:val="0"/>
                <w:sz w:val="24"/>
              </w:rPr>
              <w:t>县城河医院、县中医院</w:t>
            </w:r>
            <w:r>
              <w:rPr>
                <w:rFonts w:hint="default" w:cs="Times New Roman"/>
                <w:color w:val="auto"/>
                <w:sz w:val="24"/>
              </w:rPr>
              <w:t>污水与部分居民生活污水均排入西城河。</w:t>
            </w:r>
          </w:p>
          <w:p w14:paraId="01DC3CD9">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——自然湖泊：花家湖水域面积16.78km</w:t>
            </w:r>
            <w:r>
              <w:rPr>
                <w:rFonts w:hint="default" w:cs="Times New Roman"/>
                <w:color w:val="auto"/>
                <w:sz w:val="24"/>
                <w:vertAlign w:val="superscript"/>
              </w:rPr>
              <w:t>2</w:t>
            </w:r>
            <w:r>
              <w:rPr>
                <w:rFonts w:hint="default" w:cs="Times New Roman"/>
                <w:color w:val="auto"/>
                <w:sz w:val="24"/>
              </w:rPr>
              <w:t>，县辖焦岗湖水域面积28.57km</w:t>
            </w:r>
            <w:r>
              <w:rPr>
                <w:rFonts w:hint="default" w:cs="Times New Roman"/>
                <w:color w:val="auto"/>
                <w:sz w:val="24"/>
                <w:vertAlign w:val="superscript"/>
              </w:rPr>
              <w:t>2</w:t>
            </w:r>
            <w:r>
              <w:rPr>
                <w:rFonts w:hint="default" w:cs="Times New Roman"/>
                <w:color w:val="auto"/>
                <w:sz w:val="24"/>
              </w:rPr>
              <w:t>，花家湖与西淝河相连，焦岗湖与淮河、西淝河存在水利联系。</w:t>
            </w:r>
          </w:p>
          <w:p w14:paraId="26ADEBE3">
            <w:pPr>
              <w:keepNext w:val="0"/>
              <w:keepLines w:val="0"/>
              <w:suppressLineNumbers w:val="0"/>
              <w:spacing w:before="0" w:beforeAutospacing="0" w:after="0" w:afterAutospacing="0" w:line="360" w:lineRule="auto"/>
              <w:ind w:left="0" w:right="0" w:firstLine="482" w:firstLineChars="200"/>
              <w:rPr>
                <w:rFonts w:hint="eastAsia" w:ascii="Times New Roman" w:hAnsi="Times New Roman" w:eastAsia="宋体" w:cs="Times New Roman"/>
                <w:b/>
                <w:color w:val="auto"/>
                <w:sz w:val="24"/>
              </w:rPr>
            </w:pPr>
            <w:r>
              <w:rPr>
                <w:rFonts w:hint="eastAsia" w:ascii="Times New Roman" w:hAnsi="Times New Roman" w:eastAsia="宋体" w:cs="Times New Roman"/>
                <w:b/>
                <w:color w:val="auto"/>
                <w:sz w:val="24"/>
                <w:lang w:val="en-US" w:eastAsia="zh-CN"/>
              </w:rPr>
              <w:t>5、</w:t>
            </w:r>
            <w:r>
              <w:rPr>
                <w:rFonts w:hint="eastAsia" w:ascii="Times New Roman" w:hAnsi="Times New Roman" w:eastAsia="宋体" w:cs="Times New Roman"/>
                <w:b/>
                <w:color w:val="auto"/>
                <w:sz w:val="24"/>
              </w:rPr>
              <w:t>井田地质及水文地质</w:t>
            </w:r>
          </w:p>
          <w:p w14:paraId="23E8AE19">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bookmarkStart w:id="45" w:name="_Toc23766"/>
            <w:bookmarkStart w:id="46" w:name="_Toc513101905"/>
            <w:r>
              <w:rPr>
                <w:rFonts w:hint="eastAsia" w:ascii="Times New Roman" w:hAnsi="Times New Roman" w:eastAsia="宋体" w:cs="Times New Roman"/>
                <w:color w:val="auto"/>
                <w:sz w:val="24"/>
                <w:lang w:val="en-US" w:eastAsia="zh-CN"/>
              </w:rPr>
              <w:t>1）</w:t>
            </w:r>
            <w:r>
              <w:rPr>
                <w:rFonts w:hint="eastAsia" w:ascii="Times New Roman" w:hAnsi="Times New Roman" w:eastAsia="宋体" w:cs="Times New Roman"/>
                <w:color w:val="auto"/>
                <w:sz w:val="24"/>
              </w:rPr>
              <w:t>井田地质</w:t>
            </w:r>
            <w:bookmarkEnd w:id="45"/>
            <w:bookmarkEnd w:id="46"/>
          </w:p>
          <w:p w14:paraId="201C5C15">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地层：井田区新生界地层厚390.35～509.10m，直接覆盖在二叠纪及灰岩地层上，总体趋势东南薄，西北厚。</w:t>
            </w:r>
          </w:p>
          <w:p w14:paraId="56BC78F7">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二叠系地层较为发育，为淮南矿区的主要含煤地层，底部以海相泥岩与太原组分界，本系与下伏太原组为整合关系，厚度大于954m。其中山西组、上、下石盒子组含煤地层厚734m。本矿井内揭露厚度约506.7m，含煤20余层，煤层总厚27.68m，可分六个含煤段。</w:t>
            </w:r>
          </w:p>
          <w:p w14:paraId="4D8F4654">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太原组地层厚99.99m～129.11m，平均113.99m，含薄层灰岩10～13层。主要由灰岩、页岩、砂岩和薄煤层组成。</w:t>
            </w:r>
          </w:p>
          <w:p w14:paraId="572FC37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奥陶系地层厚48.70～92.50m，平均67.34m，为灰～深灰色厚层状白云质灰岩及少量砾状灰岩，顶部夹灰绿色铝土团块，裂隙多呈闭合状，局部裂隙面可见泥、钙质薄膜或方解石脉。</w:t>
            </w:r>
          </w:p>
          <w:p w14:paraId="2A6CFCC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煤层：共有可采煤层8层，平均可采总厚22.61m。其中主要稳定可采煤层5层：13-1、11-2、8、6-2、1煤，平均总厚</w:t>
            </w:r>
            <w:r>
              <w:rPr>
                <w:rFonts w:hint="eastAsia" w:ascii="Times New Roman" w:hAnsi="Times New Roman" w:eastAsia="宋体" w:cs="Times New Roman"/>
                <w:color w:val="auto"/>
                <w:sz w:val="24"/>
                <w:lang w:val="en-US" w:eastAsia="zh-CN"/>
              </w:rPr>
              <w:t>20.84</w:t>
            </w:r>
            <w:r>
              <w:rPr>
                <w:rFonts w:hint="eastAsia" w:ascii="Times New Roman" w:hAnsi="Times New Roman" w:eastAsia="宋体" w:cs="Times New Roman"/>
                <w:color w:val="auto"/>
                <w:sz w:val="24"/>
              </w:rPr>
              <w:t>m，占可采煤层总厚的90%；8煤为全区较稳定煤层，可采区内属稳定煤层；次要不稳定的可采煤层3层：13-1下、7-2、4-1煤，平均总厚2.24m，占可采煤层总厚的10%，其中7-2煤在可采区内属较稳定煤层。</w:t>
            </w:r>
          </w:p>
          <w:p w14:paraId="0644E52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bookmarkStart w:id="47" w:name="_Toc19650"/>
            <w:bookmarkStart w:id="48" w:name="_Toc513101906"/>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rPr>
              <w:t>井田水文地质</w:t>
            </w:r>
            <w:bookmarkEnd w:id="47"/>
            <w:bookmarkEnd w:id="48"/>
          </w:p>
          <w:p w14:paraId="3A606B1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顾北井田含水层（组）主要有新生界松散砂层孔隙含水层、二叠系砂岩裂隙含水层和石炭系太原组及奥陶系石灰岩岩溶裂隙含水层四部分组成。</w:t>
            </w:r>
          </w:p>
          <w:p w14:paraId="640D4F9E">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新生界松散砂层孔隙含水层：区内松散层自上而下可分为上部含水层（组）、上部隔水层、中部含水层（组）、中部隔水层、下部含水层（组）、下部隔水层及底部“红层”。</w:t>
            </w:r>
          </w:p>
          <w:p w14:paraId="62BE9C72">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二叠系砂岩裂隙含水层：以中细砂岩为主，局部粗砂岩和石英质砂岩，岩性变化大，厚度不稳定，多泥、钙质胶结。裂隙发育程度不均。属静储量为主的弱含水性特征。</w:t>
            </w:r>
          </w:p>
          <w:p w14:paraId="0F4FDE8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石炭系太原组岩溶裂隙含水层：太原组地层厚99.99m～129.11m，平均113.99m，含薄层灰岩10～13层。太原组灰岩含水层(组)属承压水，根据岩性岩相和富水性综合分析，将太原组灰岩分成三个含水组：C3Ⅰ灰岩含水组（1～3下灰）、C3Ⅱ灰岩含水组（4～9灰）、C3Ⅲ灰岩含水组（10～12灰）。C3Ⅰ灰岩含水组厚度23.60～42.10m,平均34.22m，C3Ⅱ灰岩含水组厚度20.10～39.50m，平均28.03m，C3Ⅲ灰岩含水组厚度厚16.00～27.85m,平均19.80m。太原组灰岩岩溶裂隙发育不均一，富水性强弱还取决于岩溶发育程度。</w:t>
            </w:r>
          </w:p>
          <w:p w14:paraId="6BBC5D44">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C3Ⅰ组灰岩含水层：水位标高+0.73～+20.87m，单位涌水量q=0.00021～0.261L/（s.m），渗透系数K=0.000563～2.237m/d，为弱～中等富水性。</w:t>
            </w:r>
          </w:p>
          <w:p w14:paraId="1010D052">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C3Ⅱ组灰岩含水层：水位标高+7.25～+7.83m，单位涌水量q=0.00064～0.00189L/(s.m)，渗透系数K=0.0019～0.0078m/d，为弱富水性。</w:t>
            </w:r>
          </w:p>
          <w:p w14:paraId="0725CFC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C3Ⅲ组灰岩含水层：水位标高+4.96～+7.62m，单位涌水量q=0.000376～0.00677L/(s.m)，渗透系数K=0.00201～0.0379m/d,为弱富水性。</w:t>
            </w:r>
          </w:p>
          <w:p w14:paraId="7BFF571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奥陶系岩溶裂隙含水层：奥陶系地层厚48.70～92.50m，平均67.34m，为灰～深灰色厚层状白云质灰岩及少量砾状灰岩，顶部夹灰绿色铝土团块，裂隙多呈闭合状，局部裂隙面可见泥、钙质薄膜或方解石脉。奥灰岩溶在中下部比较发育，因岩溶裂隙发育的不均一性，各处富水性相差悬殊。水位标高</w:t>
            </w:r>
            <w:r>
              <w:rPr>
                <w:rFonts w:hint="eastAsia" w:ascii="Times New Roman" w:hAnsi="Times New Roman" w:eastAsia="宋体" w:cs="Times New Roman"/>
                <w:color w:val="auto"/>
                <w:sz w:val="24"/>
                <w:lang w:val="en-US" w:eastAsia="zh-CN"/>
              </w:rPr>
              <w:t>-20</w:t>
            </w:r>
            <w:r>
              <w:rPr>
                <w:rFonts w:hint="eastAsia" w:ascii="Times New Roman" w:hAnsi="Times New Roman" w:eastAsia="宋体" w:cs="Times New Roman"/>
                <w:color w:val="auto"/>
                <w:sz w:val="24"/>
              </w:rPr>
              <w:t>m</w:t>
            </w:r>
            <w:r>
              <w:rPr>
                <w:rFonts w:hint="eastAsia" w:ascii="Times New Roman" w:hAnsi="Times New Roman" w:eastAsia="宋体" w:cs="Times New Roman"/>
                <w:color w:val="auto"/>
                <w:sz w:val="24"/>
                <w:lang w:val="en-US" w:eastAsia="zh-CN"/>
              </w:rPr>
              <w:t>左右</w:t>
            </w:r>
            <w:r>
              <w:rPr>
                <w:rFonts w:hint="eastAsia" w:ascii="Times New Roman" w:hAnsi="Times New Roman" w:eastAsia="宋体" w:cs="Times New Roman"/>
                <w:color w:val="auto"/>
                <w:sz w:val="24"/>
              </w:rPr>
              <w:t>,单位涌水量q=0.000701～0.763L/(s.m),为弱～中等富水性。</w:t>
            </w:r>
          </w:p>
          <w:p w14:paraId="08BA8753">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1煤层距离太原组灰岩一般为11.17～29.48m，平均18.32m。正常情况下与煤系地层无水力联系，但</w:t>
            </w:r>
            <w:r>
              <w:rPr>
                <w:rFonts w:hint="eastAsia" w:ascii="Times New Roman" w:hAnsi="Times New Roman" w:eastAsia="宋体" w:cs="Times New Roman"/>
                <w:color w:val="auto"/>
                <w:sz w:val="24"/>
                <w:lang w:val="en-US" w:eastAsia="zh-CN"/>
              </w:rPr>
              <w:t>二</w:t>
            </w:r>
            <w:r>
              <w:rPr>
                <w:rFonts w:hint="eastAsia" w:ascii="Times New Roman" w:hAnsi="Times New Roman" w:eastAsia="宋体" w:cs="Times New Roman"/>
                <w:color w:val="auto"/>
                <w:sz w:val="24"/>
              </w:rPr>
              <w:t>水平（-</w:t>
            </w:r>
            <w:r>
              <w:rPr>
                <w:rFonts w:hint="eastAsia" w:ascii="Times New Roman" w:hAnsi="Times New Roman" w:eastAsia="宋体" w:cs="Times New Roman"/>
                <w:color w:val="auto"/>
                <w:sz w:val="24"/>
                <w:lang w:val="en-US" w:eastAsia="zh-CN"/>
              </w:rPr>
              <w:t>800</w:t>
            </w:r>
            <w:r>
              <w:rPr>
                <w:rFonts w:hint="eastAsia" w:ascii="Times New Roman" w:hAnsi="Times New Roman" w:eastAsia="宋体" w:cs="Times New Roman"/>
                <w:color w:val="auto"/>
                <w:sz w:val="24"/>
              </w:rPr>
              <w:t>m水平）的灰岩水头压力约</w:t>
            </w:r>
            <w:r>
              <w:rPr>
                <w:rFonts w:hint="eastAsia" w:ascii="Times New Roman" w:hAnsi="Times New Roman" w:eastAsia="宋体" w:cs="Times New Roman"/>
                <w:color w:val="auto"/>
                <w:sz w:val="24"/>
                <w:lang w:val="en-US" w:eastAsia="zh-CN"/>
              </w:rPr>
              <w:t>8.0</w:t>
            </w:r>
            <w:r>
              <w:rPr>
                <w:rFonts w:hint="eastAsia" w:ascii="Times New Roman" w:hAnsi="Times New Roman" w:eastAsia="宋体" w:cs="Times New Roman"/>
                <w:color w:val="auto"/>
                <w:sz w:val="24"/>
              </w:rPr>
              <w:t>MPa，超过1煤底部岩层允许承受的最大水压值，因此，太原组灰岩是1煤底板直接充水含水层，尤其是煤层与灰岩对口的断层带，往往是1煤底板突水的直接通道。区域资料表明，底部奥灰水可因断层或其它因素导致其直接与太灰含水组发生水力联系。因此，1煤层底板灰岩水对矿井开采1煤层构成安全威胁。</w:t>
            </w:r>
          </w:p>
          <w:p w14:paraId="0653384F">
            <w:pPr>
              <w:keepNext w:val="0"/>
              <w:keepLines w:val="0"/>
              <w:suppressLineNumbers w:val="0"/>
              <w:spacing w:before="0" w:beforeAutospacing="0" w:after="0" w:afterAutospacing="0" w:line="360" w:lineRule="auto"/>
              <w:ind w:left="0" w:right="0"/>
              <w:rPr>
                <w:rFonts w:hint="default" w:ascii="Times New Roman" w:hAnsi="Times New Roman" w:cs="Times New Roman"/>
                <w:b/>
                <w:bCs/>
                <w:color w:val="auto"/>
                <w:sz w:val="24"/>
              </w:rPr>
            </w:pPr>
            <w:r>
              <w:rPr>
                <w:rFonts w:hint="default" w:ascii="Times New Roman" w:hAnsi="Times New Roman" w:cs="Times New Roman"/>
                <w:b/>
                <w:bCs/>
                <w:color w:val="auto"/>
                <w:sz w:val="24"/>
              </w:rPr>
              <w:t>环境质量现状</w:t>
            </w:r>
          </w:p>
          <w:p w14:paraId="36D6E310">
            <w:pPr>
              <w:keepNext w:val="0"/>
              <w:keepLines w:val="0"/>
              <w:suppressLineNumbers w:val="0"/>
              <w:adjustRightInd w:val="0"/>
              <w:spacing w:before="0" w:beforeAutospacing="0" w:after="0" w:afterAutospacing="0" w:line="360" w:lineRule="auto"/>
              <w:ind w:left="0" w:right="0" w:firstLine="482" w:firstLineChars="200"/>
              <w:rPr>
                <w:rFonts w:hint="default" w:cs="Times New Roman"/>
                <w:bCs/>
                <w:color w:val="auto"/>
                <w:sz w:val="24"/>
              </w:rPr>
            </w:pPr>
            <w:r>
              <w:rPr>
                <w:rFonts w:hint="default" w:cs="Times New Roman"/>
                <w:b/>
                <w:bCs/>
                <w:color w:val="auto"/>
                <w:sz w:val="24"/>
              </w:rPr>
              <w:t>1、大气环境质量现状</w:t>
            </w:r>
          </w:p>
          <w:p w14:paraId="73D5280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snapToGrid w:val="0"/>
                <w:color w:val="auto"/>
                <w:spacing w:val="-2"/>
                <w:sz w:val="24"/>
                <w:szCs w:val="24"/>
              </w:rPr>
            </w:pPr>
            <w:r>
              <w:rPr>
                <w:rFonts w:hint="default" w:ascii="Times New Roman" w:hAnsi="Times New Roman" w:eastAsia="宋体" w:cs="Times New Roman"/>
                <w:color w:val="auto"/>
                <w:sz w:val="24"/>
                <w:szCs w:val="24"/>
              </w:rPr>
              <w:t>选用</w:t>
            </w:r>
            <w:r>
              <w:rPr>
                <w:rFonts w:hint="default" w:ascii="Times New Roman" w:hAnsi="Times New Roman" w:eastAsia="宋体" w:cs="Times New Roman"/>
                <w:snapToGrid w:val="0"/>
                <w:color w:val="auto"/>
                <w:spacing w:val="-2"/>
                <w:sz w:val="24"/>
                <w:szCs w:val="24"/>
              </w:rPr>
              <w:t>淮南市生态环境局发布的《</w:t>
            </w:r>
            <w:r>
              <w:rPr>
                <w:rFonts w:hint="eastAsia" w:cs="Times New Roman"/>
                <w:snapToGrid w:val="0"/>
                <w:color w:val="auto"/>
                <w:spacing w:val="-2"/>
                <w:sz w:val="24"/>
                <w:szCs w:val="24"/>
                <w:lang w:eastAsia="zh-CN"/>
              </w:rPr>
              <w:t>2025年淮南市生态环境质量状况公报</w:t>
            </w:r>
            <w:r>
              <w:rPr>
                <w:rFonts w:hint="default" w:ascii="Times New Roman" w:hAnsi="Times New Roman" w:eastAsia="宋体" w:cs="Times New Roman"/>
                <w:snapToGrid w:val="0"/>
                <w:color w:val="auto"/>
                <w:spacing w:val="-2"/>
                <w:sz w:val="24"/>
                <w:szCs w:val="24"/>
              </w:rPr>
              <w:t>》</w:t>
            </w:r>
            <w:r>
              <w:rPr>
                <w:rFonts w:hint="default" w:ascii="Times New Roman" w:hAnsi="Times New Roman" w:eastAsia="宋体" w:cs="Times New Roman"/>
                <w:color w:val="auto"/>
                <w:sz w:val="24"/>
                <w:szCs w:val="24"/>
              </w:rPr>
              <w:t>中的结论，</w:t>
            </w:r>
            <w:r>
              <w:rPr>
                <w:rFonts w:hint="default" w:ascii="Times New Roman" w:hAnsi="Times New Roman" w:eastAsia="宋体" w:cs="Times New Roman"/>
                <w:snapToGrid w:val="0"/>
                <w:color w:val="auto"/>
                <w:spacing w:val="-2"/>
                <w:sz w:val="24"/>
                <w:szCs w:val="24"/>
              </w:rPr>
              <w:t>环境空气质量状况如下：</w:t>
            </w:r>
          </w:p>
          <w:p w14:paraId="7275491C">
            <w:pPr>
              <w:keepNext w:val="0"/>
              <w:keepLines w:val="0"/>
              <w:suppressLineNumbers w:val="0"/>
              <w:autoSpaceDE w:val="0"/>
              <w:autoSpaceDN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①基本污染物环境质量现状</w:t>
            </w:r>
          </w:p>
          <w:p w14:paraId="2E3A56A2">
            <w:pPr>
              <w:pStyle w:val="24"/>
              <w:keepNext w:val="0"/>
              <w:keepLines w:val="0"/>
              <w:suppressLineNumbers w:val="0"/>
              <w:shd w:val="clear" w:color="auto" w:fill="FFFFFF"/>
              <w:spacing w:before="0" w:beforeAutospacing="0" w:after="0" w:afterAutospacing="0" w:line="360" w:lineRule="auto"/>
              <w:ind w:left="0" w:right="0" w:firstLine="420"/>
              <w:jc w:val="both"/>
              <w:rPr>
                <w:rFonts w:hint="eastAsia" w:ascii="Times New Roman" w:hAnsi="Times New Roman" w:cs="Times New Roman"/>
                <w:snapToGrid w:val="0"/>
                <w:color w:val="auto"/>
                <w:spacing w:val="-2"/>
                <w:kern w:val="2"/>
                <w:szCs w:val="24"/>
                <w:lang w:val="en-US" w:eastAsia="zh-CN"/>
              </w:rPr>
            </w:pPr>
            <w:r>
              <w:rPr>
                <w:rFonts w:hint="eastAsia" w:ascii="Times New Roman" w:hAnsi="Times New Roman" w:cs="Times New Roman"/>
                <w:snapToGrid w:val="0"/>
                <w:color w:val="auto"/>
                <w:spacing w:val="-2"/>
                <w:kern w:val="2"/>
                <w:szCs w:val="24"/>
                <w:lang w:val="en-US" w:eastAsia="zh-CN"/>
              </w:rPr>
              <w:t>2025年，全市环境空气质量一级（优）97天，二级（良）203天，三级（轻度污染）56天，四级（中度污染）6天，五级(重度污染)2天，六级（严重污染）1天（由沙尘引起的重度污染1天，严重污染1天）；全市年度环境空气达标天数比例为82.2%，与上年相比增加了4.9个百分点；全市环境空气综合指数为3.62，首要污染物为细颗粒物。</w:t>
            </w:r>
          </w:p>
          <w:p w14:paraId="4A819C09">
            <w:pPr>
              <w:pStyle w:val="24"/>
              <w:keepNext w:val="0"/>
              <w:keepLines w:val="0"/>
              <w:suppressLineNumbers w:val="0"/>
              <w:shd w:val="clear" w:color="auto" w:fill="FFFFFF"/>
              <w:spacing w:before="0" w:beforeAutospacing="0" w:after="0" w:afterAutospacing="0" w:line="360" w:lineRule="auto"/>
              <w:ind w:left="0" w:right="0" w:firstLine="420"/>
              <w:jc w:val="both"/>
              <w:rPr>
                <w:rFonts w:hint="eastAsia" w:ascii="Times New Roman" w:hAnsi="Times New Roman" w:cs="Times New Roman"/>
                <w:snapToGrid w:val="0"/>
                <w:color w:val="auto"/>
                <w:spacing w:val="-2"/>
                <w:kern w:val="2"/>
                <w:szCs w:val="24"/>
                <w:lang w:val="en-US" w:eastAsia="zh-CN"/>
              </w:rPr>
            </w:pPr>
            <w:r>
              <w:rPr>
                <w:rFonts w:hint="eastAsia" w:ascii="Times New Roman" w:hAnsi="Times New Roman" w:cs="Times New Roman"/>
                <w:snapToGrid w:val="0"/>
                <w:color w:val="auto"/>
                <w:spacing w:val="-2"/>
                <w:kern w:val="2"/>
                <w:szCs w:val="24"/>
                <w:lang w:val="en-US" w:eastAsia="zh-CN"/>
              </w:rPr>
              <w:t>细颗粒物（PM2.5）日均浓度范围为5～172微克/立方米，日均值达标率为89.5%。年均值为37.1微克/立方米，与上年相比下降了7.25个百分点。</w:t>
            </w:r>
          </w:p>
          <w:p w14:paraId="7BBDE375">
            <w:pPr>
              <w:pStyle w:val="24"/>
              <w:keepNext w:val="0"/>
              <w:keepLines w:val="0"/>
              <w:suppressLineNumbers w:val="0"/>
              <w:shd w:val="clear" w:color="auto" w:fill="FFFFFF"/>
              <w:spacing w:before="0" w:beforeAutospacing="0" w:after="0" w:afterAutospacing="0" w:line="360" w:lineRule="auto"/>
              <w:ind w:left="0" w:right="0" w:firstLine="420"/>
              <w:jc w:val="both"/>
              <w:rPr>
                <w:rFonts w:hint="eastAsia" w:ascii="Times New Roman" w:hAnsi="Times New Roman" w:cs="Times New Roman"/>
                <w:snapToGrid w:val="0"/>
                <w:color w:val="auto"/>
                <w:spacing w:val="-2"/>
                <w:kern w:val="2"/>
                <w:szCs w:val="24"/>
                <w:lang w:val="en-US" w:eastAsia="zh-CN"/>
              </w:rPr>
            </w:pPr>
            <w:r>
              <w:rPr>
                <w:rFonts w:hint="eastAsia" w:ascii="Times New Roman" w:hAnsi="Times New Roman" w:cs="Times New Roman"/>
                <w:snapToGrid w:val="0"/>
                <w:color w:val="auto"/>
                <w:spacing w:val="-2"/>
                <w:kern w:val="2"/>
                <w:szCs w:val="24"/>
                <w:lang w:val="en-US" w:eastAsia="zh-CN"/>
              </w:rPr>
              <w:t>可吸入颗粒物（PM10）日均浓度范围为7～218微克/立方米，日均值达标率为96.4%。年均值为61微克/立方米，与上年相比下降了6.2个百分点。</w:t>
            </w:r>
          </w:p>
          <w:p w14:paraId="1EB34EAF">
            <w:pPr>
              <w:pStyle w:val="24"/>
              <w:keepNext w:val="0"/>
              <w:keepLines w:val="0"/>
              <w:suppressLineNumbers w:val="0"/>
              <w:shd w:val="clear" w:color="auto" w:fill="FFFFFF"/>
              <w:spacing w:before="0" w:beforeAutospacing="0" w:after="0" w:afterAutospacing="0" w:line="360" w:lineRule="auto"/>
              <w:ind w:left="0" w:right="0" w:firstLine="420"/>
              <w:jc w:val="both"/>
              <w:rPr>
                <w:rFonts w:hint="eastAsia" w:ascii="Times New Roman" w:hAnsi="Times New Roman" w:cs="Times New Roman"/>
                <w:snapToGrid w:val="0"/>
                <w:color w:val="auto"/>
                <w:spacing w:val="-2"/>
                <w:kern w:val="2"/>
                <w:szCs w:val="24"/>
                <w:lang w:val="en-US" w:eastAsia="zh-CN"/>
              </w:rPr>
            </w:pPr>
            <w:r>
              <w:rPr>
                <w:rFonts w:hint="eastAsia" w:ascii="Times New Roman" w:hAnsi="Times New Roman" w:cs="Times New Roman"/>
                <w:snapToGrid w:val="0"/>
                <w:color w:val="auto"/>
                <w:spacing w:val="-2"/>
                <w:kern w:val="2"/>
                <w:szCs w:val="24"/>
                <w:lang w:val="en-US" w:eastAsia="zh-CN"/>
              </w:rPr>
              <w:t>二氧化氮（NO2）日均浓度范围为5～56微克/立方米，日均值达标率为100%。年均浓度为18微克/立方米，与上年相比下降了5.3个百分点。</w:t>
            </w:r>
          </w:p>
          <w:p w14:paraId="21318577">
            <w:pPr>
              <w:pStyle w:val="24"/>
              <w:keepNext w:val="0"/>
              <w:keepLines w:val="0"/>
              <w:suppressLineNumbers w:val="0"/>
              <w:shd w:val="clear" w:color="auto" w:fill="FFFFFF"/>
              <w:spacing w:before="0" w:beforeAutospacing="0" w:after="0" w:afterAutospacing="0" w:line="360" w:lineRule="auto"/>
              <w:ind w:left="0" w:right="0" w:firstLine="420"/>
              <w:jc w:val="both"/>
              <w:rPr>
                <w:rFonts w:hint="eastAsia" w:ascii="Times New Roman" w:hAnsi="Times New Roman" w:cs="Times New Roman"/>
                <w:snapToGrid w:val="0"/>
                <w:color w:val="auto"/>
                <w:spacing w:val="-2"/>
                <w:kern w:val="2"/>
                <w:szCs w:val="24"/>
                <w:lang w:val="en-US" w:eastAsia="zh-CN"/>
              </w:rPr>
            </w:pPr>
            <w:r>
              <w:rPr>
                <w:rFonts w:hint="eastAsia" w:ascii="Times New Roman" w:hAnsi="Times New Roman" w:cs="Times New Roman"/>
                <w:snapToGrid w:val="0"/>
                <w:color w:val="auto"/>
                <w:spacing w:val="-2"/>
                <w:kern w:val="2"/>
                <w:szCs w:val="24"/>
                <w:lang w:val="en-US" w:eastAsia="zh-CN"/>
              </w:rPr>
              <w:t>二氧化硫（SO2）日均浓度范围为4～17微克/立方米，日均值达标率为100%。年均浓度为7微克/立方米，与上年持平。</w:t>
            </w:r>
          </w:p>
          <w:p w14:paraId="34A21BB9">
            <w:pPr>
              <w:pStyle w:val="24"/>
              <w:keepNext w:val="0"/>
              <w:keepLines w:val="0"/>
              <w:suppressLineNumbers w:val="0"/>
              <w:shd w:val="clear" w:color="auto" w:fill="FFFFFF"/>
              <w:spacing w:before="0" w:beforeAutospacing="0" w:after="0" w:afterAutospacing="0" w:line="360" w:lineRule="auto"/>
              <w:ind w:left="0" w:right="0" w:firstLine="420"/>
              <w:jc w:val="both"/>
              <w:rPr>
                <w:rFonts w:hint="eastAsia" w:ascii="Times New Roman" w:hAnsi="Times New Roman" w:cs="Times New Roman"/>
                <w:snapToGrid w:val="0"/>
                <w:color w:val="auto"/>
                <w:spacing w:val="-2"/>
                <w:kern w:val="2"/>
                <w:szCs w:val="24"/>
                <w:lang w:val="en-US" w:eastAsia="zh-CN"/>
              </w:rPr>
            </w:pPr>
            <w:r>
              <w:rPr>
                <w:rFonts w:hint="eastAsia" w:ascii="Times New Roman" w:hAnsi="Times New Roman" w:cs="Times New Roman"/>
                <w:snapToGrid w:val="0"/>
                <w:color w:val="auto"/>
                <w:spacing w:val="-2"/>
                <w:kern w:val="2"/>
                <w:szCs w:val="24"/>
                <w:lang w:val="en-US" w:eastAsia="zh-CN"/>
              </w:rPr>
              <w:t>一氧化碳（CO）日均浓度范围为0.2～1.1毫克/立方米，日均值达标率为100%。日均值第95百分位数为0.8毫克/立方米，与上年持平。</w:t>
            </w:r>
          </w:p>
          <w:p w14:paraId="721B859A">
            <w:pPr>
              <w:pStyle w:val="24"/>
              <w:keepNext w:val="0"/>
              <w:keepLines w:val="0"/>
              <w:suppressLineNumbers w:val="0"/>
              <w:shd w:val="clear" w:color="auto" w:fill="FFFFFF"/>
              <w:spacing w:before="0" w:beforeAutospacing="0" w:after="0" w:afterAutospacing="0" w:line="360" w:lineRule="auto"/>
              <w:ind w:left="0" w:right="0" w:firstLine="420"/>
              <w:jc w:val="both"/>
              <w:rPr>
                <w:rFonts w:hint="eastAsia" w:ascii="Times New Roman" w:hAnsi="Times New Roman" w:cs="Times New Roman"/>
                <w:snapToGrid w:val="0"/>
                <w:color w:val="auto"/>
                <w:spacing w:val="-2"/>
                <w:kern w:val="2"/>
                <w:szCs w:val="24"/>
                <w:lang w:val="en-US" w:eastAsia="zh-CN"/>
              </w:rPr>
            </w:pPr>
            <w:r>
              <w:rPr>
                <w:rFonts w:hint="eastAsia" w:ascii="Times New Roman" w:hAnsi="Times New Roman" w:cs="Times New Roman"/>
                <w:snapToGrid w:val="0"/>
                <w:color w:val="auto"/>
                <w:spacing w:val="-2"/>
                <w:kern w:val="2"/>
                <w:szCs w:val="24"/>
                <w:lang w:val="en-US" w:eastAsia="zh-CN"/>
              </w:rPr>
              <w:t>臭氧日最大8小时（O3-8h）滑动平均值范围为16～197微克/立方米，达标率为94.8%。日最大8小时滑动平均值第90百分位数为149微克/立方米，与上年相比下降了6.9个百分点。</w:t>
            </w:r>
          </w:p>
          <w:p w14:paraId="06986F0E">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 xml:space="preserve"> 环境空气达标区判断结果一览表</w:t>
            </w:r>
          </w:p>
          <w:tbl>
            <w:tblPr>
              <w:tblStyle w:val="28"/>
              <w:tblW w:w="738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2229"/>
              <w:gridCol w:w="1338"/>
              <w:gridCol w:w="1234"/>
              <w:gridCol w:w="992"/>
              <w:gridCol w:w="858"/>
            </w:tblGrid>
            <w:tr w14:paraId="038629C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498" w:type="pct"/>
                  <w:noWrap/>
                  <w:vAlign w:val="center"/>
                </w:tcPr>
                <w:p w14:paraId="6512C38F">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default" w:cs="Times New Roman"/>
                      <w:color w:val="auto"/>
                      <w:szCs w:val="21"/>
                    </w:rPr>
                    <w:t>污染物</w:t>
                  </w:r>
                </w:p>
              </w:tc>
              <w:tc>
                <w:tcPr>
                  <w:tcW w:w="1508" w:type="pct"/>
                  <w:noWrap/>
                  <w:vAlign w:val="center"/>
                </w:tcPr>
                <w:p w14:paraId="6EDDBA3C">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年度</w:t>
                  </w:r>
                  <w:r>
                    <w:rPr>
                      <w:rFonts w:hint="default" w:cs="Times New Roman"/>
                      <w:color w:val="auto"/>
                      <w:szCs w:val="21"/>
                    </w:rPr>
                    <w:t>评价指标</w:t>
                  </w:r>
                </w:p>
              </w:tc>
              <w:tc>
                <w:tcPr>
                  <w:tcW w:w="905" w:type="pct"/>
                  <w:noWrap/>
                  <w:vAlign w:val="center"/>
                </w:tcPr>
                <w:p w14:paraId="13DF40BB">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default" w:cs="Times New Roman"/>
                      <w:color w:val="auto"/>
                      <w:szCs w:val="21"/>
                    </w:rPr>
                    <w:t>现状浓度（μg/m</w:t>
                  </w:r>
                  <w:r>
                    <w:rPr>
                      <w:rFonts w:hint="default" w:cs="Times New Roman"/>
                      <w:color w:val="auto"/>
                      <w:szCs w:val="21"/>
                      <w:vertAlign w:val="superscript"/>
                    </w:rPr>
                    <w:t>3</w:t>
                  </w:r>
                  <w:r>
                    <w:rPr>
                      <w:rFonts w:hint="default" w:cs="Times New Roman"/>
                      <w:color w:val="auto"/>
                      <w:szCs w:val="21"/>
                    </w:rPr>
                    <w:t>）</w:t>
                  </w:r>
                </w:p>
              </w:tc>
              <w:tc>
                <w:tcPr>
                  <w:tcW w:w="835" w:type="pct"/>
                  <w:noWrap/>
                  <w:vAlign w:val="center"/>
                </w:tcPr>
                <w:p w14:paraId="334095F4">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default" w:cs="Times New Roman"/>
                      <w:color w:val="auto"/>
                      <w:szCs w:val="21"/>
                    </w:rPr>
                    <w:t>标准值</w:t>
                  </w:r>
                  <w:r>
                    <w:rPr>
                      <w:rFonts w:hint="eastAsia" w:cs="Times New Roman"/>
                      <w:color w:val="auto"/>
                      <w:szCs w:val="21"/>
                    </w:rPr>
                    <w:t>(</w:t>
                  </w:r>
                  <w:r>
                    <w:rPr>
                      <w:rFonts w:hint="default" w:cs="Times New Roman"/>
                      <w:color w:val="auto"/>
                      <w:szCs w:val="21"/>
                    </w:rPr>
                    <w:t>μg/m</w:t>
                  </w:r>
                  <w:r>
                    <w:rPr>
                      <w:rFonts w:hint="default" w:cs="Times New Roman"/>
                      <w:color w:val="auto"/>
                      <w:szCs w:val="21"/>
                      <w:vertAlign w:val="superscript"/>
                    </w:rPr>
                    <w:t>3</w:t>
                  </w:r>
                  <w:r>
                    <w:rPr>
                      <w:rFonts w:hint="eastAsia" w:cs="Times New Roman"/>
                      <w:color w:val="auto"/>
                      <w:szCs w:val="21"/>
                      <w:vertAlign w:val="superscript"/>
                    </w:rPr>
                    <w:t>)</w:t>
                  </w:r>
                </w:p>
              </w:tc>
              <w:tc>
                <w:tcPr>
                  <w:tcW w:w="671" w:type="pct"/>
                  <w:noWrap/>
                  <w:vAlign w:val="center"/>
                </w:tcPr>
                <w:p w14:paraId="4A2DE278">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占标率</w:t>
                  </w:r>
                  <w:r>
                    <w:rPr>
                      <w:rFonts w:hint="default" w:cs="Times New Roman"/>
                      <w:color w:val="auto"/>
                      <w:szCs w:val="21"/>
                    </w:rPr>
                    <w:t>（%）</w:t>
                  </w:r>
                </w:p>
              </w:tc>
              <w:tc>
                <w:tcPr>
                  <w:tcW w:w="580" w:type="pct"/>
                  <w:noWrap/>
                  <w:vAlign w:val="center"/>
                </w:tcPr>
                <w:p w14:paraId="754965B1">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default" w:cs="Times New Roman"/>
                      <w:color w:val="auto"/>
                      <w:szCs w:val="21"/>
                    </w:rPr>
                    <w:t>达标情况</w:t>
                  </w:r>
                </w:p>
              </w:tc>
            </w:tr>
            <w:tr w14:paraId="50F7C00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498" w:type="pct"/>
                  <w:noWrap/>
                  <w:vAlign w:val="center"/>
                </w:tcPr>
                <w:p w14:paraId="2CE6E4BB">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default" w:cs="Times New Roman"/>
                      <w:color w:val="auto"/>
                      <w:szCs w:val="21"/>
                    </w:rPr>
                    <w:t>SO</w:t>
                  </w:r>
                  <w:r>
                    <w:rPr>
                      <w:rFonts w:hint="default" w:cs="Times New Roman"/>
                      <w:color w:val="auto"/>
                      <w:szCs w:val="21"/>
                      <w:vertAlign w:val="subscript"/>
                    </w:rPr>
                    <w:t>2</w:t>
                  </w:r>
                </w:p>
              </w:tc>
              <w:tc>
                <w:tcPr>
                  <w:tcW w:w="1508" w:type="pct"/>
                  <w:noWrap/>
                  <w:vAlign w:val="center"/>
                </w:tcPr>
                <w:p w14:paraId="7663B748">
                  <w:pPr>
                    <w:pStyle w:val="13"/>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rPr>
                  </w:pPr>
                  <w:r>
                    <w:rPr>
                      <w:rFonts w:hint="default" w:ascii="Times New Roman" w:hAnsi="Times New Roman" w:cs="Times New Roman"/>
                      <w:color w:val="auto"/>
                      <w:sz w:val="21"/>
                    </w:rPr>
                    <w:t>年平均质量浓度</w:t>
                  </w:r>
                </w:p>
              </w:tc>
              <w:tc>
                <w:tcPr>
                  <w:tcW w:w="905" w:type="pct"/>
                  <w:noWrap/>
                  <w:vAlign w:val="center"/>
                </w:tcPr>
                <w:p w14:paraId="0FB8C701">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7</w:t>
                  </w:r>
                </w:p>
              </w:tc>
              <w:tc>
                <w:tcPr>
                  <w:tcW w:w="835" w:type="pct"/>
                  <w:noWrap/>
                  <w:vAlign w:val="center"/>
                </w:tcPr>
                <w:p w14:paraId="4F0F1429">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60</w:t>
                  </w:r>
                </w:p>
              </w:tc>
              <w:tc>
                <w:tcPr>
                  <w:tcW w:w="671" w:type="pct"/>
                  <w:noWrap/>
                  <w:vAlign w:val="center"/>
                </w:tcPr>
                <w:p w14:paraId="5BE9002D">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11.67</w:t>
                  </w:r>
                </w:p>
              </w:tc>
              <w:tc>
                <w:tcPr>
                  <w:tcW w:w="580" w:type="pct"/>
                  <w:noWrap/>
                  <w:vAlign w:val="center"/>
                </w:tcPr>
                <w:p w14:paraId="63A404D1">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达标</w:t>
                  </w:r>
                </w:p>
              </w:tc>
            </w:tr>
            <w:tr w14:paraId="60FC0BD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498" w:type="pct"/>
                  <w:noWrap/>
                  <w:vAlign w:val="center"/>
                </w:tcPr>
                <w:p w14:paraId="6E60DC13">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default" w:cs="Times New Roman"/>
                      <w:color w:val="auto"/>
                      <w:szCs w:val="21"/>
                    </w:rPr>
                    <w:t>NO</w:t>
                  </w:r>
                  <w:r>
                    <w:rPr>
                      <w:rFonts w:hint="default" w:cs="Times New Roman"/>
                      <w:color w:val="auto"/>
                      <w:szCs w:val="21"/>
                      <w:vertAlign w:val="subscript"/>
                    </w:rPr>
                    <w:t>2</w:t>
                  </w:r>
                </w:p>
              </w:tc>
              <w:tc>
                <w:tcPr>
                  <w:tcW w:w="1508" w:type="pct"/>
                  <w:noWrap/>
                  <w:vAlign w:val="center"/>
                </w:tcPr>
                <w:p w14:paraId="7164E1AD">
                  <w:pPr>
                    <w:pStyle w:val="13"/>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rPr>
                  </w:pPr>
                  <w:r>
                    <w:rPr>
                      <w:rFonts w:hint="default" w:ascii="Times New Roman" w:hAnsi="Times New Roman" w:cs="Times New Roman"/>
                      <w:color w:val="auto"/>
                      <w:sz w:val="21"/>
                    </w:rPr>
                    <w:t>年平均质量浓度</w:t>
                  </w:r>
                </w:p>
              </w:tc>
              <w:tc>
                <w:tcPr>
                  <w:tcW w:w="905" w:type="pct"/>
                  <w:noWrap/>
                  <w:vAlign w:val="center"/>
                </w:tcPr>
                <w:p w14:paraId="7B74E8AA">
                  <w:pPr>
                    <w:keepNext w:val="0"/>
                    <w:keepLines w:val="0"/>
                    <w:widowControl/>
                    <w:suppressLineNumbers w:val="0"/>
                    <w:adjustRightInd w:val="0"/>
                    <w:spacing w:before="0" w:beforeAutospacing="0" w:after="0" w:afterAutospacing="0"/>
                    <w:ind w:left="0" w:right="0"/>
                    <w:jc w:val="center"/>
                    <w:textAlignment w:val="baseline"/>
                    <w:rPr>
                      <w:rFonts w:hint="eastAsia" w:eastAsia="宋体" w:cs="Times New Roman"/>
                      <w:color w:val="auto"/>
                      <w:szCs w:val="21"/>
                      <w:lang w:eastAsia="zh-CN"/>
                    </w:rPr>
                  </w:pPr>
                  <w:r>
                    <w:rPr>
                      <w:rFonts w:hint="eastAsia" w:cs="Times New Roman"/>
                      <w:color w:val="auto"/>
                      <w:szCs w:val="21"/>
                    </w:rPr>
                    <w:t>1</w:t>
                  </w:r>
                  <w:r>
                    <w:rPr>
                      <w:rFonts w:hint="eastAsia" w:cs="Times New Roman"/>
                      <w:color w:val="auto"/>
                      <w:szCs w:val="21"/>
                      <w:lang w:val="en-US" w:eastAsia="zh-CN"/>
                    </w:rPr>
                    <w:t>8</w:t>
                  </w:r>
                </w:p>
              </w:tc>
              <w:tc>
                <w:tcPr>
                  <w:tcW w:w="835" w:type="pct"/>
                  <w:noWrap/>
                  <w:vAlign w:val="center"/>
                </w:tcPr>
                <w:p w14:paraId="51D635D0">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40</w:t>
                  </w:r>
                </w:p>
              </w:tc>
              <w:tc>
                <w:tcPr>
                  <w:tcW w:w="671" w:type="pct"/>
                  <w:noWrap/>
                  <w:vAlign w:val="center"/>
                </w:tcPr>
                <w:p w14:paraId="25FDA685">
                  <w:pPr>
                    <w:keepNext w:val="0"/>
                    <w:keepLines w:val="0"/>
                    <w:widowControl/>
                    <w:suppressLineNumbers w:val="0"/>
                    <w:adjustRightInd w:val="0"/>
                    <w:spacing w:before="0" w:beforeAutospacing="0" w:after="0" w:afterAutospacing="0"/>
                    <w:ind w:left="0" w:right="0"/>
                    <w:jc w:val="center"/>
                    <w:textAlignment w:val="baseline"/>
                    <w:rPr>
                      <w:rFonts w:hint="default" w:eastAsia="宋体" w:cs="Times New Roman"/>
                      <w:color w:val="auto"/>
                      <w:szCs w:val="21"/>
                      <w:lang w:val="en-US" w:eastAsia="zh-CN"/>
                    </w:rPr>
                  </w:pPr>
                  <w:r>
                    <w:rPr>
                      <w:rFonts w:hint="eastAsia" w:cs="Times New Roman"/>
                      <w:color w:val="auto"/>
                      <w:szCs w:val="21"/>
                      <w:lang w:val="en-US" w:eastAsia="zh-CN"/>
                    </w:rPr>
                    <w:t>45</w:t>
                  </w:r>
                </w:p>
              </w:tc>
              <w:tc>
                <w:tcPr>
                  <w:tcW w:w="580" w:type="pct"/>
                  <w:noWrap/>
                  <w:vAlign w:val="center"/>
                </w:tcPr>
                <w:p w14:paraId="4716AC58">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达标</w:t>
                  </w:r>
                </w:p>
              </w:tc>
            </w:tr>
            <w:tr w14:paraId="295E86F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498" w:type="pct"/>
                  <w:noWrap/>
                  <w:vAlign w:val="center"/>
                </w:tcPr>
                <w:p w14:paraId="1FC24DC5">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PM</w:t>
                  </w:r>
                  <w:r>
                    <w:rPr>
                      <w:rFonts w:hint="eastAsia" w:cs="Times New Roman"/>
                      <w:color w:val="auto"/>
                      <w:szCs w:val="21"/>
                      <w:vertAlign w:val="subscript"/>
                    </w:rPr>
                    <w:t>10</w:t>
                  </w:r>
                </w:p>
              </w:tc>
              <w:tc>
                <w:tcPr>
                  <w:tcW w:w="1508" w:type="pct"/>
                  <w:noWrap/>
                  <w:vAlign w:val="center"/>
                </w:tcPr>
                <w:p w14:paraId="33B56359">
                  <w:pPr>
                    <w:pStyle w:val="13"/>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rPr>
                  </w:pPr>
                  <w:r>
                    <w:rPr>
                      <w:rFonts w:hint="default" w:ascii="Times New Roman" w:hAnsi="Times New Roman" w:cs="Times New Roman"/>
                      <w:color w:val="auto"/>
                      <w:sz w:val="21"/>
                    </w:rPr>
                    <w:t>年平均质量浓度</w:t>
                  </w:r>
                </w:p>
              </w:tc>
              <w:tc>
                <w:tcPr>
                  <w:tcW w:w="905" w:type="pct"/>
                  <w:noWrap/>
                  <w:vAlign w:val="center"/>
                </w:tcPr>
                <w:p w14:paraId="4490915D">
                  <w:pPr>
                    <w:keepNext w:val="0"/>
                    <w:keepLines w:val="0"/>
                    <w:widowControl/>
                    <w:suppressLineNumbers w:val="0"/>
                    <w:adjustRightInd w:val="0"/>
                    <w:spacing w:before="0" w:beforeAutospacing="0" w:after="0" w:afterAutospacing="0"/>
                    <w:ind w:left="0" w:right="0"/>
                    <w:jc w:val="center"/>
                    <w:textAlignment w:val="baseline"/>
                    <w:rPr>
                      <w:rFonts w:hint="eastAsia" w:eastAsia="宋体" w:cs="Times New Roman"/>
                      <w:color w:val="auto"/>
                      <w:szCs w:val="21"/>
                      <w:lang w:eastAsia="zh-CN"/>
                    </w:rPr>
                  </w:pPr>
                  <w:r>
                    <w:rPr>
                      <w:rFonts w:hint="eastAsia" w:cs="Times New Roman"/>
                      <w:color w:val="auto"/>
                      <w:szCs w:val="21"/>
                    </w:rPr>
                    <w:t>6</w:t>
                  </w:r>
                  <w:r>
                    <w:rPr>
                      <w:rFonts w:hint="eastAsia" w:cs="Times New Roman"/>
                      <w:color w:val="auto"/>
                      <w:szCs w:val="21"/>
                      <w:lang w:val="en-US" w:eastAsia="zh-CN"/>
                    </w:rPr>
                    <w:t>1</w:t>
                  </w:r>
                </w:p>
              </w:tc>
              <w:tc>
                <w:tcPr>
                  <w:tcW w:w="835" w:type="pct"/>
                  <w:noWrap/>
                  <w:vAlign w:val="center"/>
                </w:tcPr>
                <w:p w14:paraId="54870FC2">
                  <w:pPr>
                    <w:keepNext w:val="0"/>
                    <w:keepLines w:val="0"/>
                    <w:widowControl/>
                    <w:suppressLineNumbers w:val="0"/>
                    <w:spacing w:before="0" w:beforeAutospacing="0" w:after="0" w:afterAutospacing="0" w:line="276" w:lineRule="auto"/>
                    <w:ind w:left="0" w:right="0"/>
                    <w:jc w:val="center"/>
                    <w:rPr>
                      <w:rFonts w:hint="default" w:cs="Times New Roman"/>
                      <w:color w:val="auto"/>
                      <w:szCs w:val="21"/>
                    </w:rPr>
                  </w:pPr>
                  <w:r>
                    <w:rPr>
                      <w:rFonts w:hint="eastAsia" w:cs="Times New Roman"/>
                      <w:color w:val="auto"/>
                      <w:kern w:val="0"/>
                      <w:szCs w:val="21"/>
                    </w:rPr>
                    <w:t>60</w:t>
                  </w:r>
                </w:p>
              </w:tc>
              <w:tc>
                <w:tcPr>
                  <w:tcW w:w="671" w:type="pct"/>
                  <w:noWrap/>
                  <w:vAlign w:val="center"/>
                </w:tcPr>
                <w:p w14:paraId="50EC7763">
                  <w:pPr>
                    <w:keepNext w:val="0"/>
                    <w:keepLines w:val="0"/>
                    <w:widowControl/>
                    <w:suppressLineNumbers w:val="0"/>
                    <w:spacing w:before="0" w:beforeAutospacing="0" w:after="0" w:afterAutospacing="0" w:line="276" w:lineRule="auto"/>
                    <w:ind w:left="0" w:right="0"/>
                    <w:jc w:val="center"/>
                    <w:rPr>
                      <w:rFonts w:hint="default" w:eastAsia="宋体" w:cs="Times New Roman"/>
                      <w:color w:val="auto"/>
                      <w:szCs w:val="21"/>
                      <w:highlight w:val="yellow"/>
                      <w:lang w:val="en-US" w:eastAsia="zh-CN"/>
                    </w:rPr>
                  </w:pPr>
                  <w:r>
                    <w:rPr>
                      <w:rFonts w:hint="eastAsia" w:cs="Times New Roman"/>
                      <w:color w:val="auto"/>
                      <w:kern w:val="0"/>
                      <w:szCs w:val="21"/>
                      <w:lang w:val="en-US" w:eastAsia="zh-CN"/>
                    </w:rPr>
                    <w:t>101.7</w:t>
                  </w:r>
                </w:p>
              </w:tc>
              <w:tc>
                <w:tcPr>
                  <w:tcW w:w="580" w:type="pct"/>
                  <w:noWrap/>
                  <w:vAlign w:val="center"/>
                </w:tcPr>
                <w:p w14:paraId="25F4763E">
                  <w:pPr>
                    <w:keepNext w:val="0"/>
                    <w:keepLines w:val="0"/>
                    <w:widowControl/>
                    <w:suppressLineNumbers w:val="0"/>
                    <w:spacing w:before="0" w:beforeAutospacing="0" w:after="0" w:afterAutospacing="0" w:line="276" w:lineRule="auto"/>
                    <w:ind w:left="0" w:right="0"/>
                    <w:jc w:val="center"/>
                    <w:rPr>
                      <w:rFonts w:hint="default" w:cs="Times New Roman"/>
                      <w:color w:val="auto"/>
                      <w:szCs w:val="21"/>
                    </w:rPr>
                  </w:pPr>
                  <w:r>
                    <w:rPr>
                      <w:rFonts w:hint="default" w:ascii="Times New Roman" w:hAnsi="Times New Roman" w:cs="Times New Roman"/>
                      <w:b w:val="0"/>
                      <w:color w:val="auto"/>
                      <w:sz w:val="21"/>
                      <w:szCs w:val="21"/>
                      <w:highlight w:val="none"/>
                    </w:rPr>
                    <w:t>超标</w:t>
                  </w:r>
                </w:p>
              </w:tc>
            </w:tr>
            <w:tr w14:paraId="0133A9D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498" w:type="pct"/>
                  <w:noWrap/>
                  <w:vAlign w:val="center"/>
                </w:tcPr>
                <w:p w14:paraId="21A0EF7C">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PM</w:t>
                  </w:r>
                  <w:r>
                    <w:rPr>
                      <w:rFonts w:hint="eastAsia" w:cs="Times New Roman"/>
                      <w:color w:val="auto"/>
                      <w:szCs w:val="21"/>
                      <w:vertAlign w:val="subscript"/>
                    </w:rPr>
                    <w:t>2.5</w:t>
                  </w:r>
                </w:p>
              </w:tc>
              <w:tc>
                <w:tcPr>
                  <w:tcW w:w="1508" w:type="pct"/>
                  <w:noWrap/>
                  <w:vAlign w:val="center"/>
                </w:tcPr>
                <w:p w14:paraId="06954303">
                  <w:pPr>
                    <w:pStyle w:val="13"/>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rPr>
                  </w:pPr>
                  <w:r>
                    <w:rPr>
                      <w:rFonts w:hint="default" w:ascii="Times New Roman" w:hAnsi="Times New Roman" w:cs="Times New Roman"/>
                      <w:color w:val="auto"/>
                      <w:sz w:val="21"/>
                    </w:rPr>
                    <w:t>年平均质量浓度</w:t>
                  </w:r>
                </w:p>
              </w:tc>
              <w:tc>
                <w:tcPr>
                  <w:tcW w:w="905" w:type="pct"/>
                  <w:noWrap/>
                  <w:vAlign w:val="center"/>
                </w:tcPr>
                <w:p w14:paraId="34BA5890">
                  <w:pPr>
                    <w:keepNext w:val="0"/>
                    <w:keepLines w:val="0"/>
                    <w:widowControl/>
                    <w:suppressLineNumbers w:val="0"/>
                    <w:adjustRightInd w:val="0"/>
                    <w:spacing w:before="0" w:beforeAutospacing="0" w:after="0" w:afterAutospacing="0"/>
                    <w:ind w:left="0" w:right="0"/>
                    <w:jc w:val="center"/>
                    <w:textAlignment w:val="baseline"/>
                    <w:rPr>
                      <w:rFonts w:hint="default" w:eastAsia="宋体" w:cs="Times New Roman"/>
                      <w:color w:val="auto"/>
                      <w:szCs w:val="21"/>
                      <w:lang w:val="en-US" w:eastAsia="zh-CN"/>
                    </w:rPr>
                  </w:pPr>
                  <w:r>
                    <w:rPr>
                      <w:rFonts w:hint="eastAsia" w:cs="Times New Roman"/>
                      <w:color w:val="auto"/>
                      <w:szCs w:val="21"/>
                      <w:lang w:val="en-US" w:eastAsia="zh-CN"/>
                    </w:rPr>
                    <w:t>37.1</w:t>
                  </w:r>
                </w:p>
              </w:tc>
              <w:tc>
                <w:tcPr>
                  <w:tcW w:w="835" w:type="pct"/>
                  <w:noWrap/>
                  <w:vAlign w:val="center"/>
                </w:tcPr>
                <w:p w14:paraId="1C5C3E86">
                  <w:pPr>
                    <w:keepNext w:val="0"/>
                    <w:keepLines w:val="0"/>
                    <w:widowControl/>
                    <w:suppressLineNumbers w:val="0"/>
                    <w:spacing w:before="0" w:beforeAutospacing="0" w:after="0" w:afterAutospacing="0" w:line="276" w:lineRule="auto"/>
                    <w:ind w:left="0" w:right="0"/>
                    <w:jc w:val="center"/>
                    <w:rPr>
                      <w:rFonts w:hint="default" w:cs="Times New Roman"/>
                      <w:color w:val="auto"/>
                      <w:szCs w:val="21"/>
                    </w:rPr>
                  </w:pPr>
                  <w:r>
                    <w:rPr>
                      <w:rFonts w:hint="eastAsia" w:cs="Times New Roman"/>
                      <w:color w:val="auto"/>
                      <w:kern w:val="0"/>
                      <w:szCs w:val="21"/>
                    </w:rPr>
                    <w:t>30</w:t>
                  </w:r>
                </w:p>
              </w:tc>
              <w:tc>
                <w:tcPr>
                  <w:tcW w:w="671" w:type="pct"/>
                  <w:noWrap/>
                  <w:vAlign w:val="center"/>
                </w:tcPr>
                <w:p w14:paraId="34132AF8">
                  <w:pPr>
                    <w:keepNext w:val="0"/>
                    <w:keepLines w:val="0"/>
                    <w:widowControl/>
                    <w:suppressLineNumbers w:val="0"/>
                    <w:spacing w:before="0" w:beforeAutospacing="0" w:after="0" w:afterAutospacing="0" w:line="276" w:lineRule="auto"/>
                    <w:ind w:left="0" w:right="0"/>
                    <w:jc w:val="center"/>
                    <w:rPr>
                      <w:rFonts w:hint="default" w:eastAsia="宋体" w:cs="Times New Roman"/>
                      <w:color w:val="auto"/>
                      <w:szCs w:val="21"/>
                      <w:highlight w:val="yellow"/>
                      <w:lang w:val="en-US" w:eastAsia="zh-CN"/>
                    </w:rPr>
                  </w:pPr>
                  <w:r>
                    <w:rPr>
                      <w:rFonts w:hint="eastAsia" w:cs="Times New Roman"/>
                      <w:color w:val="auto"/>
                      <w:kern w:val="0"/>
                      <w:szCs w:val="21"/>
                      <w:lang w:val="en-US" w:eastAsia="zh-CN"/>
                    </w:rPr>
                    <w:t>123.6</w:t>
                  </w:r>
                </w:p>
              </w:tc>
              <w:tc>
                <w:tcPr>
                  <w:tcW w:w="580" w:type="pct"/>
                  <w:noWrap/>
                  <w:vAlign w:val="center"/>
                </w:tcPr>
                <w:p w14:paraId="2E64E008">
                  <w:pPr>
                    <w:keepNext w:val="0"/>
                    <w:keepLines w:val="0"/>
                    <w:widowControl/>
                    <w:suppressLineNumbers w:val="0"/>
                    <w:spacing w:before="0" w:beforeAutospacing="0" w:after="0" w:afterAutospacing="0" w:line="276" w:lineRule="auto"/>
                    <w:ind w:left="0" w:right="0"/>
                    <w:jc w:val="center"/>
                    <w:rPr>
                      <w:rFonts w:hint="default" w:cs="Times New Roman"/>
                      <w:color w:val="auto"/>
                      <w:szCs w:val="21"/>
                    </w:rPr>
                  </w:pPr>
                  <w:r>
                    <w:rPr>
                      <w:rFonts w:hint="default" w:ascii="Times New Roman" w:hAnsi="Times New Roman" w:cs="Times New Roman"/>
                      <w:b w:val="0"/>
                      <w:color w:val="auto"/>
                      <w:sz w:val="21"/>
                      <w:szCs w:val="21"/>
                      <w:highlight w:val="none"/>
                    </w:rPr>
                    <w:t>超标</w:t>
                  </w:r>
                </w:p>
              </w:tc>
            </w:tr>
            <w:tr w14:paraId="426D748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498" w:type="pct"/>
                  <w:noWrap/>
                  <w:vAlign w:val="center"/>
                </w:tcPr>
                <w:p w14:paraId="47D8D105">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default" w:cs="Times New Roman"/>
                      <w:color w:val="auto"/>
                      <w:szCs w:val="21"/>
                    </w:rPr>
                    <w:t>CO</w:t>
                  </w:r>
                </w:p>
              </w:tc>
              <w:tc>
                <w:tcPr>
                  <w:tcW w:w="1508" w:type="pct"/>
                  <w:noWrap/>
                  <w:vAlign w:val="center"/>
                </w:tcPr>
                <w:p w14:paraId="063AF764">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日均值第95百分位数</w:t>
                  </w:r>
                </w:p>
              </w:tc>
              <w:tc>
                <w:tcPr>
                  <w:tcW w:w="905" w:type="pct"/>
                  <w:noWrap/>
                  <w:vAlign w:val="center"/>
                </w:tcPr>
                <w:p w14:paraId="2F1AA0C6">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800</w:t>
                  </w:r>
                </w:p>
              </w:tc>
              <w:tc>
                <w:tcPr>
                  <w:tcW w:w="835" w:type="pct"/>
                  <w:noWrap/>
                  <w:vAlign w:val="center"/>
                </w:tcPr>
                <w:p w14:paraId="547B5BD3">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4000</w:t>
                  </w:r>
                </w:p>
              </w:tc>
              <w:tc>
                <w:tcPr>
                  <w:tcW w:w="671" w:type="pct"/>
                  <w:noWrap/>
                  <w:vAlign w:val="center"/>
                </w:tcPr>
                <w:p w14:paraId="46BBC3DC">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20</w:t>
                  </w:r>
                </w:p>
              </w:tc>
              <w:tc>
                <w:tcPr>
                  <w:tcW w:w="580" w:type="pct"/>
                  <w:noWrap/>
                  <w:vAlign w:val="center"/>
                </w:tcPr>
                <w:p w14:paraId="7BAF6A29">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达标</w:t>
                  </w:r>
                </w:p>
              </w:tc>
            </w:tr>
            <w:tr w14:paraId="1E1C7FF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498" w:type="pct"/>
                  <w:noWrap/>
                  <w:vAlign w:val="center"/>
                </w:tcPr>
                <w:p w14:paraId="63281569">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default" w:cs="Times New Roman"/>
                      <w:color w:val="auto"/>
                      <w:szCs w:val="21"/>
                    </w:rPr>
                    <w:t>O</w:t>
                  </w:r>
                  <w:r>
                    <w:rPr>
                      <w:rFonts w:hint="default" w:cs="Times New Roman"/>
                      <w:color w:val="auto"/>
                      <w:szCs w:val="21"/>
                      <w:vertAlign w:val="subscript"/>
                    </w:rPr>
                    <w:t>3</w:t>
                  </w:r>
                </w:p>
              </w:tc>
              <w:tc>
                <w:tcPr>
                  <w:tcW w:w="1508" w:type="pct"/>
                  <w:noWrap/>
                  <w:vAlign w:val="center"/>
                </w:tcPr>
                <w:p w14:paraId="6D889590">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日最大8小时滑动平均值第90百分位数</w:t>
                  </w:r>
                </w:p>
              </w:tc>
              <w:tc>
                <w:tcPr>
                  <w:tcW w:w="905" w:type="pct"/>
                  <w:noWrap/>
                  <w:vAlign w:val="center"/>
                </w:tcPr>
                <w:p w14:paraId="4DED032F">
                  <w:pPr>
                    <w:keepNext w:val="0"/>
                    <w:keepLines w:val="0"/>
                    <w:widowControl/>
                    <w:suppressLineNumbers w:val="0"/>
                    <w:adjustRightInd w:val="0"/>
                    <w:spacing w:before="0" w:beforeAutospacing="0" w:after="0" w:afterAutospacing="0"/>
                    <w:ind w:left="0" w:right="0"/>
                    <w:jc w:val="center"/>
                    <w:textAlignment w:val="baseline"/>
                    <w:rPr>
                      <w:rFonts w:hint="default" w:eastAsia="宋体" w:cs="Times New Roman"/>
                      <w:color w:val="auto"/>
                      <w:szCs w:val="21"/>
                      <w:lang w:val="en-US" w:eastAsia="zh-CN"/>
                    </w:rPr>
                  </w:pPr>
                  <w:r>
                    <w:rPr>
                      <w:rFonts w:hint="eastAsia" w:cs="Times New Roman"/>
                      <w:color w:val="auto"/>
                      <w:szCs w:val="21"/>
                      <w:lang w:val="en-US" w:eastAsia="zh-CN"/>
                    </w:rPr>
                    <w:t>149</w:t>
                  </w:r>
                </w:p>
              </w:tc>
              <w:tc>
                <w:tcPr>
                  <w:tcW w:w="835" w:type="pct"/>
                  <w:noWrap/>
                  <w:vAlign w:val="center"/>
                </w:tcPr>
                <w:p w14:paraId="4A3A22A2">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160</w:t>
                  </w:r>
                </w:p>
              </w:tc>
              <w:tc>
                <w:tcPr>
                  <w:tcW w:w="671" w:type="pct"/>
                  <w:noWrap/>
                  <w:vAlign w:val="center"/>
                </w:tcPr>
                <w:p w14:paraId="5BFEE01C">
                  <w:pPr>
                    <w:keepNext w:val="0"/>
                    <w:keepLines w:val="0"/>
                    <w:widowControl/>
                    <w:suppressLineNumbers w:val="0"/>
                    <w:adjustRightInd w:val="0"/>
                    <w:spacing w:before="0" w:beforeAutospacing="0" w:after="0" w:afterAutospacing="0"/>
                    <w:ind w:left="0" w:right="0"/>
                    <w:jc w:val="center"/>
                    <w:textAlignment w:val="baseline"/>
                    <w:rPr>
                      <w:rFonts w:hint="default" w:eastAsia="宋体" w:cs="Times New Roman"/>
                      <w:color w:val="auto"/>
                      <w:szCs w:val="21"/>
                      <w:lang w:val="en-US" w:eastAsia="zh-CN"/>
                    </w:rPr>
                  </w:pPr>
                  <w:r>
                    <w:rPr>
                      <w:rFonts w:hint="eastAsia" w:cs="Times New Roman"/>
                      <w:color w:val="auto"/>
                      <w:szCs w:val="21"/>
                      <w:lang w:val="en-US" w:eastAsia="zh-CN"/>
                    </w:rPr>
                    <w:t>93.1</w:t>
                  </w:r>
                </w:p>
              </w:tc>
              <w:tc>
                <w:tcPr>
                  <w:tcW w:w="580" w:type="pct"/>
                  <w:noWrap/>
                  <w:vAlign w:val="center"/>
                </w:tcPr>
                <w:p w14:paraId="00AAD6ED">
                  <w:pPr>
                    <w:keepNext w:val="0"/>
                    <w:keepLines w:val="0"/>
                    <w:widowControl/>
                    <w:suppressLineNumbers w:val="0"/>
                    <w:adjustRightInd w:val="0"/>
                    <w:spacing w:before="0" w:beforeAutospacing="0" w:after="0" w:afterAutospacing="0"/>
                    <w:ind w:left="0" w:right="0"/>
                    <w:jc w:val="center"/>
                    <w:textAlignment w:val="baseline"/>
                    <w:rPr>
                      <w:rFonts w:hint="default" w:cs="Times New Roman"/>
                      <w:color w:val="auto"/>
                      <w:szCs w:val="21"/>
                    </w:rPr>
                  </w:pPr>
                  <w:r>
                    <w:rPr>
                      <w:rFonts w:hint="eastAsia" w:cs="Times New Roman"/>
                      <w:color w:val="auto"/>
                      <w:szCs w:val="21"/>
                    </w:rPr>
                    <w:t>达标</w:t>
                  </w:r>
                </w:p>
              </w:tc>
            </w:tr>
          </w:tbl>
          <w:p w14:paraId="557F076A">
            <w:pPr>
              <w:keepNext w:val="0"/>
              <w:keepLines w:val="0"/>
              <w:suppressLineNumbers w:val="0"/>
              <w:adjustRightInd w:val="0"/>
              <w:snapToGrid w:val="0"/>
              <w:spacing w:before="0" w:beforeAutospacing="0" w:after="0" w:afterAutospacing="0" w:line="360" w:lineRule="auto"/>
              <w:ind w:left="0" w:right="0" w:firstLine="480" w:firstLineChars="200"/>
              <w:rPr>
                <w:rFonts w:hint="default" w:cs="Times New Roman"/>
                <w:color w:val="auto"/>
                <w:sz w:val="24"/>
                <w:szCs w:val="21"/>
              </w:rPr>
            </w:pPr>
            <w:r>
              <w:rPr>
                <w:rFonts w:hint="default" w:cs="Times New Roman"/>
                <w:color w:val="auto"/>
                <w:sz w:val="24"/>
                <w:szCs w:val="21"/>
              </w:rPr>
              <w:t>根据《</w:t>
            </w:r>
            <w:r>
              <w:rPr>
                <w:rFonts w:hint="eastAsia" w:cs="Times New Roman"/>
                <w:snapToGrid w:val="0"/>
                <w:color w:val="auto"/>
                <w:spacing w:val="-2"/>
                <w:sz w:val="24"/>
                <w:lang w:eastAsia="zh-CN"/>
              </w:rPr>
              <w:t>2025年淮南市生态环境质量状况公报</w:t>
            </w:r>
            <w:r>
              <w:rPr>
                <w:rFonts w:hint="default" w:cs="Times New Roman"/>
                <w:color w:val="auto"/>
                <w:sz w:val="24"/>
                <w:szCs w:val="21"/>
              </w:rPr>
              <w:t>》并结合《环境空气质量标准》（GB3095-20</w:t>
            </w:r>
            <w:r>
              <w:rPr>
                <w:rFonts w:hint="eastAsia" w:cs="Times New Roman"/>
                <w:color w:val="auto"/>
                <w:sz w:val="24"/>
                <w:szCs w:val="21"/>
              </w:rPr>
              <w:t>26</w:t>
            </w:r>
            <w:r>
              <w:rPr>
                <w:rFonts w:hint="default" w:cs="Times New Roman"/>
                <w:color w:val="auto"/>
                <w:sz w:val="24"/>
                <w:szCs w:val="21"/>
              </w:rPr>
              <w:t>）中二级标准可知，</w:t>
            </w:r>
            <w:r>
              <w:rPr>
                <w:rFonts w:hint="default" w:cs="Times New Roman"/>
                <w:color w:val="auto"/>
                <w:sz w:val="24"/>
              </w:rPr>
              <w:t>二氧化硫（SO</w:t>
            </w:r>
            <w:r>
              <w:rPr>
                <w:rFonts w:hint="default" w:cs="Times New Roman"/>
                <w:color w:val="auto"/>
                <w:sz w:val="24"/>
                <w:vertAlign w:val="subscript"/>
              </w:rPr>
              <w:t>2</w:t>
            </w:r>
            <w:r>
              <w:rPr>
                <w:rFonts w:hint="default" w:cs="Times New Roman"/>
                <w:color w:val="auto"/>
                <w:sz w:val="24"/>
              </w:rPr>
              <w:t>）、二氧化氮（NO</w:t>
            </w:r>
            <w:r>
              <w:rPr>
                <w:rFonts w:hint="default" w:cs="Times New Roman"/>
                <w:color w:val="auto"/>
                <w:sz w:val="24"/>
                <w:vertAlign w:val="subscript"/>
              </w:rPr>
              <w:t>2</w:t>
            </w:r>
            <w:r>
              <w:rPr>
                <w:rFonts w:hint="default" w:cs="Times New Roman"/>
                <w:color w:val="auto"/>
                <w:sz w:val="24"/>
              </w:rPr>
              <w:t>）、一氧化碳（CO）、臭氧（O</w:t>
            </w:r>
            <w:r>
              <w:rPr>
                <w:rFonts w:hint="default" w:cs="Times New Roman"/>
                <w:color w:val="auto"/>
                <w:sz w:val="24"/>
                <w:vertAlign w:val="subscript"/>
              </w:rPr>
              <w:t>3</w:t>
            </w:r>
            <w:r>
              <w:rPr>
                <w:rFonts w:hint="default" w:cs="Times New Roman"/>
                <w:color w:val="auto"/>
                <w:sz w:val="24"/>
              </w:rPr>
              <w:t>）均符合《环境空气质量标准》（GB3095-20</w:t>
            </w:r>
            <w:r>
              <w:rPr>
                <w:rFonts w:hint="eastAsia" w:cs="Times New Roman"/>
                <w:color w:val="auto"/>
                <w:sz w:val="24"/>
              </w:rPr>
              <w:t>26</w:t>
            </w:r>
            <w:r>
              <w:rPr>
                <w:rFonts w:hint="default" w:cs="Times New Roman"/>
                <w:color w:val="auto"/>
                <w:sz w:val="24"/>
              </w:rPr>
              <w:t>）二级标准限值要求，可吸入颗粒物（PM</w:t>
            </w:r>
            <w:r>
              <w:rPr>
                <w:rFonts w:hint="default" w:cs="Times New Roman"/>
                <w:color w:val="auto"/>
                <w:sz w:val="24"/>
                <w:vertAlign w:val="subscript"/>
              </w:rPr>
              <w:t>10</w:t>
            </w:r>
            <w:r>
              <w:rPr>
                <w:rFonts w:hint="default" w:cs="Times New Roman"/>
                <w:color w:val="auto"/>
                <w:sz w:val="24"/>
              </w:rPr>
              <w:t>）、细颗粒物（PM</w:t>
            </w:r>
            <w:r>
              <w:rPr>
                <w:rFonts w:hint="default" w:cs="Times New Roman"/>
                <w:color w:val="auto"/>
                <w:sz w:val="24"/>
                <w:vertAlign w:val="subscript"/>
              </w:rPr>
              <w:t>2.5</w:t>
            </w:r>
            <w:r>
              <w:rPr>
                <w:rFonts w:hint="default" w:cs="Times New Roman"/>
                <w:color w:val="auto"/>
                <w:sz w:val="24"/>
              </w:rPr>
              <w:t>）年均浓度超过《环境空气质量标准》（GB3095-20</w:t>
            </w:r>
            <w:r>
              <w:rPr>
                <w:rFonts w:hint="eastAsia" w:cs="Times New Roman"/>
                <w:color w:val="auto"/>
                <w:sz w:val="24"/>
              </w:rPr>
              <w:t>26</w:t>
            </w:r>
            <w:r>
              <w:rPr>
                <w:rFonts w:hint="default" w:cs="Times New Roman"/>
                <w:color w:val="auto"/>
                <w:sz w:val="24"/>
              </w:rPr>
              <w:t>）</w:t>
            </w:r>
            <w:r>
              <w:rPr>
                <w:rFonts w:hint="default" w:cs="Times New Roman"/>
                <w:color w:val="auto"/>
                <w:sz w:val="24"/>
                <w:szCs w:val="21"/>
              </w:rPr>
              <w:t>中</w:t>
            </w:r>
            <w:r>
              <w:rPr>
                <w:rFonts w:hint="default" w:cs="Times New Roman"/>
                <w:color w:val="auto"/>
                <w:sz w:val="24"/>
              </w:rPr>
              <w:t>二级标准限值要求。因此，项目所在评价区域为不达标区。</w:t>
            </w:r>
          </w:p>
          <w:p w14:paraId="548343F0">
            <w:pPr>
              <w:keepNext w:val="0"/>
              <w:keepLines w:val="0"/>
              <w:suppressLineNumbers w:val="0"/>
              <w:adjustRightInd w:val="0"/>
              <w:snapToGrid w:val="0"/>
              <w:spacing w:before="0" w:beforeAutospacing="0" w:after="0" w:afterAutospacing="0" w:line="360" w:lineRule="auto"/>
              <w:ind w:left="0" w:right="0" w:firstLine="480" w:firstLineChars="200"/>
              <w:rPr>
                <w:rFonts w:hint="default" w:cs="Times New Roman"/>
                <w:color w:val="auto"/>
                <w:kern w:val="0"/>
                <w:sz w:val="24"/>
                <w:szCs w:val="21"/>
              </w:rPr>
            </w:pPr>
            <w:r>
              <w:rPr>
                <w:rFonts w:hint="default" w:cs="Times New Roman"/>
                <w:color w:val="auto"/>
                <w:kern w:val="0"/>
                <w:sz w:val="24"/>
              </w:rPr>
              <w:t>淮南市生态环境局就空气质量不达标提出一系列举措，</w:t>
            </w:r>
            <w:r>
              <w:rPr>
                <w:rFonts w:hint="default" w:cs="Times New Roman"/>
                <w:color w:val="auto"/>
                <w:sz w:val="24"/>
              </w:rPr>
              <w:t>有效推进淮南市大气污染防治工作，目前，</w:t>
            </w:r>
            <w:r>
              <w:rPr>
                <w:rFonts w:hint="eastAsia" w:cs="Times New Roman"/>
                <w:color w:val="auto"/>
                <w:sz w:val="24"/>
              </w:rPr>
              <w:t>淮南市制定了《淮南市空气质量提升攻坚行动实施方案》，《淮南市公开空气质量提升攻坚行动专项督察报告整改方案》，围绕煤系固废、扬尘、移动污染源、餐饮油烟、恶臭异味、秸秆综合利用和禁烧等开展专项治理活动，进一步削减大气污染物排放。</w:t>
            </w:r>
          </w:p>
          <w:p w14:paraId="67087A04">
            <w:pPr>
              <w:keepNext w:val="0"/>
              <w:keepLines w:val="0"/>
              <w:suppressLineNumbers w:val="0"/>
              <w:spacing w:before="0" w:beforeAutospacing="0" w:after="0" w:afterAutospacing="0" w:line="360" w:lineRule="auto"/>
              <w:ind w:left="0" w:right="0" w:firstLine="482" w:firstLineChars="200"/>
              <w:rPr>
                <w:rFonts w:hint="default" w:cs="Times New Roman"/>
                <w:b/>
                <w:bCs/>
                <w:color w:val="auto"/>
                <w:sz w:val="24"/>
              </w:rPr>
            </w:pPr>
            <w:r>
              <w:rPr>
                <w:rFonts w:hint="default" w:cs="Times New Roman"/>
                <w:b/>
                <w:bCs/>
                <w:color w:val="auto"/>
                <w:sz w:val="24"/>
              </w:rPr>
              <w:t>2、地表水环境现状</w:t>
            </w:r>
          </w:p>
          <w:p w14:paraId="46B151F5">
            <w:pPr>
              <w:pStyle w:val="24"/>
              <w:keepNext w:val="0"/>
              <w:keepLines w:val="0"/>
              <w:pageBreakBefore w:val="0"/>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依据淮南市生态环境局发布的《</w:t>
            </w:r>
            <w:r>
              <w:rPr>
                <w:rFonts w:hint="eastAsia" w:ascii="Times New Roman" w:hAnsi="Times New Roman" w:cs="Times New Roman"/>
                <w:color w:val="auto"/>
                <w:kern w:val="2"/>
                <w:sz w:val="24"/>
                <w:szCs w:val="24"/>
                <w:lang w:val="en-US" w:eastAsia="zh-CN" w:bidi="ar-SA"/>
              </w:rPr>
              <w:t>2025年淮南市生态环境质量状况公报</w:t>
            </w:r>
            <w:r>
              <w:rPr>
                <w:rFonts w:hint="eastAsia" w:ascii="Times New Roman" w:hAnsi="Times New Roman" w:eastAsia="宋体" w:cs="Times New Roman"/>
                <w:color w:val="auto"/>
                <w:kern w:val="2"/>
                <w:sz w:val="24"/>
                <w:szCs w:val="24"/>
                <w:lang w:val="en-US" w:eastAsia="zh-CN" w:bidi="ar-SA"/>
              </w:rPr>
              <w:t>》中的结论，水环境质量状况如下：</w:t>
            </w:r>
          </w:p>
          <w:p w14:paraId="160B420C">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2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2025年，全市地表水24个监测断面中优良水质比例为95.8%，Ⅳ类水质比例4.2%，总体水质状况优，比上年上升了4.1个百分点。</w:t>
            </w:r>
          </w:p>
          <w:p w14:paraId="5AC140D5">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2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考核我市的8个国控断面中优良水质比例为87.5%，Ⅳ类水质比例12.5%，总体水质状况良好；考核我市的11个省控断面中优良水质比例为100%，总体水质状况优。</w:t>
            </w:r>
          </w:p>
          <w:p w14:paraId="29019401">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2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河流：淮河干流水质状况为优，东淝河、西淝河、永幸河、陡涧河水质状况为优，架河、泥河、万小河、瓦西干渠、丁家沟和便民沟水质状况为良好。20个监测断面中优良水质比例为100%，与去年持平。袁庄水厂、东部城区水源地、西淝河闸下、窑口大桥和白洋淀渡口断面水质均有所好转（Ⅲ类→Ⅱ类），其他断面水质保持稳定。</w:t>
            </w:r>
          </w:p>
          <w:p w14:paraId="3E108E0C">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20"/>
              <w:jc w:val="both"/>
              <w:textAlignment w:val="auto"/>
              <w:rPr>
                <w:rFonts w:hint="default" w:ascii="Times New Roman" w:hAnsi="Times New Roman" w:cs="Times New Roman"/>
                <w:color w:val="auto"/>
                <w:kern w:val="2"/>
                <w:szCs w:val="24"/>
                <w:lang w:val="en-US" w:eastAsia="zh-CN"/>
              </w:rPr>
            </w:pPr>
            <w:r>
              <w:rPr>
                <w:rFonts w:hint="eastAsia" w:ascii="Times New Roman" w:hAnsi="Times New Roman" w:eastAsia="宋体" w:cs="Times New Roman"/>
                <w:color w:val="auto"/>
                <w:kern w:val="2"/>
                <w:sz w:val="24"/>
                <w:szCs w:val="24"/>
                <w:lang w:val="en-US" w:eastAsia="zh-CN" w:bidi="ar-SA"/>
              </w:rPr>
              <w:t>湖库：安丰塘、瓦埠湖和焦岗湖点位水质年均值符合Ⅲ类标准，水质状况为良好；高塘湖点位水质年均值符合Ⅳ类标准，水质轻度污染，主要污染指标为总磷。安丰塘营养状态为中营养，焦岗湖、高塘湖和瓦埠湖营养状态均为轻度富营养。与上年相比，安丰塘点位水质类别由Ⅳ类好转为Ⅲ类，瓦埠湖、高塘湖和焦岗湖点位水质类别保持稳定。</w:t>
            </w:r>
          </w:p>
          <w:p w14:paraId="2330C694">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项目所在区域地表水体为</w:t>
            </w:r>
            <w:r>
              <w:rPr>
                <w:rFonts w:hint="default" w:ascii="Times New Roman" w:hAnsi="Times New Roman" w:eastAsia="宋体" w:cs="Times New Roman"/>
                <w:color w:val="auto"/>
                <w:kern w:val="2"/>
                <w:sz w:val="24"/>
                <w:szCs w:val="24"/>
                <w:lang w:val="en-US" w:eastAsia="zh-CN" w:bidi="ar-SA"/>
              </w:rPr>
              <w:t>永幸河</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永幸河水质状况为优</w:t>
            </w:r>
            <w:r>
              <w:rPr>
                <w:rFonts w:hint="eastAsia" w:ascii="Times New Roman" w:hAnsi="Times New Roman" w:eastAsia="宋体" w:cs="Times New Roman"/>
                <w:color w:val="auto"/>
                <w:kern w:val="2"/>
                <w:sz w:val="24"/>
                <w:szCs w:val="24"/>
                <w:lang w:val="en-US" w:eastAsia="zh-CN" w:bidi="ar-SA"/>
              </w:rPr>
              <w:t>。</w:t>
            </w:r>
          </w:p>
          <w:p w14:paraId="3C1DAA10">
            <w:pPr>
              <w:pStyle w:val="8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eastAsia" w:eastAsia="宋体" w:cs="Times New Roman"/>
                <w:color w:val="auto"/>
                <w:lang w:eastAsia="zh-CN"/>
              </w:rPr>
            </w:pPr>
            <w:bookmarkStart w:id="49" w:name="_Toc23541"/>
            <w:r>
              <w:rPr>
                <w:rFonts w:hint="eastAsia" w:cs="Times New Roman"/>
                <w:color w:val="auto"/>
                <w:lang w:val="en-US" w:eastAsia="zh-CN"/>
              </w:rPr>
              <w:t>3、</w:t>
            </w:r>
            <w:r>
              <w:rPr>
                <w:rFonts w:hint="default" w:cs="Times New Roman"/>
                <w:color w:val="auto"/>
              </w:rPr>
              <w:t>声环境</w:t>
            </w:r>
            <w:bookmarkEnd w:id="49"/>
            <w:r>
              <w:rPr>
                <w:rFonts w:hint="eastAsia" w:cs="Times New Roman"/>
                <w:color w:val="auto"/>
                <w:lang w:eastAsia="zh-CN"/>
              </w:rPr>
              <w:t>质量现状</w:t>
            </w:r>
          </w:p>
          <w:p w14:paraId="005F4B05">
            <w:pPr>
              <w:keepNext w:val="0"/>
              <w:keepLines w:val="0"/>
              <w:widowControl/>
              <w:suppressLineNumbers w:val="0"/>
              <w:shd w:val="clear" w:color="auto" w:fill="FFFFFF"/>
              <w:spacing w:before="0" w:beforeAutospacing="0" w:after="0" w:afterAutospacing="0" w:line="360" w:lineRule="auto"/>
              <w:ind w:left="0" w:right="0" w:firstLine="480" w:firstLineChars="200"/>
              <w:rPr>
                <w:rFonts w:hint="eastAsia" w:cs="Times New Roman"/>
                <w:bCs/>
                <w:color w:val="auto"/>
                <w:sz w:val="24"/>
              </w:rPr>
            </w:pPr>
            <w:r>
              <w:rPr>
                <w:rFonts w:hint="default" w:cs="Times New Roman"/>
                <w:bCs/>
                <w:color w:val="auto"/>
                <w:sz w:val="24"/>
              </w:rPr>
              <w:t>依据《202</w:t>
            </w:r>
            <w:r>
              <w:rPr>
                <w:rFonts w:hint="eastAsia" w:cs="Times New Roman"/>
                <w:bCs/>
                <w:color w:val="auto"/>
                <w:sz w:val="24"/>
                <w:lang w:val="en-US" w:eastAsia="zh-CN"/>
              </w:rPr>
              <w:t>5</w:t>
            </w:r>
            <w:r>
              <w:rPr>
                <w:rFonts w:hint="default" w:cs="Times New Roman"/>
                <w:bCs/>
                <w:color w:val="auto"/>
                <w:sz w:val="24"/>
              </w:rPr>
              <w:t>年度淮南市环境状况公报》：</w:t>
            </w:r>
            <w:r>
              <w:rPr>
                <w:rFonts w:hint="eastAsia" w:cs="Times New Roman"/>
                <w:bCs/>
                <w:color w:val="auto"/>
                <w:sz w:val="24"/>
              </w:rPr>
              <w:t>2025年，全市区域环境噪声昼间平均等效声级为53.3分贝，噪声总体水平稳定保持二级，声环境质量较好。</w:t>
            </w:r>
          </w:p>
          <w:p w14:paraId="6D37B502">
            <w:pPr>
              <w:keepNext w:val="0"/>
              <w:keepLines w:val="0"/>
              <w:widowControl/>
              <w:suppressLineNumbers w:val="0"/>
              <w:shd w:val="clear" w:color="auto" w:fill="FFFFFF"/>
              <w:spacing w:before="0" w:beforeAutospacing="0" w:after="0" w:afterAutospacing="0" w:line="360" w:lineRule="auto"/>
              <w:ind w:left="0" w:right="0" w:firstLine="480" w:firstLineChars="200"/>
              <w:rPr>
                <w:rFonts w:hint="default" w:cs="Times New Roman"/>
                <w:bCs/>
                <w:color w:val="auto"/>
                <w:sz w:val="24"/>
              </w:rPr>
            </w:pPr>
            <w:r>
              <w:rPr>
                <w:rFonts w:hint="eastAsia" w:cs="Times New Roman"/>
                <w:bCs/>
                <w:color w:val="auto"/>
                <w:sz w:val="24"/>
              </w:rPr>
              <w:t>城市道路交通噪声昼间平均等效声级为66.4分贝，与上年相比下降0.2分贝，噪声强度等级稳定保持为一级，声环境质量级别为好。各功能区噪声平均等效声级达标率为93.1%，昼间达标率为94.5%，夜间达标率为91.7%。与上年相比，昼夜间达标率分别上升了11.2和33.4个百分点。</w:t>
            </w:r>
          </w:p>
          <w:p w14:paraId="1974237B">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rPr>
            </w:pPr>
            <w:r>
              <w:rPr>
                <w:rFonts w:hint="eastAsia" w:cs="Times New Roman"/>
                <w:color w:val="auto"/>
                <w:sz w:val="24"/>
                <w:highlight w:val="none"/>
                <w:lang w:eastAsia="zh-CN"/>
              </w:rPr>
              <w:t>本项目厂界</w:t>
            </w:r>
            <w:r>
              <w:rPr>
                <w:rFonts w:hint="default" w:cs="Times New Roman"/>
                <w:color w:val="auto"/>
                <w:sz w:val="24"/>
                <w:highlight w:val="none"/>
              </w:rPr>
              <w:t>外50米范围内无声环境保护目标。故本项目</w:t>
            </w:r>
            <w:r>
              <w:rPr>
                <w:rFonts w:hint="eastAsia" w:cs="Times New Roman"/>
                <w:color w:val="auto"/>
                <w:sz w:val="24"/>
                <w:highlight w:val="none"/>
                <w:lang w:eastAsia="zh-CN"/>
              </w:rPr>
              <w:t>不再进行</w:t>
            </w:r>
            <w:r>
              <w:rPr>
                <w:rFonts w:hint="default" w:cs="Times New Roman"/>
                <w:color w:val="auto"/>
                <w:sz w:val="24"/>
                <w:highlight w:val="none"/>
              </w:rPr>
              <w:t>声环境质量现状监测</w:t>
            </w:r>
            <w:r>
              <w:rPr>
                <w:rFonts w:hint="eastAsia" w:cs="Times New Roman"/>
                <w:color w:val="auto"/>
                <w:sz w:val="24"/>
                <w:highlight w:val="none"/>
                <w:lang w:eastAsia="zh-CN"/>
              </w:rPr>
              <w:t>。</w:t>
            </w:r>
          </w:p>
        </w:tc>
      </w:tr>
      <w:tr w14:paraId="10C22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86" w:type="pct"/>
            <w:noWrap w:val="0"/>
            <w:vAlign w:val="center"/>
          </w:tcPr>
          <w:p w14:paraId="27A17C8F">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Times New Roman"/>
                <w:bCs/>
                <w:color w:val="auto"/>
                <w:sz w:val="24"/>
                <w:szCs w:val="24"/>
              </w:rPr>
              <w:t>与项目有关的原有环境污染和生态破坏问题</w:t>
            </w:r>
          </w:p>
        </w:tc>
        <w:tc>
          <w:tcPr>
            <w:tcW w:w="4713" w:type="pct"/>
            <w:noWrap w:val="0"/>
            <w:vAlign w:val="top"/>
          </w:tcPr>
          <w:p w14:paraId="25295547">
            <w:pPr>
              <w:keepNext w:val="0"/>
              <w:keepLines w:val="0"/>
              <w:suppressLineNumbers w:val="0"/>
              <w:tabs>
                <w:tab w:val="left" w:pos="975"/>
              </w:tabs>
              <w:spacing w:before="0" w:beforeAutospacing="0" w:after="0" w:afterAutospacing="0" w:line="360" w:lineRule="auto"/>
              <w:ind w:left="0" w:right="0" w:firstLine="480" w:firstLineChars="200"/>
              <w:rPr>
                <w:rFonts w:hint="eastAsia" w:eastAsia="宋体" w:cs="Times New Roman"/>
                <w:color w:val="auto"/>
                <w:lang w:val="en-US" w:eastAsia="zh-CN"/>
              </w:rPr>
            </w:pPr>
            <w:r>
              <w:rPr>
                <w:rFonts w:hint="eastAsia" w:ascii="Times New Roman" w:hAnsi="Times New Roman" w:eastAsia="宋体" w:cs="Times New Roman"/>
                <w:b w:val="0"/>
                <w:color w:val="auto"/>
                <w:kern w:val="2"/>
                <w:sz w:val="24"/>
                <w:szCs w:val="24"/>
                <w:lang w:val="en-US" w:eastAsia="zh-CN" w:bidi="ar-SA"/>
              </w:rPr>
              <w:t>1、现有工程履行环保手续情况</w:t>
            </w:r>
          </w:p>
          <w:p w14:paraId="53AEC4B2">
            <w:pPr>
              <w:pStyle w:val="89"/>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b w:val="0"/>
                <w:color w:val="auto"/>
                <w:kern w:val="2"/>
                <w:sz w:val="24"/>
                <w:szCs w:val="24"/>
                <w:lang w:val="en-US" w:eastAsia="zh-CN" w:bidi="ar-SA"/>
              </w:rPr>
              <w:t>顾北煤矿地面现建有一座永久瓦斯抽采泵站，为矿井生产配套的辅助生产设施。泵站内</w:t>
            </w:r>
            <w:r>
              <w:rPr>
                <w:rFonts w:hint="default" w:ascii="Times New Roman" w:hAnsi="Times New Roman" w:eastAsia="宋体" w:cs="Times New Roman"/>
                <w:color w:val="auto"/>
                <w:sz w:val="24"/>
                <w:szCs w:val="24"/>
                <w:lang w:val="en-US" w:eastAsia="zh-CN"/>
              </w:rPr>
              <w:t>共布置</w:t>
            </w:r>
            <w:r>
              <w:rPr>
                <w:rFonts w:hint="default" w:ascii="Times New Roman" w:hAnsi="Times New Roman" w:eastAsia="宋体" w:cs="Times New Roman"/>
                <w:color w:val="auto"/>
                <w:sz w:val="24"/>
                <w:szCs w:val="24"/>
                <w:lang w:bidi="ar"/>
              </w:rPr>
              <w:t>6台瓦斯抽采泵，其中4台2BEC-72型水环式真空泵</w:t>
            </w:r>
            <w:r>
              <w:rPr>
                <w:rFonts w:hint="default" w:ascii="Times New Roman" w:hAnsi="Times New Roman" w:eastAsia="宋体" w:cs="Times New Roman"/>
                <w:color w:val="auto"/>
                <w:sz w:val="24"/>
                <w:szCs w:val="24"/>
                <w:lang w:val="en-US" w:eastAsia="zh-CN"/>
              </w:rPr>
              <w:t>额定流量均为600m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/min，配套电机功率800kW，</w:t>
            </w:r>
            <w:r>
              <w:rPr>
                <w:rFonts w:hint="default" w:ascii="Times New Roman" w:hAnsi="Times New Roman" w:eastAsia="宋体" w:cs="Times New Roman"/>
                <w:color w:val="auto"/>
                <w:sz w:val="24"/>
                <w:szCs w:val="24"/>
                <w:lang w:bidi="ar"/>
              </w:rPr>
              <w:t>2台SKP93型水环式真空泵</w:t>
            </w:r>
            <w:r>
              <w:rPr>
                <w:rFonts w:hint="default" w:ascii="Times New Roman" w:hAnsi="Times New Roman" w:eastAsia="宋体" w:cs="Times New Roman"/>
                <w:color w:val="auto"/>
                <w:sz w:val="24"/>
                <w:szCs w:val="24"/>
                <w:lang w:val="en-US" w:eastAsia="zh-CN"/>
              </w:rPr>
              <w:t>额定流量均为800m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/min，配套电机功率1000kW，瓦斯抽采泵</w:t>
            </w:r>
            <w:r>
              <w:rPr>
                <w:rFonts w:hint="default" w:ascii="Times New Roman" w:hAnsi="Times New Roman" w:eastAsia="宋体" w:cs="Times New Roman"/>
                <w:color w:val="auto"/>
                <w:sz w:val="24"/>
                <w:szCs w:val="24"/>
              </w:rPr>
              <w:t>采用3用3备的运行模式，总额定能力2000m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/min。地面瓦斯泵站建有一座冷水池，一座热水池，配备2台热水泵、4台冷水泵及2台冷却塔，构成闭式循环水系统。</w:t>
            </w:r>
          </w:p>
          <w:p w14:paraId="13DDA438">
            <w:pPr>
              <w:pStyle w:val="89"/>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2台热水泵（单台流量240m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/h、扬程32m、功率15kW），2台小流量冷水泵（单台流量100m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/h、扬程32m、功率15kW），2台大流量冷水泵（单台流量200m3/h、扬程28m、功率22kW）；2台处理能力360m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/h玻璃钢低温冷却塔。</w:t>
            </w:r>
          </w:p>
          <w:p w14:paraId="6DF57A27">
            <w:pPr>
              <w:pStyle w:val="103"/>
              <w:keepNext w:val="0"/>
              <w:keepLines w:val="0"/>
              <w:suppressLineNumbers w:val="0"/>
              <w:spacing w:before="0" w:beforeAutospacing="0" w:after="0" w:afterAutospacing="0"/>
              <w:ind w:left="0" w:right="0" w:firstLine="583"/>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地面瓦斯抽采及入井管路共设3趟，其中2趟管径为DN600，1趟管径为DN800。1趟DN600抽采管路、1趟DN800抽采管路经入井钻孔敷设至-648m北一回风石门，另一趟DN600抽采管路从风井敷设至-648m水平。地面及入井抽采管路通过能力为768.8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/min。</w:t>
            </w:r>
            <w:r>
              <w:rPr>
                <w:rFonts w:hint="default" w:ascii="Times New Roman" w:hAnsi="Times New Roman" w:eastAsia="宋体" w:cs="Times New Roman"/>
                <w:color w:val="auto"/>
                <w:kern w:val="2"/>
                <w:sz w:val="24"/>
                <w:szCs w:val="24"/>
                <w:lang w:val="en-US" w:eastAsia="zh-CN" w:bidi="ar-SA"/>
              </w:rPr>
              <w:t>顾北煤矿正在实施入井管路工程，在二副井西北侧新增一个DN800入井钻孔，经一、二水平措施联巷进入-648m水平，施工完毕后矿井入井抽采管路通过能力将达到1130.6m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/min。</w:t>
            </w:r>
          </w:p>
          <w:p w14:paraId="51EEB3B0">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顾北煤矿瓦斯泵站抽采的瓦斯为低浓度瓦斯，甲烷含量30%以下，目前暂无瓦斯利用设施，采用高空放空管直接排放。</w:t>
            </w:r>
          </w:p>
          <w:p w14:paraId="34814B91">
            <w:pPr>
              <w:pStyle w:val="107"/>
              <w:keepNext w:val="0"/>
              <w:keepLines w:val="0"/>
              <w:numPr>
                <w:ilvl w:val="0"/>
                <w:numId w:val="0"/>
              </w:numPr>
              <w:suppressLineNumbers w:val="0"/>
              <w:spacing w:before="0" w:beforeAutospacing="0" w:after="0" w:afterAutospacing="0"/>
              <w:ind w:left="0" w:right="0" w:firstLine="480" w:firstLineChars="200"/>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现有工程环保手续履行情况见下表。</w:t>
            </w:r>
          </w:p>
          <w:p w14:paraId="5A7B4805">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现有工程环保手续履行情况一览表</w:t>
            </w:r>
          </w:p>
          <w:tbl>
            <w:tblPr>
              <w:tblStyle w:val="29"/>
              <w:tblW w:w="7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895"/>
              <w:gridCol w:w="1378"/>
              <w:gridCol w:w="1783"/>
              <w:gridCol w:w="1086"/>
              <w:gridCol w:w="1784"/>
            </w:tblGrid>
            <w:tr w14:paraId="1433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94" w:type="pct"/>
                  <w:vMerge w:val="restart"/>
                  <w:noWrap w:val="0"/>
                  <w:vAlign w:val="center"/>
                </w:tcPr>
                <w:p w14:paraId="7DDE33FD">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序号</w:t>
                  </w:r>
                </w:p>
              </w:tc>
              <w:tc>
                <w:tcPr>
                  <w:tcW w:w="608" w:type="pct"/>
                  <w:vMerge w:val="restart"/>
                  <w:noWrap w:val="0"/>
                  <w:vAlign w:val="center"/>
                </w:tcPr>
                <w:p w14:paraId="13D80F75">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项目</w:t>
                  </w:r>
                </w:p>
                <w:p w14:paraId="1F583231">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名称</w:t>
                  </w:r>
                </w:p>
              </w:tc>
              <w:tc>
                <w:tcPr>
                  <w:tcW w:w="2147" w:type="pct"/>
                  <w:gridSpan w:val="2"/>
                  <w:noWrap w:val="0"/>
                  <w:vAlign w:val="center"/>
                </w:tcPr>
                <w:p w14:paraId="508C2636">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环评审批情况</w:t>
                  </w:r>
                </w:p>
              </w:tc>
              <w:tc>
                <w:tcPr>
                  <w:tcW w:w="1948" w:type="pct"/>
                  <w:gridSpan w:val="2"/>
                  <w:noWrap w:val="0"/>
                  <w:vAlign w:val="center"/>
                </w:tcPr>
                <w:p w14:paraId="3D18D812">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环保竣工验收情况</w:t>
                  </w:r>
                </w:p>
              </w:tc>
            </w:tr>
            <w:tr w14:paraId="09D9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94" w:type="pct"/>
                  <w:vMerge w:val="continue"/>
                  <w:noWrap w:val="0"/>
                  <w:vAlign w:val="center"/>
                </w:tcPr>
                <w:p w14:paraId="49C3F7A5">
                  <w:pPr>
                    <w:pStyle w:val="10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608" w:type="pct"/>
                  <w:vMerge w:val="continue"/>
                  <w:noWrap w:val="0"/>
                  <w:vAlign w:val="center"/>
                </w:tcPr>
                <w:p w14:paraId="15C6FA58">
                  <w:pPr>
                    <w:pStyle w:val="10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rPr>
                  </w:pPr>
                </w:p>
              </w:tc>
              <w:tc>
                <w:tcPr>
                  <w:tcW w:w="936" w:type="pct"/>
                  <w:noWrap w:val="0"/>
                  <w:vAlign w:val="center"/>
                </w:tcPr>
                <w:p w14:paraId="572C47ED">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审批文号</w:t>
                  </w:r>
                </w:p>
              </w:tc>
              <w:tc>
                <w:tcPr>
                  <w:tcW w:w="1211" w:type="pct"/>
                  <w:noWrap w:val="0"/>
                  <w:vAlign w:val="center"/>
                </w:tcPr>
                <w:p w14:paraId="36EB34E1">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审批内容</w:t>
                  </w:r>
                </w:p>
              </w:tc>
              <w:tc>
                <w:tcPr>
                  <w:tcW w:w="737" w:type="pct"/>
                  <w:noWrap w:val="0"/>
                  <w:vAlign w:val="center"/>
                </w:tcPr>
                <w:p w14:paraId="15DEA1A8">
                  <w:pPr>
                    <w:pStyle w:val="10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批准文号</w:t>
                  </w:r>
                </w:p>
              </w:tc>
              <w:tc>
                <w:tcPr>
                  <w:tcW w:w="1211" w:type="pct"/>
                  <w:noWrap w:val="0"/>
                  <w:vAlign w:val="center"/>
                </w:tcPr>
                <w:p w14:paraId="26DE1072">
                  <w:pPr>
                    <w:pStyle w:val="107"/>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验收内容</w:t>
                  </w:r>
                </w:p>
              </w:tc>
            </w:tr>
            <w:tr w14:paraId="176C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294" w:type="pct"/>
                  <w:noWrap w:val="0"/>
                  <w:vAlign w:val="center"/>
                </w:tcPr>
                <w:p w14:paraId="74FD99DC">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1</w:t>
                  </w:r>
                </w:p>
              </w:tc>
              <w:tc>
                <w:tcPr>
                  <w:tcW w:w="608" w:type="pct"/>
                  <w:noWrap w:val="0"/>
                  <w:vAlign w:val="center"/>
                </w:tcPr>
                <w:p w14:paraId="119BF692">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sz w:val="21"/>
                      <w:szCs w:val="21"/>
                    </w:rPr>
                  </w:pPr>
                  <w:r>
                    <w:rPr>
                      <w:rFonts w:hint="default" w:ascii="Times New Roman" w:hAnsi="Times New Roman" w:eastAsia="宋体" w:cs="Times New Roman"/>
                      <w:b w:val="0"/>
                      <w:bCs w:val="0"/>
                      <w:color w:val="auto"/>
                      <w:kern w:val="2"/>
                      <w:sz w:val="21"/>
                      <w:szCs w:val="21"/>
                      <w:lang w:val="en-US" w:eastAsia="zh-CN" w:bidi="ar-SA"/>
                    </w:rPr>
                    <w:t>《</w:t>
                  </w:r>
                  <w:r>
                    <w:rPr>
                      <w:rFonts w:hint="default" w:ascii="Times New Roman" w:hAnsi="Times New Roman" w:eastAsia="宋体" w:cs="Times New Roman"/>
                      <w:color w:val="000000"/>
                      <w:kern w:val="0"/>
                      <w:sz w:val="21"/>
                      <w:szCs w:val="21"/>
                      <w:lang w:val="en-US" w:eastAsia="zh-CN" w:bidi="ar"/>
                    </w:rPr>
                    <w:t>安徽省淮南矿业(集团)有限责任公司顾 北矿井及选煤厂</w:t>
                  </w:r>
                </w:p>
                <w:p w14:paraId="0D235F0C">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936" w:type="pct"/>
                  <w:noWrap w:val="0"/>
                  <w:vAlign w:val="center"/>
                </w:tcPr>
                <w:p w14:paraId="3614BE34">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《关于安徽省淮南矿业(集团)有限责任公司顾北矿井及选煤厂环境影响报告书的 批复》(原环境保护总局，环审[2005]682 号，2005 年7月14日)</w:t>
                  </w:r>
                </w:p>
                <w:p w14:paraId="5AA1A8BE">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1211" w:type="pct"/>
                  <w:noWrap w:val="0"/>
                  <w:vAlign w:val="center"/>
                </w:tcPr>
                <w:p w14:paraId="7A442050">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SA"/>
                    </w:rPr>
                    <w:t>工业场地建设永久瓦斯抽采系统，</w:t>
                  </w:r>
                  <w:r>
                    <w:rPr>
                      <w:rFonts w:hint="default" w:ascii="Times New Roman" w:hAnsi="Times New Roman" w:eastAsia="宋体" w:cs="Times New Roman"/>
                      <w:color w:val="000000"/>
                      <w:kern w:val="0"/>
                      <w:sz w:val="21"/>
                      <w:szCs w:val="21"/>
                      <w:lang w:val="en-US" w:eastAsia="zh-CN" w:bidi="ar"/>
                    </w:rPr>
                    <w:t>配置 4 台水环式真空泵(额定流量Q=537m</w:t>
                  </w:r>
                  <w:r>
                    <w:rPr>
                      <w:rFonts w:hint="default" w:ascii="Times New Roman" w:hAnsi="Times New Roman" w:eastAsia="宋体" w:cs="Times New Roman"/>
                      <w:color w:val="000000"/>
                      <w:kern w:val="0"/>
                      <w:sz w:val="21"/>
                      <w:szCs w:val="21"/>
                      <w:vertAlign w:val="superscript"/>
                      <w:lang w:val="en-US" w:eastAsia="zh-CN" w:bidi="ar"/>
                    </w:rPr>
                    <w:t xml:space="preserve">3 </w:t>
                  </w:r>
                  <w:r>
                    <w:rPr>
                      <w:rFonts w:hint="default" w:ascii="Times New Roman" w:hAnsi="Times New Roman" w:eastAsia="宋体" w:cs="Times New Roman"/>
                      <w:color w:val="000000"/>
                      <w:kern w:val="0"/>
                      <w:sz w:val="21"/>
                      <w:szCs w:val="21"/>
                      <w:lang w:val="en-US" w:eastAsia="zh-CN" w:bidi="ar"/>
                    </w:rPr>
                    <w:t>/min)，分两组运行，每组一备一用，服务矿井南翼</w:t>
                  </w:r>
                  <w:r>
                    <w:rPr>
                      <w:rFonts w:hint="default" w:ascii="Times New Roman" w:hAnsi="Times New Roman"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北翼采区瓦斯抽采。</w:t>
                  </w:r>
                </w:p>
                <w:p w14:paraId="7CA26991">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cs="Times New Roman"/>
                      <w:color w:val="000000"/>
                      <w:kern w:val="0"/>
                      <w:sz w:val="21"/>
                      <w:szCs w:val="21"/>
                      <w:lang w:val="en-US" w:eastAsia="zh-CN" w:bidi="ar"/>
                    </w:rPr>
                    <w:t>地面</w:t>
                  </w:r>
                  <w:r>
                    <w:rPr>
                      <w:rFonts w:hint="default" w:ascii="Times New Roman" w:hAnsi="Times New Roman" w:eastAsia="宋体" w:cs="Times New Roman"/>
                      <w:color w:val="000000"/>
                      <w:kern w:val="0"/>
                      <w:sz w:val="21"/>
                      <w:szCs w:val="21"/>
                      <w:lang w:val="en-US" w:eastAsia="zh-CN" w:bidi="ar"/>
                    </w:rPr>
                    <w:t>现有2趟抽采管路，其中一趟(1#管路，DN600mm)由入井钻孔(1#)下至-648m 水平，连接-648 水平总回风巷内DN600mm 抽采管路；另一趟(2#管路，DN600mm)沿中央回风井敷设至-550m 及-648m 水平，连接-648m 北翼回风石门内 DN600mm抽采管路</w:t>
                  </w:r>
                  <w:r>
                    <w:rPr>
                      <w:rFonts w:hint="default" w:ascii="Times New Roman" w:hAnsi="Times New Roman" w:cs="Times New Roman"/>
                      <w:color w:val="000000"/>
                      <w:kern w:val="0"/>
                      <w:sz w:val="21"/>
                      <w:szCs w:val="21"/>
                      <w:lang w:val="en-US" w:eastAsia="zh-CN" w:bidi="ar"/>
                    </w:rPr>
                    <w:t>。</w:t>
                  </w:r>
                </w:p>
              </w:tc>
              <w:tc>
                <w:tcPr>
                  <w:tcW w:w="737" w:type="pct"/>
                  <w:noWrap w:val="0"/>
                  <w:vAlign w:val="center"/>
                </w:tcPr>
                <w:p w14:paraId="0E3A700F">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《关于淮南矿业(集团)有限责任公司顾北矿井及选煤厂工程竣工环境保护验收意见的函》(原环</w:t>
                  </w:r>
                </w:p>
                <w:p w14:paraId="2D27BDBB">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境保护部，环验[2008]95 号，2008年6月19 日)</w:t>
                  </w:r>
                </w:p>
                <w:p w14:paraId="29B425BD">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1211" w:type="pct"/>
                  <w:noWrap w:val="0"/>
                  <w:vAlign w:val="center"/>
                </w:tcPr>
                <w:p w14:paraId="7B68CDC5">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SA"/>
                    </w:rPr>
                    <w:t>工业场地建设永久瓦斯抽采系统，</w:t>
                  </w:r>
                  <w:r>
                    <w:rPr>
                      <w:rFonts w:hint="default" w:ascii="Times New Roman" w:hAnsi="Times New Roman" w:eastAsia="宋体" w:cs="Times New Roman"/>
                      <w:color w:val="000000"/>
                      <w:kern w:val="0"/>
                      <w:sz w:val="21"/>
                      <w:szCs w:val="21"/>
                      <w:lang w:val="en-US" w:eastAsia="zh-CN" w:bidi="ar"/>
                    </w:rPr>
                    <w:t>配置 4 台水环式真空泵(额定流量Q=537m</w:t>
                  </w:r>
                  <w:r>
                    <w:rPr>
                      <w:rFonts w:hint="default" w:ascii="Times New Roman" w:hAnsi="Times New Roman" w:eastAsia="宋体" w:cs="Times New Roman"/>
                      <w:color w:val="000000"/>
                      <w:kern w:val="0"/>
                      <w:sz w:val="21"/>
                      <w:szCs w:val="21"/>
                      <w:vertAlign w:val="superscript"/>
                      <w:lang w:val="en-US" w:eastAsia="zh-CN" w:bidi="ar"/>
                    </w:rPr>
                    <w:t xml:space="preserve">3 </w:t>
                  </w:r>
                  <w:r>
                    <w:rPr>
                      <w:rFonts w:hint="default" w:ascii="Times New Roman" w:hAnsi="Times New Roman" w:eastAsia="宋体" w:cs="Times New Roman"/>
                      <w:color w:val="000000"/>
                      <w:kern w:val="0"/>
                      <w:sz w:val="21"/>
                      <w:szCs w:val="21"/>
                      <w:lang w:val="en-US" w:eastAsia="zh-CN" w:bidi="ar"/>
                    </w:rPr>
                    <w:t>/min)，分两组运行，每组一备一用，服务矿井南翼、北翼采区瓦斯抽采。</w:t>
                  </w:r>
                </w:p>
                <w:p w14:paraId="2CD52276">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000000"/>
                      <w:kern w:val="0"/>
                      <w:sz w:val="21"/>
                      <w:szCs w:val="21"/>
                      <w:lang w:val="en-US" w:eastAsia="zh-CN" w:bidi="ar"/>
                    </w:rPr>
                    <w:t>地面</w:t>
                  </w:r>
                  <w:r>
                    <w:rPr>
                      <w:rFonts w:hint="default" w:ascii="Times New Roman" w:hAnsi="Times New Roman" w:eastAsia="宋体" w:cs="Times New Roman"/>
                      <w:color w:val="000000"/>
                      <w:kern w:val="0"/>
                      <w:sz w:val="21"/>
                      <w:szCs w:val="21"/>
                      <w:lang w:val="en-US" w:eastAsia="zh-CN" w:bidi="ar"/>
                    </w:rPr>
                    <w:t>现有2趟抽采管路，其中一趟(1#管路，DN600mm)由入井钻孔(1#)下至-648m 水平，连接-648 水平总回风巷内DN600mm 抽采管路；另一趟(2#管路，DN600mm)沿中央回风井敷设至-550m 及-648m 水平，连接-648m 北翼回风石门内 DN600mm抽采管路</w:t>
                  </w:r>
                  <w:r>
                    <w:rPr>
                      <w:rFonts w:hint="default" w:ascii="Times New Roman" w:hAnsi="Times New Roman" w:cs="Times New Roman"/>
                      <w:color w:val="000000"/>
                      <w:kern w:val="0"/>
                      <w:sz w:val="21"/>
                      <w:szCs w:val="21"/>
                      <w:lang w:val="en-US" w:eastAsia="zh-CN" w:bidi="ar"/>
                    </w:rPr>
                    <w:t>。</w:t>
                  </w:r>
                </w:p>
              </w:tc>
            </w:tr>
            <w:tr w14:paraId="59C6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5" w:hRule="atLeast"/>
              </w:trPr>
              <w:tc>
                <w:tcPr>
                  <w:tcW w:w="294" w:type="pct"/>
                  <w:noWrap w:val="0"/>
                  <w:vAlign w:val="center"/>
                </w:tcPr>
                <w:p w14:paraId="03706DCF">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2</w:t>
                  </w:r>
                </w:p>
              </w:tc>
              <w:tc>
                <w:tcPr>
                  <w:tcW w:w="608" w:type="pct"/>
                  <w:noWrap w:val="0"/>
                  <w:vAlign w:val="center"/>
                </w:tcPr>
                <w:p w14:paraId="4791CBD3">
                  <w:pPr>
                    <w:keepNext w:val="0"/>
                    <w:keepLines w:val="0"/>
                    <w:pageBreakBefore w:val="0"/>
                    <w:widowControl/>
                    <w:suppressLineNumbers w:val="0"/>
                    <w:kinsoku/>
                    <w:wordWrap w:val="0"/>
                    <w:overflowPunct/>
                    <w:topLinePunct w:val="0"/>
                    <w:autoSpaceDE/>
                    <w:autoSpaceDN/>
                    <w:bidi w:val="0"/>
                    <w:spacing w:before="0" w:beforeAutospacing="0" w:after="0" w:afterAutospacing="0"/>
                    <w:ind w:left="0" w:right="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顾北煤矿瓦斯抽采系 统改扩建工程</w:t>
                  </w:r>
                </w:p>
                <w:p w14:paraId="62EE065B">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936" w:type="pct"/>
                  <w:noWrap w:val="0"/>
                  <w:vAlign w:val="center"/>
                </w:tcPr>
                <w:p w14:paraId="6D10AD54">
                  <w:pPr>
                    <w:keepNext w:val="0"/>
                    <w:keepLines w:val="0"/>
                    <w:pageBreakBefore w:val="0"/>
                    <w:widowControl/>
                    <w:suppressLineNumbers w:val="0"/>
                    <w:kinsoku/>
                    <w:wordWrap w:val="0"/>
                    <w:overflowPunct/>
                    <w:topLinePunct w:val="0"/>
                    <w:autoSpaceDE/>
                    <w:autoSpaceDN/>
                    <w:bidi w:val="0"/>
                    <w:spacing w:before="0" w:beforeAutospacing="0" w:after="0" w:afterAutospacing="0"/>
                    <w:ind w:left="0" w:right="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《关于顾北煤矿瓦斯抽采系统改扩建工程环境影响报告表的批复》(淮南市凤台县 </w:t>
                  </w:r>
                </w:p>
                <w:p w14:paraId="3A32FBAF">
                  <w:pPr>
                    <w:keepNext w:val="0"/>
                    <w:keepLines w:val="0"/>
                    <w:pageBreakBefore w:val="0"/>
                    <w:widowControl/>
                    <w:suppressLineNumbers w:val="0"/>
                    <w:kinsoku/>
                    <w:wordWrap w:val="0"/>
                    <w:overflowPunct/>
                    <w:topLinePunct w:val="0"/>
                    <w:autoSpaceDE/>
                    <w:autoSpaceDN/>
                    <w:bidi w:val="0"/>
                    <w:spacing w:before="0" w:beforeAutospacing="0" w:after="0" w:afterAutospacing="0"/>
                    <w:ind w:left="0" w:right="0"/>
                    <w:jc w:val="left"/>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生态环境分局，凤环表批[2021]16号，2021年10 月22日)</w:t>
                  </w:r>
                </w:p>
              </w:tc>
              <w:tc>
                <w:tcPr>
                  <w:tcW w:w="1211" w:type="pct"/>
                  <w:noWrap w:val="0"/>
                  <w:vAlign w:val="center"/>
                </w:tcPr>
                <w:p w14:paraId="22CB0D0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新增1座抽采泵站，设置于现有抽采泵站东侧，配置2台水环式真空泵(额定流量Q=800m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 xml:space="preserve"> /min)，2 台为一组运行，一备一用。</w:t>
                  </w:r>
                </w:p>
                <w:p w14:paraId="587237E9">
                  <w:pPr>
                    <w:keepNext w:val="0"/>
                    <w:keepLines w:val="0"/>
                    <w:pageBreakBefore w:val="0"/>
                    <w:widowControl/>
                    <w:suppressLineNumbers w:val="0"/>
                    <w:kinsoku/>
                    <w:wordWrap w:val="0"/>
                    <w:overflowPunct/>
                    <w:topLinePunct w:val="0"/>
                    <w:autoSpaceDE/>
                    <w:autoSpaceDN/>
                    <w:bidi w:val="0"/>
                    <w:spacing w:before="0" w:beforeAutospacing="0" w:after="0" w:afterAutospacing="0"/>
                    <w:ind w:left="0" w:right="0"/>
                    <w:jc w:val="left"/>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地面新增一趟抽采管路(3#管路、DN800mm)，长度约480m，由入井钻孔(2#)下至-648m水平；井下新增一趟水平抽采管路(DN800mm)，沿矿井南翼、北翼回风石门内瓦斯抽采管，总长4900m(其中南翼采区2750m，北翼采区2150m</w:t>
                  </w:r>
                  <w:r>
                    <w:rPr>
                      <w:rFonts w:hint="default" w:ascii="Times New Roman" w:hAnsi="Times New Roman" w:cs="Times New Roman"/>
                      <w:color w:val="000000"/>
                      <w:kern w:val="0"/>
                      <w:sz w:val="21"/>
                      <w:szCs w:val="21"/>
                      <w:lang w:val="en-US" w:eastAsia="zh-CN" w:bidi="ar"/>
                    </w:rPr>
                    <w:t>。</w:t>
                  </w:r>
                </w:p>
              </w:tc>
              <w:tc>
                <w:tcPr>
                  <w:tcW w:w="737" w:type="pct"/>
                  <w:noWrap w:val="0"/>
                  <w:vAlign w:val="center"/>
                </w:tcPr>
                <w:p w14:paraId="0F41C273">
                  <w:pPr>
                    <w:keepNext w:val="0"/>
                    <w:keepLines w:val="0"/>
                    <w:pageBreakBefore w:val="0"/>
                    <w:widowControl/>
                    <w:suppressLineNumbers w:val="0"/>
                    <w:kinsoku/>
                    <w:wordWrap w:val="0"/>
                    <w:overflowPunct/>
                    <w:topLinePunct w:val="0"/>
                    <w:autoSpaceDE/>
                    <w:autoSpaceDN/>
                    <w:bidi w:val="0"/>
                    <w:spacing w:before="0" w:beforeAutospacing="0" w:after="0" w:afterAutospacing="0"/>
                    <w:ind w:left="0" w:right="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2022年9月18 日，建设单位完成自主验收</w:t>
                  </w:r>
                </w:p>
                <w:p w14:paraId="13F67070">
                  <w:pPr>
                    <w:pStyle w:val="107"/>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1211" w:type="pct"/>
                  <w:noWrap w:val="0"/>
                  <w:vAlign w:val="center"/>
                </w:tcPr>
                <w:p w14:paraId="6007741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新增1座抽采泵站，设置于现有抽采泵站东侧，配置2台水环式真空泵(额定流量Q=800m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 xml:space="preserve"> /min)，2 台为一组运行，一备一用。</w:t>
                  </w:r>
                </w:p>
                <w:p w14:paraId="680B9E20">
                  <w:pPr>
                    <w:keepNext w:val="0"/>
                    <w:keepLines w:val="0"/>
                    <w:pageBreakBefore w:val="0"/>
                    <w:widowControl/>
                    <w:suppressLineNumbers w:val="0"/>
                    <w:kinsoku/>
                    <w:wordWrap w:val="0"/>
                    <w:overflowPunct/>
                    <w:topLinePunct w:val="0"/>
                    <w:autoSpaceDE/>
                    <w:autoSpaceDN/>
                    <w:bidi w:val="0"/>
                    <w:spacing w:before="0" w:beforeAutospacing="0" w:after="0" w:afterAutospacing="0"/>
                    <w:ind w:left="0" w:right="0"/>
                    <w:jc w:val="left"/>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地面新增一趟抽采管路(3#管路、DN800mm)，长度约480m，由入井钻孔(2#)下至-648m水平；井下新增一趟水平抽采管路(DN800mm)，沿矿井南翼、北翼回风石门内瓦斯抽采管，总长4900m(其中南翼采区2750m，北翼采区2150m</w:t>
                  </w:r>
                  <w:r>
                    <w:rPr>
                      <w:rFonts w:hint="default" w:ascii="Times New Roman" w:hAnsi="Times New Roman" w:cs="Times New Roman"/>
                      <w:color w:val="000000"/>
                      <w:kern w:val="0"/>
                      <w:sz w:val="21"/>
                      <w:szCs w:val="21"/>
                      <w:lang w:val="en-US" w:eastAsia="zh-CN" w:bidi="ar"/>
                    </w:rPr>
                    <w:t>。</w:t>
                  </w:r>
                </w:p>
              </w:tc>
            </w:tr>
          </w:tbl>
          <w:p w14:paraId="5F0270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jc w:val="left"/>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 xml:space="preserve">淮浙煤电有限责任公司顾北煤矿申 领 了 </w:t>
            </w:r>
            <w:r>
              <w:rPr>
                <w:rFonts w:hint="eastAsia" w:cs="Times New Roman"/>
                <w:b w:val="0"/>
                <w:color w:val="auto"/>
                <w:kern w:val="2"/>
                <w:sz w:val="24"/>
                <w:szCs w:val="24"/>
                <w:highlight w:val="none"/>
                <w:lang w:val="en-US" w:eastAsia="zh-CN" w:bidi="ar-SA"/>
              </w:rPr>
              <w:t>重点管理的</w:t>
            </w:r>
            <w:r>
              <w:rPr>
                <w:rFonts w:hint="eastAsia" w:ascii="Times New Roman" w:hAnsi="Times New Roman" w:eastAsia="宋体" w:cs="Times New Roman"/>
                <w:b w:val="0"/>
                <w:color w:val="auto"/>
                <w:kern w:val="2"/>
                <w:sz w:val="24"/>
                <w:szCs w:val="24"/>
                <w:highlight w:val="none"/>
                <w:lang w:val="en-US" w:eastAsia="zh-CN" w:bidi="ar-SA"/>
              </w:rPr>
              <w:t xml:space="preserve">排 污 许 可 证 </w:t>
            </w:r>
            <w:r>
              <w:rPr>
                <w:rFonts w:hint="default" w:ascii="Times New Roman" w:hAnsi="Times New Roman" w:eastAsia="宋体" w:cs="Times New Roman"/>
                <w:b w:val="0"/>
                <w:color w:val="auto"/>
                <w:kern w:val="2"/>
                <w:sz w:val="24"/>
                <w:szCs w:val="24"/>
                <w:highlight w:val="none"/>
                <w:lang w:val="en-US" w:eastAsia="zh-CN" w:bidi="ar-SA"/>
              </w:rPr>
              <w:t xml:space="preserve">( </w:t>
            </w:r>
            <w:r>
              <w:rPr>
                <w:rFonts w:hint="eastAsia" w:ascii="Times New Roman" w:hAnsi="Times New Roman" w:eastAsia="宋体" w:cs="Times New Roman"/>
                <w:b w:val="0"/>
                <w:color w:val="auto"/>
                <w:kern w:val="2"/>
                <w:sz w:val="24"/>
                <w:szCs w:val="24"/>
                <w:highlight w:val="none"/>
                <w:lang w:val="en-US" w:eastAsia="zh-CN" w:bidi="ar-SA"/>
              </w:rPr>
              <w:t xml:space="preserve">证 书 编 号 ： </w:t>
            </w:r>
            <w:r>
              <w:rPr>
                <w:rFonts w:hint="default" w:ascii="Times New Roman" w:hAnsi="Times New Roman" w:eastAsia="宋体" w:cs="Times New Roman"/>
                <w:b w:val="0"/>
                <w:color w:val="auto"/>
                <w:kern w:val="2"/>
                <w:sz w:val="24"/>
                <w:szCs w:val="24"/>
                <w:highlight w:val="none"/>
                <w:lang w:val="en-US" w:eastAsia="zh-CN" w:bidi="ar-SA"/>
              </w:rPr>
              <w:t>9134042177738615X9001V)</w:t>
            </w:r>
            <w:r>
              <w:rPr>
                <w:rFonts w:hint="eastAsia" w:ascii="Times New Roman" w:hAnsi="Times New Roman" w:eastAsia="宋体" w:cs="Times New Roman"/>
                <w:b w:val="0"/>
                <w:color w:val="auto"/>
                <w:kern w:val="2"/>
                <w:sz w:val="24"/>
                <w:szCs w:val="24"/>
                <w:highlight w:val="none"/>
                <w:lang w:val="en-US" w:eastAsia="zh-CN" w:bidi="ar-SA"/>
              </w:rPr>
              <w:t>，按要求定期进行自行监测并填报执行总结报告。</w:t>
            </w:r>
          </w:p>
          <w:p w14:paraId="2606519D">
            <w:pPr>
              <w:keepNext w:val="0"/>
              <w:keepLines w:val="0"/>
              <w:pageBreakBefore w:val="0"/>
              <w:numPr>
                <w:ilvl w:val="0"/>
                <w:numId w:val="11"/>
              </w:numPr>
              <w:suppressLineNumbers w:val="0"/>
              <w:tabs>
                <w:tab w:val="left" w:pos="975"/>
              </w:tabs>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textAlignment w:val="auto"/>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现有工程污染物排放情况</w:t>
            </w:r>
          </w:p>
          <w:p w14:paraId="32A4E6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jc w:val="left"/>
              <w:textAlignment w:val="auto"/>
              <w:rPr>
                <w:rFonts w:hint="eastAsia"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(1)</w:t>
            </w:r>
            <w:r>
              <w:rPr>
                <w:rFonts w:hint="eastAsia" w:ascii="Times New Roman" w:hAnsi="Times New Roman" w:eastAsia="宋体" w:cs="Times New Roman"/>
                <w:b w:val="0"/>
                <w:color w:val="auto"/>
                <w:kern w:val="2"/>
                <w:sz w:val="24"/>
                <w:szCs w:val="24"/>
                <w:highlight w:val="none"/>
                <w:lang w:val="en-US" w:eastAsia="zh-CN" w:bidi="ar-SA"/>
              </w:rPr>
              <w:t xml:space="preserve">废气 </w:t>
            </w:r>
          </w:p>
          <w:p w14:paraId="75D823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jc w:val="left"/>
              <w:textAlignment w:val="auto"/>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现有工程主要为瓦斯抽采，抽采瓦斯为低浓度瓦斯，通过放空管高空排放。根据建设单位提供瓦斯成分报告可知，项目排放的瓦斯中大部分为氮气和氧气，少量甲烷，极少量二氧化碳和其他微量气体。</w:t>
            </w:r>
          </w:p>
          <w:p w14:paraId="3013EB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jc w:val="left"/>
              <w:textAlignment w:val="auto"/>
              <w:rPr>
                <w:rFonts w:hint="eastAsia"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(2)</w:t>
            </w:r>
            <w:r>
              <w:rPr>
                <w:rFonts w:hint="eastAsia" w:ascii="Times New Roman" w:hAnsi="Times New Roman" w:eastAsia="宋体" w:cs="Times New Roman"/>
                <w:b w:val="0"/>
                <w:color w:val="auto"/>
                <w:kern w:val="2"/>
                <w:sz w:val="24"/>
                <w:szCs w:val="24"/>
                <w:highlight w:val="none"/>
                <w:lang w:val="en-US" w:eastAsia="zh-CN" w:bidi="ar-SA"/>
              </w:rPr>
              <w:t xml:space="preserve">废水 </w:t>
            </w:r>
          </w:p>
          <w:p w14:paraId="45E2DD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jc w:val="left"/>
              <w:textAlignment w:val="auto"/>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现有工程废水主要为抽采泵站职工生活污水、</w:t>
            </w:r>
            <w:r>
              <w:rPr>
                <w:rFonts w:hint="eastAsia" w:ascii="Times New Roman" w:hAnsi="Times New Roman" w:eastAsia="宋体" w:cs="Times New Roman"/>
                <w:color w:val="auto"/>
                <w:sz w:val="24"/>
                <w:highlight w:val="none"/>
                <w:lang w:val="en-US" w:eastAsia="zh-CN"/>
              </w:rPr>
              <w:t>循环水系统定期排污水</w:t>
            </w:r>
            <w:r>
              <w:rPr>
                <w:rFonts w:hint="eastAsia" w:ascii="Times New Roman" w:hAnsi="Times New Roman" w:eastAsia="宋体" w:cs="Times New Roman"/>
                <w:b w:val="0"/>
                <w:color w:val="auto"/>
                <w:kern w:val="2"/>
                <w:sz w:val="24"/>
                <w:szCs w:val="24"/>
                <w:highlight w:val="none"/>
                <w:lang w:val="en-US" w:eastAsia="zh-CN" w:bidi="ar-SA"/>
              </w:rPr>
              <w:t>。生活污水排放量为0.4m</w:t>
            </w:r>
            <w:r>
              <w:rPr>
                <w:rFonts w:hint="eastAsia" w:ascii="Times New Roman" w:hAnsi="Times New Roman" w:eastAsia="宋体" w:cs="Times New Roman"/>
                <w:b w:val="0"/>
                <w:color w:val="auto"/>
                <w:kern w:val="2"/>
                <w:sz w:val="24"/>
                <w:szCs w:val="24"/>
                <w:highlight w:val="none"/>
                <w:vertAlign w:val="superscript"/>
                <w:lang w:val="en-US" w:eastAsia="zh-CN" w:bidi="ar-SA"/>
              </w:rPr>
              <w:t>3</w:t>
            </w:r>
            <w:r>
              <w:rPr>
                <w:rFonts w:hint="eastAsia" w:ascii="Times New Roman" w:hAnsi="Times New Roman" w:eastAsia="宋体" w:cs="Times New Roman"/>
                <w:b w:val="0"/>
                <w:color w:val="auto"/>
                <w:kern w:val="2"/>
                <w:sz w:val="24"/>
                <w:szCs w:val="24"/>
                <w:highlight w:val="none"/>
                <w:lang w:val="en-US" w:eastAsia="zh-CN" w:bidi="ar-SA"/>
              </w:rPr>
              <w:t>/d，</w:t>
            </w:r>
            <w:r>
              <w:rPr>
                <w:rFonts w:hint="eastAsia" w:ascii="Times New Roman" w:hAnsi="Times New Roman" w:eastAsia="宋体" w:cs="Times New Roman"/>
                <w:color w:val="auto"/>
                <w:sz w:val="24"/>
                <w:highlight w:val="none"/>
                <w:lang w:val="en-US" w:eastAsia="zh-CN"/>
              </w:rPr>
              <w:t>循环水系统定期排污水约</w:t>
            </w:r>
            <w:r>
              <w:rPr>
                <w:rFonts w:hint="eastAsia" w:cs="Times New Roman"/>
                <w:color w:val="auto"/>
                <w:sz w:val="24"/>
                <w:highlight w:val="none"/>
                <w:lang w:val="en-US" w:eastAsia="zh-CN"/>
              </w:rPr>
              <w:t>4</w:t>
            </w:r>
            <w:r>
              <w:rPr>
                <w:rFonts w:hint="eastAsia" w:ascii="Times New Roman" w:hAnsi="Times New Roman" w:eastAsia="宋体" w:cs="Times New Roman"/>
                <w:color w:val="auto"/>
                <w:sz w:val="24"/>
                <w:highlight w:val="none"/>
                <w:lang w:val="en-US" w:eastAsia="zh-CN"/>
              </w:rPr>
              <w:t>个月排放1次，每</w:t>
            </w:r>
            <w:r>
              <w:rPr>
                <w:rFonts w:hint="eastAsia" w:ascii="Times New Roman" w:hAnsi="Times New Roman" w:eastAsia="宋体" w:cs="Times New Roman"/>
                <w:color w:val="auto"/>
                <w:sz w:val="24"/>
                <w:szCs w:val="24"/>
                <w:highlight w:val="none"/>
                <w:lang w:val="en-US" w:eastAsia="zh-CN"/>
              </w:rPr>
              <w:t>次排放量约200</w:t>
            </w:r>
            <w:r>
              <w:rPr>
                <w:rFonts w:hint="eastAsia" w:ascii="Times New Roman" w:hAnsi="Times New Roman" w:eastAsia="宋体" w:cs="Times New Roman"/>
                <w:b w:val="0"/>
                <w:bCs w:val="0"/>
                <w:color w:val="auto"/>
                <w:kern w:val="2"/>
                <w:sz w:val="24"/>
                <w:szCs w:val="24"/>
                <w:highlight w:val="none"/>
                <w:lang w:val="en-US" w:eastAsia="zh-CN" w:bidi="ar-SA"/>
              </w:rPr>
              <w:t>m</w:t>
            </w:r>
            <w:r>
              <w:rPr>
                <w:rFonts w:hint="eastAsia" w:ascii="Times New Roman" w:hAnsi="Times New Roman" w:eastAsia="宋体" w:cs="Times New Roman"/>
                <w:b w:val="0"/>
                <w:bCs w:val="0"/>
                <w:color w:val="auto"/>
                <w:kern w:val="2"/>
                <w:sz w:val="24"/>
                <w:szCs w:val="24"/>
                <w:highlight w:val="none"/>
                <w:vertAlign w:val="superscript"/>
                <w:lang w:val="en-US" w:eastAsia="zh-CN" w:bidi="ar-SA"/>
              </w:rPr>
              <w:t>3</w:t>
            </w:r>
            <w:r>
              <w:rPr>
                <w:rFonts w:hint="eastAsia" w:cs="Times New Roman"/>
                <w:b w:val="0"/>
                <w:bCs w:val="0"/>
                <w:color w:val="auto"/>
                <w:kern w:val="2"/>
                <w:sz w:val="24"/>
                <w:szCs w:val="24"/>
                <w:highlight w:val="none"/>
                <w:vertAlign w:val="baseline"/>
                <w:lang w:val="en-US" w:eastAsia="zh-CN" w:bidi="ar-SA"/>
              </w:rPr>
              <w:t>、</w:t>
            </w:r>
            <w:r>
              <w:rPr>
                <w:rFonts w:hint="eastAsia" w:cs="Times New Roman"/>
                <w:b w:val="0"/>
                <w:color w:val="auto"/>
                <w:kern w:val="2"/>
                <w:sz w:val="24"/>
                <w:szCs w:val="24"/>
                <w:highlight w:val="none"/>
                <w:lang w:val="en-US" w:eastAsia="zh-CN" w:bidi="ar-SA"/>
              </w:rPr>
              <w:t>1.67</w:t>
            </w:r>
            <w:r>
              <w:rPr>
                <w:rFonts w:hint="eastAsia" w:ascii="Times New Roman" w:hAnsi="Times New Roman" w:eastAsia="宋体" w:cs="Times New Roman"/>
                <w:b w:val="0"/>
                <w:color w:val="auto"/>
                <w:kern w:val="2"/>
                <w:sz w:val="24"/>
                <w:szCs w:val="24"/>
                <w:highlight w:val="none"/>
                <w:lang w:val="en-US" w:eastAsia="zh-CN" w:bidi="ar-SA"/>
              </w:rPr>
              <w:t>m</w:t>
            </w:r>
            <w:r>
              <w:rPr>
                <w:rFonts w:hint="eastAsia" w:ascii="Times New Roman" w:hAnsi="Times New Roman" w:eastAsia="宋体" w:cs="Times New Roman"/>
                <w:b w:val="0"/>
                <w:color w:val="auto"/>
                <w:kern w:val="2"/>
                <w:sz w:val="24"/>
                <w:szCs w:val="24"/>
                <w:highlight w:val="none"/>
                <w:vertAlign w:val="superscript"/>
                <w:lang w:val="en-US" w:eastAsia="zh-CN" w:bidi="ar-SA"/>
              </w:rPr>
              <w:t>3</w:t>
            </w:r>
            <w:r>
              <w:rPr>
                <w:rFonts w:hint="eastAsia" w:ascii="Times New Roman" w:hAnsi="Times New Roman" w:eastAsia="宋体" w:cs="Times New Roman"/>
                <w:b w:val="0"/>
                <w:color w:val="auto"/>
                <w:kern w:val="2"/>
                <w:sz w:val="24"/>
                <w:szCs w:val="24"/>
                <w:highlight w:val="none"/>
                <w:lang w:val="en-US" w:eastAsia="zh-CN" w:bidi="ar-SA"/>
              </w:rPr>
              <w:t>/d。生活污水经现有管网进现有的生活污水处理站处理。</w:t>
            </w:r>
            <w:r>
              <w:rPr>
                <w:rFonts w:hint="eastAsia" w:ascii="Times New Roman" w:hAnsi="Times New Roman" w:eastAsia="宋体" w:cs="Times New Roman"/>
                <w:color w:val="auto"/>
                <w:sz w:val="24"/>
                <w:highlight w:val="none"/>
                <w:lang w:val="en-US" w:eastAsia="zh-CN"/>
              </w:rPr>
              <w:t>循环水系统定期排污水</w:t>
            </w:r>
            <w:r>
              <w:rPr>
                <w:rFonts w:hint="eastAsia" w:ascii="Times New Roman" w:hAnsi="Times New Roman" w:eastAsia="宋体" w:cs="Times New Roman"/>
                <w:b w:val="0"/>
                <w:color w:val="auto"/>
                <w:kern w:val="2"/>
                <w:sz w:val="24"/>
                <w:szCs w:val="24"/>
                <w:highlight w:val="none"/>
                <w:lang w:val="en-US" w:eastAsia="zh-CN" w:bidi="ar-SA"/>
              </w:rPr>
              <w:t>经现有管网进现有的矿井水处理站处理，处理站处理后的废水大部分回用于矿井生产，少量达标排放至永幸河。</w:t>
            </w:r>
          </w:p>
          <w:p w14:paraId="29D727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jc w:val="left"/>
              <w:textAlignment w:val="auto"/>
              <w:rPr>
                <w:rFonts w:hint="eastAsia"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(3)</w:t>
            </w:r>
            <w:r>
              <w:rPr>
                <w:rFonts w:hint="eastAsia" w:ascii="Times New Roman" w:hAnsi="Times New Roman" w:eastAsia="宋体" w:cs="Times New Roman"/>
                <w:b w:val="0"/>
                <w:color w:val="auto"/>
                <w:kern w:val="2"/>
                <w:sz w:val="24"/>
                <w:szCs w:val="24"/>
                <w:lang w:val="en-US" w:eastAsia="zh-CN" w:bidi="ar-SA"/>
              </w:rPr>
              <w:t xml:space="preserve">噪声 </w:t>
            </w:r>
          </w:p>
          <w:p w14:paraId="17192A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jc w:val="left"/>
              <w:textAlignment w:val="auto"/>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lang w:val="en-US" w:eastAsia="zh-CN" w:bidi="ar-SA"/>
              </w:rPr>
              <w:t>现有工程噪声主</w:t>
            </w:r>
            <w:r>
              <w:rPr>
                <w:rFonts w:hint="eastAsia" w:ascii="Times New Roman" w:hAnsi="Times New Roman" w:eastAsia="宋体" w:cs="Times New Roman"/>
                <w:b w:val="0"/>
                <w:color w:val="auto"/>
                <w:kern w:val="2"/>
                <w:sz w:val="24"/>
                <w:szCs w:val="24"/>
                <w:highlight w:val="none"/>
                <w:lang w:val="en-US" w:eastAsia="zh-CN" w:bidi="ar-SA"/>
              </w:rPr>
              <w:t>要为6台水环式真空泵和循环水泵等设备运行产生的噪声，噪声源强为85-90dB之间，采取选用低噪声设备、基础减振、厂房隔声等措施降低噪声对周边环境的影响。</w:t>
            </w:r>
          </w:p>
          <w:p w14:paraId="6337EFF2">
            <w:pPr>
              <w:keepNext w:val="0"/>
              <w:keepLines w:val="0"/>
              <w:pageBreakBefore w:val="0"/>
              <w:numPr>
                <w:ilvl w:val="0"/>
                <w:numId w:val="12"/>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textAlignment w:val="auto"/>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固废</w:t>
            </w:r>
          </w:p>
          <w:p w14:paraId="2684F3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jc w:val="left"/>
              <w:textAlignment w:val="auto"/>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现有工程固体废物主要为设备运行产生的废润滑油、废润滑油桶、含油抹布及职工生活垃圾。根据建设单位提供资料，年产生废润滑油约0.1t,废润滑油桶35个，含油抹布约30kg，废润滑油、废润滑油桶、含油抹布属于危险废物，暂存于现有的危废暂存间暂存后定期交有资质的单位处置。</w:t>
            </w:r>
            <w:r>
              <w:rPr>
                <w:rFonts w:hint="eastAsia" w:cs="Times New Roman"/>
                <w:color w:val="auto"/>
                <w:sz w:val="24"/>
                <w:highlight w:val="none"/>
                <w:lang w:val="en-US" w:eastAsia="zh-CN"/>
              </w:rPr>
              <w:t>每年产生4个水处理剂废包装桶，包装桶由厂家定期回收后综合利用</w:t>
            </w:r>
            <w:r>
              <w:rPr>
                <w:rFonts w:hint="eastAsia" w:ascii="Times New Roman" w:hAnsi="Times New Roman" w:eastAsia="宋体" w:cs="Times New Roman"/>
                <w:b w:val="0"/>
                <w:color w:val="auto"/>
                <w:kern w:val="2"/>
                <w:sz w:val="24"/>
                <w:szCs w:val="24"/>
                <w:highlight w:val="none"/>
                <w:lang w:val="en-US" w:eastAsia="zh-CN" w:bidi="ar-SA"/>
              </w:rPr>
              <w:t>；职工生活垃圾约730kg，依托现有的环卫部门统一处理。</w:t>
            </w:r>
          </w:p>
          <w:p w14:paraId="09F03952">
            <w:pPr>
              <w:keepNext w:val="0"/>
              <w:keepLines w:val="0"/>
              <w:pageBreakBefore w:val="0"/>
              <w:numPr>
                <w:ilvl w:val="0"/>
                <w:numId w:val="11"/>
              </w:numPr>
              <w:suppressLineNumbers w:val="0"/>
              <w:tabs>
                <w:tab w:val="left" w:pos="975"/>
              </w:tabs>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175"/>
              <w:textAlignment w:val="auto"/>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与该项目有关的主要环境问题及整改措施</w:t>
            </w:r>
          </w:p>
          <w:p w14:paraId="28CF335D">
            <w:pPr>
              <w:keepNext w:val="0"/>
              <w:keepLines w:val="0"/>
              <w:suppressLineNumbers w:val="0"/>
              <w:adjustRightInd w:val="0"/>
              <w:snapToGrid w:val="0"/>
              <w:spacing w:before="0" w:beforeAutospacing="0" w:after="0" w:afterAutospacing="0" w:line="360" w:lineRule="auto"/>
              <w:ind w:left="0" w:right="0" w:firstLine="480" w:firstLineChars="200"/>
              <w:jc w:val="left"/>
              <w:rPr>
                <w:rFonts w:hint="default" w:cs="Times New Roman"/>
                <w:color w:val="auto"/>
              </w:rPr>
            </w:pPr>
            <w:r>
              <w:rPr>
                <w:rFonts w:hint="eastAsia" w:ascii="Times New Roman" w:hAnsi="Times New Roman" w:eastAsia="宋体" w:cs="Times New Roman"/>
                <w:b w:val="0"/>
                <w:color w:val="auto"/>
                <w:kern w:val="2"/>
                <w:sz w:val="24"/>
                <w:szCs w:val="24"/>
                <w:lang w:val="en-US" w:eastAsia="zh-CN" w:bidi="ar-SA"/>
              </w:rPr>
              <w:t>现有项目主要服务于矿井生产辅助的瓦斯抽排工作，经现场调研，未发现现有项目存在环境污染问题。项目所在地未见生态</w:t>
            </w:r>
            <w:r>
              <w:rPr>
                <w:rFonts w:hint="eastAsia" w:ascii="宋体" w:hAnsi="宋体" w:cs="Times New Roman"/>
                <w:bCs/>
                <w:color w:val="auto"/>
                <w:sz w:val="24"/>
                <w:szCs w:val="24"/>
              </w:rPr>
              <w:t>破坏问题</w:t>
            </w:r>
            <w:r>
              <w:rPr>
                <w:rFonts w:hint="eastAsia" w:ascii="宋体" w:hAnsi="宋体" w:cs="Times New Roman"/>
                <w:bCs/>
                <w:color w:val="auto"/>
                <w:sz w:val="24"/>
                <w:szCs w:val="24"/>
                <w:lang w:eastAsia="zh-CN"/>
              </w:rPr>
              <w:t>。</w:t>
            </w:r>
          </w:p>
        </w:tc>
      </w:tr>
      <w:tr w14:paraId="7F04B7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286" w:type="pct"/>
            <w:noWrap w:val="0"/>
            <w:vAlign w:val="center"/>
          </w:tcPr>
          <w:p w14:paraId="2C9E5D65">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生态环境保护目标</w:t>
            </w:r>
          </w:p>
        </w:tc>
        <w:tc>
          <w:tcPr>
            <w:tcW w:w="4713" w:type="pct"/>
            <w:noWrap w:val="0"/>
            <w:vAlign w:val="center"/>
          </w:tcPr>
          <w:p w14:paraId="69191BEE">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auto"/>
                <w:kern w:val="0"/>
                <w:sz w:val="24"/>
                <w:szCs w:val="24"/>
                <w:lang w:val="en-US" w:eastAsia="zh-CN" w:bidi="ar"/>
              </w:rPr>
            </w:pPr>
            <w:r>
              <w:rPr>
                <w:rFonts w:hint="eastAsia" w:ascii="Times New Roman" w:hAnsi="Times New Roman" w:eastAsia="宋体" w:cs="Times New Roman"/>
                <w:bCs/>
                <w:color w:val="auto"/>
                <w:sz w:val="24"/>
                <w:lang w:eastAsia="zh-CN"/>
              </w:rPr>
              <w:t>根据现状调查，本项目评价区范围内未见</w:t>
            </w:r>
            <w:r>
              <w:rPr>
                <w:rFonts w:hint="eastAsia" w:ascii="Times New Roman" w:hAnsi="Times New Roman" w:eastAsia="宋体" w:cs="Times New Roman"/>
                <w:bCs/>
                <w:color w:val="auto"/>
                <w:sz w:val="24"/>
                <w:lang w:val="en-US" w:eastAsia="zh-CN"/>
              </w:rPr>
              <w:t>依据法律法规、政策等规范性文件划定或确认的国家公园、自然保护区、自然公园等自然保护地、世界自然遗产、生态保护红线等区域，未见重要物种的天然集中分布区、栖息</w:t>
            </w:r>
            <w:r>
              <w:rPr>
                <w:rFonts w:hint="default" w:ascii="Times New Roman" w:hAnsi="Times New Roman" w:eastAsia="宋体" w:cs="Times New Roman"/>
                <w:bCs/>
                <w:color w:val="auto"/>
                <w:sz w:val="24"/>
                <w:lang w:val="en-US" w:eastAsia="zh-CN"/>
              </w:rPr>
              <w:t>地，重要水生生物的产卵场、索饵场、越冬场和洄游通道，迁徙鸟类的重要繁殖地、停歇地、越冬地以及野生动物迁徙通道等及其他需要保护的物种、种群、生物群落及生态空间</w:t>
            </w:r>
            <w:r>
              <w:rPr>
                <w:rFonts w:hint="default" w:ascii="Times New Roman" w:hAnsi="Times New Roman" w:eastAsia="宋体" w:cs="Times New Roman"/>
                <w:bCs/>
                <w:color w:val="auto"/>
                <w:sz w:val="24"/>
                <w:lang w:eastAsia="zh-CN"/>
              </w:rPr>
              <w:t>等生态环境保护目标。</w:t>
            </w:r>
            <w:r>
              <w:rPr>
                <w:rFonts w:hint="default" w:ascii="Times New Roman" w:hAnsi="Times New Roman" w:eastAsia="宋体" w:cs="Times New Roman"/>
                <w:bCs/>
                <w:color w:val="auto"/>
                <w:sz w:val="24"/>
                <w:lang w:val="en-US" w:eastAsia="zh-CN"/>
              </w:rPr>
              <w:t>本项目在现有工业场地内进行，不占用永久基本农田。</w:t>
            </w:r>
            <w:r>
              <w:rPr>
                <w:rFonts w:hint="default" w:ascii="Times New Roman" w:hAnsi="Times New Roman" w:eastAsia="宋体" w:cs="Times New Roman"/>
                <w:bCs/>
                <w:color w:val="auto"/>
                <w:sz w:val="24"/>
                <w:lang w:eastAsia="zh-CN"/>
              </w:rPr>
              <w:t>本项目</w:t>
            </w:r>
            <w:r>
              <w:rPr>
                <w:rFonts w:hint="default" w:ascii="Times New Roman" w:hAnsi="Times New Roman" w:eastAsia="宋体" w:cs="Times New Roman"/>
                <w:bCs/>
                <w:color w:val="auto"/>
                <w:sz w:val="24"/>
                <w:lang w:val="en-US" w:eastAsia="zh-CN"/>
              </w:rPr>
              <w:t>用地</w:t>
            </w:r>
            <w:r>
              <w:rPr>
                <w:rFonts w:hint="default" w:ascii="Times New Roman" w:hAnsi="Times New Roman" w:eastAsia="宋体" w:cs="Times New Roman"/>
                <w:bCs/>
                <w:color w:val="auto"/>
                <w:sz w:val="24"/>
                <w:lang w:eastAsia="zh-CN"/>
              </w:rPr>
              <w:t>周边也没有以医疗卫生、文化教育、科研、行政办公等为主要功能的区域，无文物保护单位，无具有特殊历史、文化、科学、民族意义的保护地等环境敏感区。</w:t>
            </w:r>
            <w:r>
              <w:rPr>
                <w:rFonts w:hint="default" w:ascii="Times New Roman" w:hAnsi="Times New Roman" w:cs="Times New Roman"/>
                <w:color w:val="auto"/>
                <w:kern w:val="0"/>
                <w:sz w:val="24"/>
                <w:szCs w:val="24"/>
                <w:lang w:val="en-US" w:eastAsia="zh-CN" w:bidi="ar"/>
              </w:rPr>
              <w:t>本项目场地50米范围内无村庄等声环境敏感目标，周边500米范围有少量村庄和农田。</w:t>
            </w:r>
          </w:p>
          <w:p w14:paraId="234AFEB8">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ascii="Times New Roman" w:hAnsi="Times New Roman" w:cs="Times New Roman"/>
                <w:b/>
                <w:bCs/>
                <w:color w:val="auto"/>
                <w:sz w:val="24"/>
                <w:szCs w:val="24"/>
                <w:lang w:val="en-US" w:bidi="ar-SA"/>
              </w:rPr>
            </w:pPr>
            <w:r>
              <w:rPr>
                <w:rFonts w:hint="eastAsia" w:ascii="Times New Roman" w:hAnsi="Times New Roman" w:cs="Times New Roman"/>
                <w:b/>
                <w:bCs/>
                <w:color w:val="auto"/>
                <w:sz w:val="24"/>
                <w:szCs w:val="24"/>
                <w:lang w:val="en-US" w:eastAsia="zh-CN" w:bidi="ar-SA"/>
              </w:rPr>
              <w:t xml:space="preserve">  </w:t>
            </w:r>
            <w:r>
              <w:rPr>
                <w:rFonts w:hint="eastAsia" w:ascii="Times New Roman" w:hAnsi="Times New Roman" w:cs="Times New Roman"/>
                <w:b/>
                <w:bCs/>
                <w:color w:val="auto"/>
                <w:sz w:val="24"/>
                <w:szCs w:val="24"/>
                <w:lang w:val="en-US" w:bidi="ar-SA"/>
              </w:rPr>
              <w:t>项目周边环境保护目标一览表</w:t>
            </w:r>
          </w:p>
          <w:tbl>
            <w:tblPr>
              <w:tblStyle w:val="28"/>
              <w:tblW w:w="7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
              <w:gridCol w:w="457"/>
              <w:gridCol w:w="1380"/>
              <w:gridCol w:w="1307"/>
              <w:gridCol w:w="629"/>
              <w:gridCol w:w="559"/>
              <w:gridCol w:w="740"/>
              <w:gridCol w:w="432"/>
              <w:gridCol w:w="601"/>
              <w:gridCol w:w="769"/>
            </w:tblGrid>
            <w:tr w14:paraId="486F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89" w:type="pct"/>
                  <w:vMerge w:val="restart"/>
                  <w:noWrap w:val="0"/>
                  <w:vAlign w:val="center"/>
                </w:tcPr>
                <w:p w14:paraId="2A311E97">
                  <w:pPr>
                    <w:keepNext w:val="0"/>
                    <w:keepLines w:val="0"/>
                    <w:widowControl/>
                    <w:suppressLineNumbers w:val="0"/>
                    <w:snapToGrid w:val="0"/>
                    <w:spacing w:before="0" w:beforeAutospacing="0" w:after="0" w:afterAutospacing="0"/>
                    <w:ind w:left="0" w:right="0"/>
                    <w:jc w:val="center"/>
                    <w:rPr>
                      <w:rFonts w:hint="eastAsia" w:eastAsia="宋体" w:cs="Times New Roman"/>
                      <w:color w:val="auto"/>
                      <w:kern w:val="0"/>
                      <w:szCs w:val="21"/>
                      <w:lang w:eastAsia="zh-CN"/>
                    </w:rPr>
                  </w:pPr>
                  <w:r>
                    <w:rPr>
                      <w:rFonts w:hint="eastAsia" w:cs="Times New Roman"/>
                      <w:color w:val="auto"/>
                      <w:kern w:val="0"/>
                      <w:szCs w:val="21"/>
                      <w:lang w:eastAsia="zh-CN"/>
                    </w:rPr>
                    <w:t>环境要素</w:t>
                  </w:r>
                </w:p>
              </w:tc>
              <w:tc>
                <w:tcPr>
                  <w:tcW w:w="313" w:type="pct"/>
                  <w:vMerge w:val="restart"/>
                  <w:noWrap w:val="0"/>
                  <w:vAlign w:val="center"/>
                </w:tcPr>
                <w:p w14:paraId="10C47739">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r>
                    <w:rPr>
                      <w:rFonts w:hint="default" w:cs="Times New Roman"/>
                      <w:color w:val="auto"/>
                      <w:kern w:val="0"/>
                      <w:szCs w:val="21"/>
                    </w:rPr>
                    <w:t>名称</w:t>
                  </w:r>
                </w:p>
              </w:tc>
              <w:tc>
                <w:tcPr>
                  <w:tcW w:w="1840" w:type="pct"/>
                  <w:gridSpan w:val="2"/>
                  <w:noWrap w:val="0"/>
                  <w:vAlign w:val="center"/>
                </w:tcPr>
                <w:p w14:paraId="79C56662">
                  <w:pPr>
                    <w:keepNext w:val="0"/>
                    <w:keepLines w:val="0"/>
                    <w:widowControl/>
                    <w:suppressLineNumbers w:val="0"/>
                    <w:snapToGrid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经纬度</w:t>
                  </w:r>
                </w:p>
              </w:tc>
              <w:tc>
                <w:tcPr>
                  <w:tcW w:w="431" w:type="pct"/>
                  <w:vMerge w:val="restart"/>
                  <w:noWrap w:val="0"/>
                  <w:vAlign w:val="center"/>
                </w:tcPr>
                <w:p w14:paraId="07420DA6">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r>
                    <w:rPr>
                      <w:rFonts w:hint="default" w:cs="Times New Roman"/>
                      <w:color w:val="auto"/>
                      <w:kern w:val="0"/>
                      <w:szCs w:val="21"/>
                    </w:rPr>
                    <w:t>保护对象</w:t>
                  </w:r>
                </w:p>
              </w:tc>
              <w:tc>
                <w:tcPr>
                  <w:tcW w:w="383" w:type="pct"/>
                  <w:vMerge w:val="restart"/>
                  <w:noWrap w:val="0"/>
                  <w:vAlign w:val="center"/>
                </w:tcPr>
                <w:p w14:paraId="2B5F0D74">
                  <w:pPr>
                    <w:keepNext w:val="0"/>
                    <w:keepLines w:val="0"/>
                    <w:widowControl/>
                    <w:suppressLineNumbers w:val="0"/>
                    <w:snapToGrid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保护</w:t>
                  </w:r>
                </w:p>
                <w:p w14:paraId="3A896D8D">
                  <w:pPr>
                    <w:keepNext w:val="0"/>
                    <w:keepLines w:val="0"/>
                    <w:widowControl/>
                    <w:suppressLineNumbers w:val="0"/>
                    <w:snapToGrid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内容</w:t>
                  </w:r>
                </w:p>
              </w:tc>
              <w:tc>
                <w:tcPr>
                  <w:tcW w:w="507" w:type="pct"/>
                  <w:vMerge w:val="restart"/>
                  <w:noWrap w:val="0"/>
                  <w:vAlign w:val="center"/>
                </w:tcPr>
                <w:p w14:paraId="294F1B3D">
                  <w:pPr>
                    <w:keepNext w:val="0"/>
                    <w:keepLines w:val="0"/>
                    <w:widowControl/>
                    <w:suppressLineNumbers w:val="0"/>
                    <w:snapToGrid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保护</w:t>
                  </w:r>
                </w:p>
                <w:p w14:paraId="565CBF5E">
                  <w:pPr>
                    <w:keepNext w:val="0"/>
                    <w:keepLines w:val="0"/>
                    <w:widowControl/>
                    <w:suppressLineNumbers w:val="0"/>
                    <w:snapToGrid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规模</w:t>
                  </w:r>
                </w:p>
              </w:tc>
              <w:tc>
                <w:tcPr>
                  <w:tcW w:w="296" w:type="pct"/>
                  <w:vMerge w:val="restart"/>
                  <w:noWrap w:val="0"/>
                  <w:vAlign w:val="center"/>
                </w:tcPr>
                <w:p w14:paraId="49E839B6">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r>
                    <w:rPr>
                      <w:rFonts w:hint="default" w:cs="Times New Roman"/>
                      <w:color w:val="auto"/>
                      <w:kern w:val="0"/>
                      <w:szCs w:val="21"/>
                    </w:rPr>
                    <w:t>环境功能区</w:t>
                  </w:r>
                </w:p>
              </w:tc>
              <w:tc>
                <w:tcPr>
                  <w:tcW w:w="411" w:type="pct"/>
                  <w:vMerge w:val="restart"/>
                  <w:noWrap w:val="0"/>
                  <w:vAlign w:val="center"/>
                </w:tcPr>
                <w:p w14:paraId="2A1BC623">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r>
                    <w:rPr>
                      <w:rFonts w:hint="default" w:cs="Times New Roman"/>
                      <w:color w:val="auto"/>
                      <w:kern w:val="0"/>
                      <w:szCs w:val="21"/>
                    </w:rPr>
                    <w:t>相对场界方位</w:t>
                  </w:r>
                </w:p>
              </w:tc>
              <w:tc>
                <w:tcPr>
                  <w:tcW w:w="526" w:type="pct"/>
                  <w:vMerge w:val="restart"/>
                  <w:noWrap w:val="0"/>
                  <w:vAlign w:val="center"/>
                </w:tcPr>
                <w:p w14:paraId="2182474A">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r>
                    <w:rPr>
                      <w:rFonts w:hint="default" w:cs="Times New Roman"/>
                      <w:color w:val="auto"/>
                      <w:kern w:val="0"/>
                      <w:szCs w:val="21"/>
                    </w:rPr>
                    <w:t>相对项目厂界距离/m</w:t>
                  </w:r>
                </w:p>
              </w:tc>
            </w:tr>
            <w:tr w14:paraId="4B51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289" w:type="pct"/>
                  <w:vMerge w:val="continue"/>
                  <w:noWrap w:val="0"/>
                  <w:vAlign w:val="center"/>
                </w:tcPr>
                <w:p w14:paraId="008FC1D7">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p>
              </w:tc>
              <w:tc>
                <w:tcPr>
                  <w:tcW w:w="313" w:type="pct"/>
                  <w:vMerge w:val="continue"/>
                  <w:noWrap w:val="0"/>
                  <w:vAlign w:val="center"/>
                </w:tcPr>
                <w:p w14:paraId="7E623AD7">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p>
              </w:tc>
              <w:tc>
                <w:tcPr>
                  <w:tcW w:w="945" w:type="pct"/>
                  <w:noWrap w:val="0"/>
                  <w:vAlign w:val="center"/>
                </w:tcPr>
                <w:p w14:paraId="596BDCBD">
                  <w:pPr>
                    <w:keepNext w:val="0"/>
                    <w:keepLines w:val="0"/>
                    <w:widowControl/>
                    <w:suppressLineNumbers w:val="0"/>
                    <w:snapToGrid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经度</w:t>
                  </w:r>
                </w:p>
              </w:tc>
              <w:tc>
                <w:tcPr>
                  <w:tcW w:w="895" w:type="pct"/>
                  <w:noWrap w:val="0"/>
                  <w:vAlign w:val="center"/>
                </w:tcPr>
                <w:p w14:paraId="01CA783A">
                  <w:pPr>
                    <w:keepNext w:val="0"/>
                    <w:keepLines w:val="0"/>
                    <w:widowControl/>
                    <w:suppressLineNumbers w:val="0"/>
                    <w:snapToGrid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纬度</w:t>
                  </w:r>
                </w:p>
              </w:tc>
              <w:tc>
                <w:tcPr>
                  <w:tcW w:w="431" w:type="pct"/>
                  <w:vMerge w:val="continue"/>
                  <w:noWrap w:val="0"/>
                  <w:vAlign w:val="center"/>
                </w:tcPr>
                <w:p w14:paraId="289BC43F">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p>
              </w:tc>
              <w:tc>
                <w:tcPr>
                  <w:tcW w:w="383" w:type="pct"/>
                  <w:vMerge w:val="continue"/>
                  <w:noWrap w:val="0"/>
                  <w:vAlign w:val="center"/>
                </w:tcPr>
                <w:p w14:paraId="196A6B8C">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p>
              </w:tc>
              <w:tc>
                <w:tcPr>
                  <w:tcW w:w="507" w:type="pct"/>
                  <w:vMerge w:val="continue"/>
                  <w:noWrap w:val="0"/>
                  <w:vAlign w:val="center"/>
                </w:tcPr>
                <w:p w14:paraId="41F3AB24">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p>
              </w:tc>
              <w:tc>
                <w:tcPr>
                  <w:tcW w:w="296" w:type="pct"/>
                  <w:vMerge w:val="continue"/>
                  <w:noWrap w:val="0"/>
                  <w:vAlign w:val="center"/>
                </w:tcPr>
                <w:p w14:paraId="50E12E77">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p>
              </w:tc>
              <w:tc>
                <w:tcPr>
                  <w:tcW w:w="411" w:type="pct"/>
                  <w:vMerge w:val="continue"/>
                  <w:noWrap w:val="0"/>
                  <w:vAlign w:val="center"/>
                </w:tcPr>
                <w:p w14:paraId="607D2D36">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p>
              </w:tc>
              <w:tc>
                <w:tcPr>
                  <w:tcW w:w="526" w:type="pct"/>
                  <w:vMerge w:val="continue"/>
                  <w:noWrap w:val="0"/>
                  <w:vAlign w:val="center"/>
                </w:tcPr>
                <w:p w14:paraId="1164A916">
                  <w:pPr>
                    <w:keepNext w:val="0"/>
                    <w:keepLines w:val="0"/>
                    <w:widowControl/>
                    <w:suppressLineNumbers w:val="0"/>
                    <w:snapToGrid w:val="0"/>
                    <w:spacing w:before="0" w:beforeAutospacing="0" w:after="0" w:afterAutospacing="0"/>
                    <w:ind w:left="0" w:right="0"/>
                    <w:jc w:val="center"/>
                    <w:rPr>
                      <w:rFonts w:hint="default" w:cs="Times New Roman"/>
                      <w:color w:val="auto"/>
                      <w:kern w:val="0"/>
                      <w:szCs w:val="21"/>
                    </w:rPr>
                  </w:pPr>
                </w:p>
              </w:tc>
            </w:tr>
            <w:tr w14:paraId="671D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89" w:type="pct"/>
                  <w:vMerge w:val="restart"/>
                  <w:noWrap w:val="0"/>
                  <w:vAlign w:val="center"/>
                </w:tcPr>
                <w:p w14:paraId="3D124AED">
                  <w:pPr>
                    <w:keepNext w:val="0"/>
                    <w:keepLines w:val="0"/>
                    <w:widowControl/>
                    <w:suppressLineNumbers w:val="0"/>
                    <w:snapToGrid w:val="0"/>
                    <w:spacing w:before="0" w:beforeAutospacing="0" w:after="0" w:afterAutospacing="0"/>
                    <w:ind w:left="0" w:right="0"/>
                    <w:jc w:val="center"/>
                    <w:rPr>
                      <w:rFonts w:hint="default" w:cs="Times New Roman"/>
                      <w:color w:val="auto"/>
                      <w:szCs w:val="21"/>
                    </w:rPr>
                  </w:pPr>
                  <w:r>
                    <w:rPr>
                      <w:rFonts w:hint="default" w:cs="Times New Roman"/>
                      <w:color w:val="auto"/>
                      <w:szCs w:val="21"/>
                    </w:rPr>
                    <w:t>环境空气</w:t>
                  </w:r>
                </w:p>
              </w:tc>
              <w:tc>
                <w:tcPr>
                  <w:tcW w:w="313" w:type="pct"/>
                  <w:noWrap w:val="0"/>
                  <w:vAlign w:val="center"/>
                </w:tcPr>
                <w:p w14:paraId="6F4D95C0">
                  <w:pPr>
                    <w:keepNext w:val="0"/>
                    <w:keepLines w:val="0"/>
                    <w:suppressLineNumbers w:val="0"/>
                    <w:adjustRightInd w:val="0"/>
                    <w:snapToGrid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南纬村</w:t>
                  </w:r>
                </w:p>
              </w:tc>
              <w:tc>
                <w:tcPr>
                  <w:tcW w:w="945" w:type="pct"/>
                  <w:noWrap w:val="0"/>
                  <w:vAlign w:val="center"/>
                </w:tcPr>
                <w:p w14:paraId="5D17D7BC">
                  <w:pPr>
                    <w:keepNext w:val="0"/>
                    <w:keepLines w:val="0"/>
                    <w:suppressLineNumbers w:val="0"/>
                    <w:adjustRightInd w:val="0"/>
                    <w:snapToGrid w:val="0"/>
                    <w:spacing w:before="0" w:beforeAutospacing="0" w:after="0" w:afterAutospacing="0"/>
                    <w:ind w:left="0" w:right="0"/>
                    <w:jc w:val="center"/>
                    <w:rPr>
                      <w:rFonts w:hint="eastAsia"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116.537355287</w:t>
                  </w:r>
                </w:p>
              </w:tc>
              <w:tc>
                <w:tcPr>
                  <w:tcW w:w="895" w:type="pct"/>
                  <w:noWrap w:val="0"/>
                  <w:vAlign w:val="center"/>
                </w:tcPr>
                <w:p w14:paraId="05320419">
                  <w:pPr>
                    <w:keepNext w:val="0"/>
                    <w:keepLines w:val="0"/>
                    <w:suppressLineNumbers w:val="0"/>
                    <w:adjustRightInd w:val="0"/>
                    <w:snapToGrid w:val="0"/>
                    <w:spacing w:before="0" w:beforeAutospacing="0" w:after="0" w:afterAutospacing="0"/>
                    <w:ind w:left="0" w:right="0"/>
                    <w:jc w:val="center"/>
                    <w:rPr>
                      <w:rFonts w:hint="eastAsia"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32.824139156</w:t>
                  </w:r>
                </w:p>
              </w:tc>
              <w:tc>
                <w:tcPr>
                  <w:tcW w:w="431" w:type="pct"/>
                  <w:noWrap w:val="0"/>
                  <w:vAlign w:val="center"/>
                </w:tcPr>
                <w:p w14:paraId="0A727910">
                  <w:pPr>
                    <w:keepNext w:val="0"/>
                    <w:keepLines w:val="0"/>
                    <w:suppressLineNumbers w:val="0"/>
                    <w:adjustRightInd w:val="0"/>
                    <w:snapToGrid w:val="0"/>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default" w:cs="Times New Roman"/>
                      <w:color w:val="auto"/>
                      <w:szCs w:val="21"/>
                      <w:highlight w:val="none"/>
                    </w:rPr>
                    <w:t>居民</w:t>
                  </w:r>
                  <w:r>
                    <w:rPr>
                      <w:rFonts w:hint="eastAsia" w:cs="Times New Roman"/>
                      <w:color w:val="auto"/>
                      <w:szCs w:val="21"/>
                      <w:highlight w:val="none"/>
                    </w:rPr>
                    <w:t>区</w:t>
                  </w:r>
                </w:p>
              </w:tc>
              <w:tc>
                <w:tcPr>
                  <w:tcW w:w="383" w:type="pct"/>
                  <w:noWrap w:val="0"/>
                  <w:vAlign w:val="center"/>
                </w:tcPr>
                <w:p w14:paraId="6460F117">
                  <w:pPr>
                    <w:keepNext w:val="0"/>
                    <w:keepLines w:val="0"/>
                    <w:suppressLineNumbers w:val="0"/>
                    <w:adjustRightInd w:val="0"/>
                    <w:snapToGrid w:val="0"/>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eastAsia" w:cs="Times New Roman"/>
                      <w:color w:val="auto"/>
                      <w:szCs w:val="21"/>
                      <w:highlight w:val="none"/>
                    </w:rPr>
                    <w:t>人群</w:t>
                  </w:r>
                </w:p>
              </w:tc>
              <w:tc>
                <w:tcPr>
                  <w:tcW w:w="703" w:type="dxa"/>
                  <w:noWrap w:val="0"/>
                  <w:vAlign w:val="center"/>
                </w:tcPr>
                <w:p w14:paraId="1B4ADF04">
                  <w:pPr>
                    <w:keepNext w:val="0"/>
                    <w:keepLines w:val="0"/>
                    <w:suppressLineNumbers w:val="0"/>
                    <w:adjustRightInd w:val="0"/>
                    <w:snapToGrid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default" w:ascii="Times New Roman" w:hAnsi="Times New Roman" w:eastAsia="Times New Roman" w:cs="Times New Roman"/>
                      <w:sz w:val="20"/>
                      <w:szCs w:val="20"/>
                      <w:highlight w:val="none"/>
                    </w:rPr>
                    <w:t>60</w:t>
                  </w:r>
                  <w:r>
                    <w:rPr>
                      <w:rFonts w:hint="default" w:ascii="Times New Roman" w:hAnsi="Times New Roman" w:eastAsia="Times New Roman" w:cs="Times New Roman"/>
                      <w:spacing w:val="10"/>
                      <w:sz w:val="20"/>
                      <w:szCs w:val="20"/>
                      <w:highlight w:val="none"/>
                    </w:rPr>
                    <w:t xml:space="preserve"> </w:t>
                  </w:r>
                  <w:r>
                    <w:rPr>
                      <w:rFonts w:hint="default" w:cs="Times New Roman"/>
                      <w:sz w:val="20"/>
                      <w:szCs w:val="20"/>
                      <w:highlight w:val="none"/>
                    </w:rPr>
                    <w:t>户约</w:t>
                  </w:r>
                  <w:r>
                    <w:rPr>
                      <w:rFonts w:hint="default" w:cs="Times New Roman"/>
                      <w:spacing w:val="-20"/>
                      <w:sz w:val="20"/>
                      <w:szCs w:val="20"/>
                      <w:highlight w:val="none"/>
                    </w:rPr>
                    <w:t xml:space="preserve"> </w:t>
                  </w:r>
                  <w:r>
                    <w:rPr>
                      <w:rFonts w:hint="default" w:ascii="Times New Roman" w:hAnsi="Times New Roman" w:eastAsia="Times New Roman" w:cs="Times New Roman"/>
                      <w:sz w:val="20"/>
                      <w:szCs w:val="20"/>
                      <w:highlight w:val="none"/>
                    </w:rPr>
                    <w:t>180</w:t>
                  </w:r>
                  <w:r>
                    <w:rPr>
                      <w:rFonts w:hint="default" w:ascii="Times New Roman" w:hAnsi="Times New Roman" w:eastAsia="Times New Roman" w:cs="Times New Roman"/>
                      <w:spacing w:val="11"/>
                      <w:sz w:val="20"/>
                      <w:szCs w:val="20"/>
                      <w:highlight w:val="none"/>
                    </w:rPr>
                    <w:t xml:space="preserve"> </w:t>
                  </w:r>
                  <w:r>
                    <w:rPr>
                      <w:rFonts w:hint="default" w:cs="Times New Roman"/>
                      <w:sz w:val="20"/>
                      <w:szCs w:val="20"/>
                      <w:highlight w:val="none"/>
                    </w:rPr>
                    <w:t>人</w:t>
                  </w:r>
                </w:p>
              </w:tc>
              <w:tc>
                <w:tcPr>
                  <w:tcW w:w="296" w:type="pct"/>
                  <w:noWrap w:val="0"/>
                  <w:vAlign w:val="center"/>
                </w:tcPr>
                <w:p w14:paraId="6A417B83">
                  <w:pPr>
                    <w:keepNext w:val="0"/>
                    <w:keepLines w:val="0"/>
                    <w:suppressLineNumbers w:val="0"/>
                    <w:adjustRightInd w:val="0"/>
                    <w:snapToGrid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default" w:cs="Times New Roman"/>
                      <w:color w:val="auto"/>
                      <w:szCs w:val="21"/>
                      <w:highlight w:val="none"/>
                    </w:rPr>
                    <w:t>二类区</w:t>
                  </w:r>
                </w:p>
              </w:tc>
              <w:tc>
                <w:tcPr>
                  <w:tcW w:w="411" w:type="pct"/>
                  <w:noWrap w:val="0"/>
                  <w:vAlign w:val="center"/>
                </w:tcPr>
                <w:p w14:paraId="2FE10851">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NW</w:t>
                  </w:r>
                </w:p>
              </w:tc>
              <w:tc>
                <w:tcPr>
                  <w:tcW w:w="526" w:type="pct"/>
                  <w:noWrap w:val="0"/>
                  <w:vAlign w:val="center"/>
                </w:tcPr>
                <w:p w14:paraId="4A4D7B91">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60</w:t>
                  </w:r>
                </w:p>
              </w:tc>
            </w:tr>
            <w:tr w14:paraId="79E1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89" w:type="pct"/>
                  <w:vMerge w:val="continue"/>
                  <w:noWrap w:val="0"/>
                  <w:vAlign w:val="center"/>
                </w:tcPr>
                <w:p w14:paraId="6F70B290">
                  <w:pPr>
                    <w:keepNext w:val="0"/>
                    <w:keepLines w:val="0"/>
                    <w:widowControl/>
                    <w:suppressLineNumbers w:val="0"/>
                    <w:snapToGrid w:val="0"/>
                    <w:spacing w:before="0" w:beforeAutospacing="0" w:after="0" w:afterAutospacing="0"/>
                    <w:ind w:left="0" w:right="0"/>
                    <w:jc w:val="center"/>
                    <w:rPr>
                      <w:rFonts w:hint="default" w:cs="Times New Roman"/>
                      <w:color w:val="auto"/>
                      <w:szCs w:val="21"/>
                    </w:rPr>
                  </w:pPr>
                </w:p>
              </w:tc>
              <w:tc>
                <w:tcPr>
                  <w:tcW w:w="313" w:type="pct"/>
                  <w:noWrap w:val="0"/>
                  <w:vAlign w:val="center"/>
                </w:tcPr>
                <w:p w14:paraId="66916F19">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kern w:val="2"/>
                      <w:sz w:val="21"/>
                      <w:szCs w:val="21"/>
                      <w:lang w:val="en-US" w:eastAsia="zh-CN" w:bidi="ar-SA"/>
                    </w:rPr>
                  </w:pPr>
                  <w:r>
                    <w:rPr>
                      <w:rFonts w:hint="default" w:cs="Times New Roman"/>
                      <w:spacing w:val="5"/>
                      <w:sz w:val="20"/>
                      <w:szCs w:val="20"/>
                    </w:rPr>
                    <w:t>杀猪庄</w:t>
                  </w:r>
                </w:p>
              </w:tc>
              <w:tc>
                <w:tcPr>
                  <w:tcW w:w="945" w:type="pct"/>
                  <w:noWrap w:val="0"/>
                  <w:vAlign w:val="center"/>
                </w:tcPr>
                <w:p w14:paraId="3C3BDA7E">
                  <w:pPr>
                    <w:keepNext w:val="0"/>
                    <w:keepLines w:val="0"/>
                    <w:suppressLineNumbers w:val="0"/>
                    <w:adjustRightInd w:val="0"/>
                    <w:snapToGrid w:val="0"/>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116.539664669</w:t>
                  </w:r>
                </w:p>
              </w:tc>
              <w:tc>
                <w:tcPr>
                  <w:tcW w:w="895" w:type="pct"/>
                  <w:noWrap w:val="0"/>
                  <w:vAlign w:val="center"/>
                </w:tcPr>
                <w:p w14:paraId="563FD7B1">
                  <w:pPr>
                    <w:keepNext w:val="0"/>
                    <w:keepLines w:val="0"/>
                    <w:suppressLineNumbers w:val="0"/>
                    <w:adjustRightInd w:val="0"/>
                    <w:snapToGrid w:val="0"/>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32.824144521</w:t>
                  </w:r>
                </w:p>
              </w:tc>
              <w:tc>
                <w:tcPr>
                  <w:tcW w:w="431" w:type="pct"/>
                  <w:noWrap w:val="0"/>
                  <w:vAlign w:val="center"/>
                </w:tcPr>
                <w:p w14:paraId="5415CE5B">
                  <w:pPr>
                    <w:keepNext w:val="0"/>
                    <w:keepLines w:val="0"/>
                    <w:suppressLineNumbers w:val="0"/>
                    <w:adjustRightInd w:val="0"/>
                    <w:snapToGrid w:val="0"/>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default" w:cs="Times New Roman"/>
                      <w:color w:val="auto"/>
                      <w:szCs w:val="21"/>
                      <w:highlight w:val="none"/>
                    </w:rPr>
                    <w:t>居民</w:t>
                  </w:r>
                  <w:r>
                    <w:rPr>
                      <w:rFonts w:hint="eastAsia" w:cs="Times New Roman"/>
                      <w:color w:val="auto"/>
                      <w:szCs w:val="21"/>
                      <w:highlight w:val="none"/>
                    </w:rPr>
                    <w:t>区</w:t>
                  </w:r>
                </w:p>
              </w:tc>
              <w:tc>
                <w:tcPr>
                  <w:tcW w:w="383" w:type="pct"/>
                  <w:noWrap w:val="0"/>
                  <w:vAlign w:val="center"/>
                </w:tcPr>
                <w:p w14:paraId="356F965E">
                  <w:pPr>
                    <w:keepNext w:val="0"/>
                    <w:keepLines w:val="0"/>
                    <w:suppressLineNumbers w:val="0"/>
                    <w:adjustRightInd w:val="0"/>
                    <w:snapToGrid w:val="0"/>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eastAsia" w:cs="Times New Roman"/>
                      <w:color w:val="auto"/>
                      <w:szCs w:val="21"/>
                      <w:highlight w:val="none"/>
                    </w:rPr>
                    <w:t>人群</w:t>
                  </w:r>
                </w:p>
              </w:tc>
              <w:tc>
                <w:tcPr>
                  <w:tcW w:w="703" w:type="dxa"/>
                  <w:noWrap w:val="0"/>
                  <w:vAlign w:val="center"/>
                </w:tcPr>
                <w:p w14:paraId="712281B5">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20户，60人</w:t>
                  </w:r>
                </w:p>
              </w:tc>
              <w:tc>
                <w:tcPr>
                  <w:tcW w:w="296" w:type="pct"/>
                  <w:noWrap w:val="0"/>
                  <w:vAlign w:val="center"/>
                </w:tcPr>
                <w:p w14:paraId="7BE82CBE">
                  <w:pPr>
                    <w:keepNext w:val="0"/>
                    <w:keepLines w:val="0"/>
                    <w:suppressLineNumbers w:val="0"/>
                    <w:adjustRightInd w:val="0"/>
                    <w:snapToGrid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default" w:cs="Times New Roman"/>
                      <w:color w:val="auto"/>
                      <w:szCs w:val="21"/>
                      <w:highlight w:val="none"/>
                    </w:rPr>
                    <w:t>二类区</w:t>
                  </w:r>
                </w:p>
              </w:tc>
              <w:tc>
                <w:tcPr>
                  <w:tcW w:w="411" w:type="pct"/>
                  <w:noWrap w:val="0"/>
                  <w:vAlign w:val="center"/>
                </w:tcPr>
                <w:p w14:paraId="5D6DAAD0">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NE</w:t>
                  </w:r>
                </w:p>
              </w:tc>
              <w:tc>
                <w:tcPr>
                  <w:tcW w:w="526" w:type="pct"/>
                  <w:noWrap w:val="0"/>
                  <w:vAlign w:val="center"/>
                </w:tcPr>
                <w:p w14:paraId="04C9D8C8">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110</w:t>
                  </w:r>
                </w:p>
              </w:tc>
            </w:tr>
            <w:tr w14:paraId="4613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trPr>
              <w:tc>
                <w:tcPr>
                  <w:tcW w:w="289" w:type="pct"/>
                  <w:noWrap w:val="0"/>
                  <w:vAlign w:val="center"/>
                </w:tcPr>
                <w:p w14:paraId="48229797">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rPr>
                  </w:pPr>
                  <w:r>
                    <w:rPr>
                      <w:rFonts w:hint="default" w:cs="Times New Roman"/>
                      <w:color w:val="auto"/>
                      <w:szCs w:val="21"/>
                    </w:rPr>
                    <w:t>地表水环境</w:t>
                  </w:r>
                </w:p>
              </w:tc>
              <w:tc>
                <w:tcPr>
                  <w:tcW w:w="2153" w:type="pct"/>
                  <w:gridSpan w:val="3"/>
                  <w:noWrap w:val="0"/>
                  <w:vAlign w:val="center"/>
                </w:tcPr>
                <w:p w14:paraId="422BBE4F">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Cs w:val="21"/>
                      <w:highlight w:val="none"/>
                      <w:lang w:val="en-US" w:eastAsia="zh-CN"/>
                    </w:rPr>
                  </w:pPr>
                  <w:r>
                    <w:rPr>
                      <w:rFonts w:hint="eastAsia" w:eastAsia="宋体" w:cs="Times New Roman"/>
                      <w:color w:val="auto"/>
                      <w:szCs w:val="21"/>
                      <w:highlight w:val="none"/>
                      <w:lang w:val="en-US" w:eastAsia="zh-CN"/>
                    </w:rPr>
                    <w:t>永幸河</w:t>
                  </w:r>
                </w:p>
              </w:tc>
              <w:tc>
                <w:tcPr>
                  <w:tcW w:w="431" w:type="pct"/>
                  <w:noWrap w:val="0"/>
                  <w:vAlign w:val="center"/>
                </w:tcPr>
                <w:p w14:paraId="573E960F">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highlight w:val="none"/>
                    </w:rPr>
                  </w:pPr>
                  <w:r>
                    <w:rPr>
                      <w:rFonts w:hint="default" w:cs="Times New Roman"/>
                      <w:color w:val="auto"/>
                      <w:szCs w:val="21"/>
                      <w:highlight w:val="none"/>
                    </w:rPr>
                    <w:t>河流</w:t>
                  </w:r>
                </w:p>
              </w:tc>
              <w:tc>
                <w:tcPr>
                  <w:tcW w:w="383" w:type="pct"/>
                  <w:noWrap w:val="0"/>
                  <w:vAlign w:val="center"/>
                </w:tcPr>
                <w:p w14:paraId="7163356C">
                  <w:pPr>
                    <w:keepNext w:val="0"/>
                    <w:keepLines w:val="0"/>
                    <w:suppressLineNumbers w:val="0"/>
                    <w:adjustRightInd w:val="0"/>
                    <w:snapToGrid w:val="0"/>
                    <w:spacing w:before="0" w:beforeAutospacing="0" w:after="0" w:afterAutospacing="0"/>
                    <w:ind w:left="0" w:right="0"/>
                    <w:jc w:val="center"/>
                    <w:rPr>
                      <w:rFonts w:hint="eastAsia" w:cs="Times New Roman"/>
                      <w:color w:val="auto"/>
                      <w:szCs w:val="21"/>
                      <w:highlight w:val="none"/>
                    </w:rPr>
                  </w:pPr>
                  <w:r>
                    <w:rPr>
                      <w:rFonts w:hint="eastAsia" w:cs="Times New Roman"/>
                      <w:color w:val="auto"/>
                      <w:szCs w:val="21"/>
                      <w:highlight w:val="none"/>
                    </w:rPr>
                    <w:t>水质及水生生物</w:t>
                  </w:r>
                </w:p>
              </w:tc>
              <w:tc>
                <w:tcPr>
                  <w:tcW w:w="507" w:type="pct"/>
                  <w:noWrap w:val="0"/>
                  <w:vAlign w:val="center"/>
                </w:tcPr>
                <w:p w14:paraId="18BD6EDD">
                  <w:pPr>
                    <w:keepNext w:val="0"/>
                    <w:keepLines w:val="0"/>
                    <w:suppressLineNumbers w:val="0"/>
                    <w:adjustRightInd w:val="0"/>
                    <w:snapToGrid w:val="0"/>
                    <w:spacing w:before="0" w:beforeAutospacing="0" w:after="0" w:afterAutospacing="0"/>
                    <w:ind w:left="0" w:right="0"/>
                    <w:jc w:val="center"/>
                    <w:rPr>
                      <w:rFonts w:hint="eastAsia" w:cs="Times New Roman"/>
                      <w:color w:val="auto"/>
                      <w:szCs w:val="21"/>
                      <w:highlight w:val="none"/>
                    </w:rPr>
                  </w:pPr>
                  <w:r>
                    <w:rPr>
                      <w:rFonts w:hint="eastAsia" w:cs="Times New Roman"/>
                      <w:color w:val="auto"/>
                      <w:szCs w:val="21"/>
                      <w:highlight w:val="none"/>
                      <w:lang w:val="en-US" w:eastAsia="zh-CN"/>
                    </w:rPr>
                    <w:t>小</w:t>
                  </w:r>
                  <w:r>
                    <w:rPr>
                      <w:rFonts w:hint="eastAsia" w:cs="Times New Roman"/>
                      <w:color w:val="auto"/>
                      <w:szCs w:val="21"/>
                      <w:highlight w:val="none"/>
                    </w:rPr>
                    <w:t>型河流</w:t>
                  </w:r>
                </w:p>
              </w:tc>
              <w:tc>
                <w:tcPr>
                  <w:tcW w:w="296" w:type="pct"/>
                  <w:noWrap w:val="0"/>
                  <w:vAlign w:val="center"/>
                </w:tcPr>
                <w:p w14:paraId="10BE8CE9">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highlight w:val="none"/>
                    </w:rPr>
                  </w:pPr>
                  <w:r>
                    <w:rPr>
                      <w:rFonts w:hint="eastAsia" w:ascii="宋体" w:hAnsi="宋体" w:eastAsia="宋体" w:cs="宋体"/>
                      <w:color w:val="auto"/>
                      <w:szCs w:val="21"/>
                      <w:highlight w:val="none"/>
                    </w:rPr>
                    <w:t>Ⅲ</w:t>
                  </w:r>
                  <w:r>
                    <w:rPr>
                      <w:rFonts w:hint="default" w:cs="Times New Roman"/>
                      <w:color w:val="auto"/>
                      <w:szCs w:val="21"/>
                      <w:highlight w:val="none"/>
                    </w:rPr>
                    <w:t>类水体</w:t>
                  </w:r>
                </w:p>
              </w:tc>
              <w:tc>
                <w:tcPr>
                  <w:tcW w:w="411" w:type="pct"/>
                  <w:noWrap w:val="0"/>
                  <w:vAlign w:val="center"/>
                </w:tcPr>
                <w:p w14:paraId="525532B8">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szCs w:val="21"/>
                      <w:highlight w:val="none"/>
                      <w:lang w:val="en-US" w:eastAsia="zh-CN"/>
                    </w:rPr>
                  </w:pPr>
                  <w:r>
                    <w:rPr>
                      <w:rFonts w:hint="eastAsia" w:cs="Times New Roman"/>
                      <w:color w:val="auto"/>
                      <w:szCs w:val="21"/>
                      <w:highlight w:val="none"/>
                      <w:lang w:val="en-US" w:eastAsia="zh-CN"/>
                    </w:rPr>
                    <w:t>E</w:t>
                  </w:r>
                </w:p>
              </w:tc>
              <w:tc>
                <w:tcPr>
                  <w:tcW w:w="526" w:type="pct"/>
                  <w:noWrap w:val="0"/>
                  <w:vAlign w:val="center"/>
                </w:tcPr>
                <w:p w14:paraId="1164E796">
                  <w:pPr>
                    <w:keepNext w:val="0"/>
                    <w:keepLines w:val="0"/>
                    <w:suppressLineNumbers w:val="0"/>
                    <w:adjustRightInd w:val="0"/>
                    <w:snapToGrid w:val="0"/>
                    <w:spacing w:before="0" w:beforeAutospacing="0" w:after="0" w:afterAutospacing="0"/>
                    <w:ind w:left="0" w:right="0"/>
                    <w:jc w:val="center"/>
                    <w:rPr>
                      <w:rFonts w:hint="default" w:eastAsia="宋体" w:cs="Times New Roman"/>
                      <w:color w:val="auto"/>
                      <w:szCs w:val="21"/>
                      <w:highlight w:val="none"/>
                      <w:lang w:val="en-US" w:eastAsia="zh-CN"/>
                    </w:rPr>
                  </w:pPr>
                  <w:r>
                    <w:rPr>
                      <w:rFonts w:hint="eastAsia" w:eastAsia="宋体" w:cs="Times New Roman"/>
                      <w:color w:val="auto"/>
                      <w:szCs w:val="21"/>
                      <w:highlight w:val="none"/>
                      <w:lang w:val="en-US" w:eastAsia="zh-CN"/>
                    </w:rPr>
                    <w:t>1450</w:t>
                  </w:r>
                </w:p>
              </w:tc>
            </w:tr>
          </w:tbl>
          <w:p w14:paraId="3965B38C">
            <w:pPr>
              <w:keepNext w:val="0"/>
              <w:keepLines w:val="0"/>
              <w:numPr>
                <w:ilvl w:val="0"/>
                <w:numId w:val="0"/>
              </w:numPr>
              <w:suppressLineNumbers w:val="0"/>
              <w:tabs>
                <w:tab w:val="left" w:pos="0"/>
              </w:tabs>
              <w:spacing w:before="0" w:beforeAutospacing="0" w:after="0" w:afterAutospacing="0"/>
              <w:ind w:left="0" w:right="0"/>
              <w:jc w:val="both"/>
              <w:rPr>
                <w:rFonts w:hint="eastAsia" w:eastAsia="宋体" w:cs="Times New Roman"/>
                <w:color w:val="auto"/>
                <w:lang w:val="en-US" w:eastAsia="zh-CN"/>
              </w:rPr>
            </w:pPr>
          </w:p>
        </w:tc>
      </w:tr>
      <w:tr w14:paraId="6BE59D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286" w:type="pct"/>
            <w:noWrap w:val="0"/>
            <w:vAlign w:val="center"/>
          </w:tcPr>
          <w:p w14:paraId="701E24C8">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评价</w:t>
            </w:r>
          </w:p>
          <w:p w14:paraId="0D7312A8">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标准</w:t>
            </w:r>
          </w:p>
        </w:tc>
        <w:tc>
          <w:tcPr>
            <w:tcW w:w="4713" w:type="pct"/>
            <w:noWrap w:val="0"/>
            <w:vAlign w:val="center"/>
          </w:tcPr>
          <w:p w14:paraId="2B1525FB">
            <w:pPr>
              <w:keepNext w:val="0"/>
              <w:keepLines w:val="0"/>
              <w:widowControl/>
              <w:suppressLineNumbers w:val="0"/>
              <w:spacing w:before="0" w:beforeAutospacing="0" w:after="0" w:afterAutospacing="0" w:line="360" w:lineRule="auto"/>
              <w:ind w:left="0" w:right="0" w:firstLine="480" w:firstLineChars="200"/>
              <w:rPr>
                <w:rFonts w:hint="eastAsia" w:ascii="宋体" w:hAnsi="宋体" w:cs="Times New Roman"/>
                <w:b/>
                <w:color w:val="auto"/>
                <w:sz w:val="24"/>
                <w:szCs w:val="24"/>
                <w:highlight w:val="none"/>
              </w:rPr>
            </w:pPr>
            <w:r>
              <w:rPr>
                <w:rFonts w:hint="eastAsia" w:cs="Times New Roman"/>
                <w:color w:val="auto"/>
                <w:sz w:val="24"/>
                <w:szCs w:val="24"/>
                <w:highlight w:val="none"/>
              </w:rPr>
              <w:t>①</w:t>
            </w:r>
            <w:r>
              <w:rPr>
                <w:rFonts w:hint="default" w:ascii="宋体" w:hAnsi="宋体" w:cs="Times New Roman"/>
                <w:color w:val="auto"/>
                <w:sz w:val="24"/>
                <w:szCs w:val="24"/>
                <w:highlight w:val="none"/>
              </w:rPr>
              <w:t>环境空气质量标准</w:t>
            </w:r>
          </w:p>
          <w:p w14:paraId="036805E8">
            <w:pPr>
              <w:keepNext w:val="0"/>
              <w:keepLines w:val="0"/>
              <w:suppressLineNumbers w:val="0"/>
              <w:spacing w:before="0" w:beforeAutospacing="0" w:after="0" w:afterAutospacing="0" w:line="360" w:lineRule="auto"/>
              <w:ind w:left="0" w:right="0" w:firstLine="480" w:firstLineChars="200"/>
              <w:rPr>
                <w:rFonts w:hint="default" w:ascii="Times New Roman" w:hAnsi="宋体" w:eastAsia="宋体" w:cs="Times New Roman"/>
                <w:color w:val="auto"/>
                <w:sz w:val="24"/>
                <w:szCs w:val="24"/>
                <w:highlight w:val="none"/>
              </w:rPr>
            </w:pPr>
            <w:r>
              <w:rPr>
                <w:rFonts w:hint="eastAsia" w:cs="Times New Roman"/>
                <w:color w:val="auto"/>
                <w:sz w:val="24"/>
                <w:szCs w:val="24"/>
                <w:highlight w:val="none"/>
              </w:rPr>
              <w:t>评价区域环境空气质量执行《环境空气质量标准》（</w:t>
            </w:r>
            <w:r>
              <w:rPr>
                <w:rFonts w:hint="default" w:ascii="Times New Roman" w:hAnsi="Times New Roman" w:cs="Times New Roman"/>
                <w:color w:val="auto"/>
                <w:sz w:val="24"/>
                <w:szCs w:val="24"/>
                <w:highlight w:val="none"/>
              </w:rPr>
              <w:t>GB3095-20</w:t>
            </w:r>
            <w:r>
              <w:rPr>
                <w:rFonts w:hint="default" w:ascii="Times New Roman" w:hAnsi="Times New Roman" w:cs="Times New Roman"/>
                <w:color w:val="auto"/>
                <w:sz w:val="24"/>
                <w:szCs w:val="24"/>
                <w:highlight w:val="none"/>
                <w:lang w:val="en-US" w:eastAsia="zh-CN"/>
              </w:rPr>
              <w:t>26</w:t>
            </w:r>
            <w:r>
              <w:rPr>
                <w:rFonts w:hint="eastAsia" w:cs="Times New Roman"/>
                <w:color w:val="auto"/>
                <w:sz w:val="24"/>
                <w:szCs w:val="24"/>
                <w:highlight w:val="none"/>
              </w:rPr>
              <w:t>）</w:t>
            </w:r>
            <w:r>
              <w:rPr>
                <w:rFonts w:hint="eastAsia" w:cs="Times New Roman"/>
                <w:color w:val="auto"/>
                <w:sz w:val="24"/>
                <w:szCs w:val="24"/>
                <w:highlight w:val="none"/>
                <w:lang w:val="en-US" w:eastAsia="zh-CN"/>
              </w:rPr>
              <w:t>相关要求，即</w:t>
            </w:r>
            <w:r>
              <w:rPr>
                <w:rFonts w:hint="eastAsia" w:ascii="Times New Roman" w:hAnsi="宋体" w:eastAsia="宋体" w:cs="Times New Roman"/>
                <w:color w:val="auto"/>
                <w:sz w:val="24"/>
                <w:szCs w:val="24"/>
                <w:highlight w:val="none"/>
              </w:rPr>
              <w:t>环境空气污染物基本项</w:t>
            </w:r>
            <w:r>
              <w:rPr>
                <w:rFonts w:hint="eastAsia" w:ascii="Times New Roman" w:hAnsi="宋体" w:eastAsia="宋体" w:cs="Times New Roman"/>
                <w:color w:val="auto"/>
                <w:sz w:val="24"/>
                <w:szCs w:val="24"/>
                <w:highlight w:val="none"/>
                <w:lang w:val="en-US" w:eastAsia="zh-CN"/>
              </w:rPr>
              <w:t>目</w:t>
            </w:r>
            <w:r>
              <w:rPr>
                <w:rFonts w:hint="eastAsia" w:ascii="Times New Roman" w:hAnsi="宋体" w:eastAsia="宋体" w:cs="Times New Roman"/>
                <w:color w:val="auto"/>
                <w:sz w:val="24"/>
                <w:szCs w:val="24"/>
                <w:highlight w:val="none"/>
              </w:rPr>
              <w:t>实施过渡阶段</w:t>
            </w:r>
            <w:r>
              <w:rPr>
                <w:rFonts w:hint="eastAsia" w:ascii="Times New Roman" w:hAnsi="宋体" w:eastAsia="宋体" w:cs="Times New Roman"/>
                <w:color w:val="auto"/>
                <w:sz w:val="24"/>
                <w:szCs w:val="24"/>
                <w:highlight w:val="none"/>
                <w:lang w:val="en-US" w:eastAsia="zh-CN"/>
              </w:rPr>
              <w:t>二级</w:t>
            </w:r>
            <w:r>
              <w:rPr>
                <w:rFonts w:hint="eastAsia" w:ascii="Times New Roman" w:hAnsi="宋体" w:eastAsia="宋体" w:cs="Times New Roman"/>
                <w:color w:val="auto"/>
                <w:sz w:val="24"/>
                <w:szCs w:val="24"/>
                <w:highlight w:val="none"/>
              </w:rPr>
              <w:t>浓度限值</w:t>
            </w:r>
            <w:r>
              <w:rPr>
                <w:rFonts w:hint="eastAsia" w:ascii="Times New Roman" w:hAnsi="宋体" w:eastAsia="宋体" w:cs="Times New Roman"/>
                <w:color w:val="auto"/>
                <w:sz w:val="24"/>
                <w:szCs w:val="24"/>
                <w:highlight w:val="none"/>
                <w:lang w:eastAsia="zh-CN"/>
              </w:rPr>
              <w:t>，</w:t>
            </w:r>
            <w:r>
              <w:rPr>
                <w:rFonts w:hint="eastAsia" w:ascii="Times New Roman" w:hAnsi="宋体" w:eastAsia="宋体" w:cs="Times New Roman"/>
                <w:color w:val="auto"/>
                <w:sz w:val="24"/>
                <w:szCs w:val="24"/>
                <w:highlight w:val="none"/>
                <w:lang w:val="en-US" w:eastAsia="zh-CN"/>
              </w:rPr>
              <w:t>其他项目执行表2二级浓度限值</w:t>
            </w:r>
            <w:r>
              <w:rPr>
                <w:rFonts w:hint="eastAsia" w:ascii="Times New Roman" w:hAnsi="宋体" w:eastAsia="宋体" w:cs="Times New Roman"/>
                <w:color w:val="auto"/>
                <w:sz w:val="24"/>
                <w:szCs w:val="24"/>
                <w:highlight w:val="none"/>
              </w:rPr>
              <w:t>。</w:t>
            </w:r>
          </w:p>
          <w:p w14:paraId="361AC637">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环境空气质量标准</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854"/>
              <w:gridCol w:w="1940"/>
              <w:gridCol w:w="1544"/>
              <w:gridCol w:w="2193"/>
            </w:tblGrid>
            <w:tr w14:paraId="2DC6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noWrap w:val="0"/>
                  <w:vAlign w:val="center"/>
                </w:tcPr>
                <w:p w14:paraId="45435F59">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snapToGrid w:val="0"/>
                      <w:color w:val="auto"/>
                      <w:szCs w:val="21"/>
                    </w:rPr>
                  </w:pPr>
                  <w:r>
                    <w:rPr>
                      <w:rFonts w:hint="default" w:ascii="Times New Roman" w:hAnsi="Times New Roman" w:eastAsia="宋体" w:cs="Times New Roman"/>
                      <w:b/>
                      <w:snapToGrid w:val="0"/>
                      <w:color w:val="auto"/>
                      <w:szCs w:val="21"/>
                    </w:rPr>
                    <w:t>类别</w:t>
                  </w:r>
                </w:p>
              </w:tc>
              <w:tc>
                <w:tcPr>
                  <w:tcW w:w="587" w:type="pct"/>
                  <w:noWrap w:val="0"/>
                  <w:vAlign w:val="center"/>
                </w:tcPr>
                <w:p w14:paraId="5EBCF81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snapToGrid w:val="0"/>
                      <w:color w:val="auto"/>
                      <w:szCs w:val="21"/>
                    </w:rPr>
                  </w:pPr>
                  <w:r>
                    <w:rPr>
                      <w:rFonts w:hint="default" w:ascii="Times New Roman" w:hAnsi="Times New Roman" w:eastAsia="宋体" w:cs="Times New Roman"/>
                      <w:b/>
                      <w:snapToGrid w:val="0"/>
                      <w:color w:val="auto"/>
                      <w:szCs w:val="21"/>
                    </w:rPr>
                    <w:t>项目</w:t>
                  </w:r>
                </w:p>
              </w:tc>
              <w:tc>
                <w:tcPr>
                  <w:tcW w:w="1333" w:type="pct"/>
                  <w:noWrap w:val="0"/>
                  <w:vAlign w:val="center"/>
                </w:tcPr>
                <w:p w14:paraId="1BA9ACF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snapToGrid w:val="0"/>
                      <w:color w:val="auto"/>
                      <w:szCs w:val="21"/>
                    </w:rPr>
                  </w:pPr>
                  <w:r>
                    <w:rPr>
                      <w:rFonts w:hint="default" w:ascii="Times New Roman" w:hAnsi="Times New Roman" w:eastAsia="宋体" w:cs="Times New Roman"/>
                      <w:b/>
                      <w:snapToGrid w:val="0"/>
                      <w:color w:val="auto"/>
                      <w:szCs w:val="21"/>
                    </w:rPr>
                    <w:t>取值时间</w:t>
                  </w:r>
                </w:p>
              </w:tc>
              <w:tc>
                <w:tcPr>
                  <w:tcW w:w="1061" w:type="pct"/>
                  <w:noWrap w:val="0"/>
                  <w:vAlign w:val="center"/>
                </w:tcPr>
                <w:p w14:paraId="1C82A32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snapToGrid w:val="0"/>
                      <w:color w:val="auto"/>
                      <w:szCs w:val="21"/>
                    </w:rPr>
                  </w:pPr>
                  <w:r>
                    <w:rPr>
                      <w:rFonts w:hint="default" w:ascii="Times New Roman" w:hAnsi="Times New Roman" w:eastAsia="宋体" w:cs="Times New Roman"/>
                      <w:b/>
                      <w:snapToGrid w:val="0"/>
                      <w:color w:val="auto"/>
                      <w:szCs w:val="21"/>
                    </w:rPr>
                    <w:t>标准值</w:t>
                  </w:r>
                </w:p>
              </w:tc>
              <w:tc>
                <w:tcPr>
                  <w:tcW w:w="1507" w:type="pct"/>
                  <w:noWrap w:val="0"/>
                  <w:vAlign w:val="center"/>
                </w:tcPr>
                <w:p w14:paraId="4EDF7DC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snapToGrid w:val="0"/>
                      <w:color w:val="auto"/>
                      <w:szCs w:val="21"/>
                    </w:rPr>
                  </w:pPr>
                  <w:r>
                    <w:rPr>
                      <w:rFonts w:hint="default" w:ascii="Times New Roman" w:hAnsi="Times New Roman" w:eastAsia="宋体" w:cs="Times New Roman"/>
                      <w:b/>
                      <w:snapToGrid w:val="0"/>
                      <w:color w:val="auto"/>
                      <w:szCs w:val="21"/>
                    </w:rPr>
                    <w:t>标准来源</w:t>
                  </w:r>
                </w:p>
              </w:tc>
            </w:tr>
            <w:tr w14:paraId="227F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restart"/>
                  <w:noWrap w:val="0"/>
                  <w:vAlign w:val="center"/>
                </w:tcPr>
                <w:p w14:paraId="179A97C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环</w:t>
                  </w:r>
                </w:p>
                <w:p w14:paraId="1568F16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境</w:t>
                  </w:r>
                </w:p>
                <w:p w14:paraId="525AACF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空</w:t>
                  </w:r>
                </w:p>
                <w:p w14:paraId="5574652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 w:val="24"/>
                      <w:szCs w:val="21"/>
                    </w:rPr>
                  </w:pPr>
                  <w:r>
                    <w:rPr>
                      <w:rFonts w:hint="default" w:ascii="Times New Roman" w:hAnsi="Times New Roman" w:eastAsia="宋体" w:cs="Times New Roman"/>
                      <w:snapToGrid w:val="0"/>
                      <w:color w:val="auto"/>
                      <w:szCs w:val="21"/>
                    </w:rPr>
                    <w:t>气</w:t>
                  </w:r>
                </w:p>
              </w:tc>
              <w:tc>
                <w:tcPr>
                  <w:tcW w:w="587" w:type="pct"/>
                  <w:vMerge w:val="restart"/>
                  <w:noWrap w:val="0"/>
                  <w:vAlign w:val="center"/>
                </w:tcPr>
                <w:p w14:paraId="41B4664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color w:val="auto"/>
                      <w:szCs w:val="21"/>
                      <w:shd w:val="clear" w:color="auto" w:fill="FFFFFF"/>
                    </w:rPr>
                    <w:t>SO</w:t>
                  </w:r>
                  <w:r>
                    <w:rPr>
                      <w:rFonts w:hint="default" w:ascii="Times New Roman" w:hAnsi="Times New Roman" w:eastAsia="宋体" w:cs="Times New Roman"/>
                      <w:color w:val="auto"/>
                      <w:szCs w:val="21"/>
                      <w:shd w:val="clear" w:color="auto" w:fill="FFFFFF"/>
                      <w:vertAlign w:val="subscript"/>
                    </w:rPr>
                    <w:t>2</w:t>
                  </w:r>
                </w:p>
              </w:tc>
              <w:tc>
                <w:tcPr>
                  <w:tcW w:w="1333" w:type="pct"/>
                  <w:noWrap w:val="0"/>
                  <w:vAlign w:val="center"/>
                </w:tcPr>
                <w:p w14:paraId="5241A39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1小时平均</w:t>
                  </w:r>
                </w:p>
              </w:tc>
              <w:tc>
                <w:tcPr>
                  <w:tcW w:w="1061" w:type="pct"/>
                  <w:noWrap w:val="0"/>
                  <w:vAlign w:val="center"/>
                </w:tcPr>
                <w:p w14:paraId="30A95CF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500μg/m</w:t>
                  </w:r>
                  <w:r>
                    <w:rPr>
                      <w:rFonts w:hint="default" w:ascii="Times New Roman" w:hAnsi="Times New Roman" w:eastAsia="宋体" w:cs="Times New Roman"/>
                      <w:snapToGrid w:val="0"/>
                      <w:color w:val="auto"/>
                      <w:szCs w:val="21"/>
                      <w:vertAlign w:val="superscript"/>
                    </w:rPr>
                    <w:t>3</w:t>
                  </w:r>
                </w:p>
              </w:tc>
              <w:tc>
                <w:tcPr>
                  <w:tcW w:w="1507" w:type="pct"/>
                  <w:vMerge w:val="restart"/>
                  <w:noWrap w:val="0"/>
                  <w:vAlign w:val="center"/>
                </w:tcPr>
                <w:p w14:paraId="64C7239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 w:val="24"/>
                      <w:szCs w:val="21"/>
                    </w:rPr>
                  </w:pPr>
                  <w:r>
                    <w:rPr>
                      <w:rFonts w:hint="default" w:ascii="Times New Roman" w:hAnsi="Times New Roman" w:eastAsia="宋体" w:cs="Times New Roman"/>
                      <w:snapToGrid w:val="0"/>
                      <w:color w:val="auto"/>
                      <w:szCs w:val="21"/>
                    </w:rPr>
                    <w:t>《环境空气质量标准》</w:t>
                  </w:r>
                  <w:r>
                    <w:rPr>
                      <w:rFonts w:hint="default" w:ascii="Times New Roman" w:hAnsi="Times New Roman" w:eastAsia="宋体" w:cs="Times New Roman"/>
                      <w:snapToGrid w:val="0"/>
                      <w:color w:val="auto"/>
                      <w:kern w:val="0"/>
                      <w:szCs w:val="21"/>
                    </w:rPr>
                    <w:t>（GB3095-</w:t>
                  </w:r>
                  <w:r>
                    <w:rPr>
                      <w:rFonts w:hint="eastAsia" w:ascii="Times New Roman" w:hAnsi="Times New Roman" w:eastAsia="宋体" w:cs="Times New Roman"/>
                      <w:snapToGrid w:val="0"/>
                      <w:color w:val="auto"/>
                      <w:kern w:val="0"/>
                      <w:szCs w:val="21"/>
                      <w:lang w:val="en-US" w:eastAsia="zh-CN"/>
                    </w:rPr>
                    <w:t>2026</w:t>
                  </w:r>
                  <w:r>
                    <w:rPr>
                      <w:rFonts w:hint="default" w:ascii="Times New Roman" w:hAnsi="Times New Roman" w:eastAsia="宋体" w:cs="Times New Roman"/>
                      <w:snapToGrid w:val="0"/>
                      <w:color w:val="auto"/>
                      <w:kern w:val="0"/>
                      <w:szCs w:val="21"/>
                    </w:rPr>
                    <w:t>）中的二级标准</w:t>
                  </w:r>
                </w:p>
              </w:tc>
            </w:tr>
            <w:tr w14:paraId="5C53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740852C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587" w:type="pct"/>
                  <w:vMerge w:val="continue"/>
                  <w:noWrap w:val="0"/>
                  <w:vAlign w:val="center"/>
                </w:tcPr>
                <w:p w14:paraId="1E1C78A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1"/>
                      <w:shd w:val="clear" w:color="auto" w:fill="FFFFFF"/>
                    </w:rPr>
                  </w:pPr>
                </w:p>
              </w:tc>
              <w:tc>
                <w:tcPr>
                  <w:tcW w:w="1333" w:type="pct"/>
                  <w:noWrap w:val="0"/>
                  <w:vAlign w:val="center"/>
                </w:tcPr>
                <w:p w14:paraId="28E9BD7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24小时平均</w:t>
                  </w:r>
                </w:p>
              </w:tc>
              <w:tc>
                <w:tcPr>
                  <w:tcW w:w="1061" w:type="pct"/>
                  <w:noWrap w:val="0"/>
                  <w:vAlign w:val="center"/>
                </w:tcPr>
                <w:p w14:paraId="6B07988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150μg/m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203B678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5A23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503F5A4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587" w:type="pct"/>
                  <w:vMerge w:val="continue"/>
                  <w:noWrap w:val="0"/>
                  <w:vAlign w:val="center"/>
                </w:tcPr>
                <w:p w14:paraId="597B1DC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1"/>
                      <w:shd w:val="clear" w:color="auto" w:fill="FFFFFF"/>
                    </w:rPr>
                  </w:pPr>
                </w:p>
              </w:tc>
              <w:tc>
                <w:tcPr>
                  <w:tcW w:w="1333" w:type="pct"/>
                  <w:noWrap w:val="0"/>
                  <w:vAlign w:val="center"/>
                </w:tcPr>
                <w:p w14:paraId="38332B7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年平均</w:t>
                  </w:r>
                </w:p>
              </w:tc>
              <w:tc>
                <w:tcPr>
                  <w:tcW w:w="1061" w:type="pct"/>
                  <w:noWrap w:val="0"/>
                  <w:vAlign w:val="center"/>
                </w:tcPr>
                <w:p w14:paraId="447C421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60μg/m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76982F7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6F18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579090D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587" w:type="pct"/>
                  <w:vMerge w:val="restart"/>
                  <w:noWrap w:val="0"/>
                  <w:vAlign w:val="center"/>
                </w:tcPr>
                <w:p w14:paraId="502A758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color w:val="auto"/>
                      <w:szCs w:val="21"/>
                      <w:shd w:val="clear" w:color="auto" w:fill="FFFFFF"/>
                    </w:rPr>
                    <w:t>NO</w:t>
                  </w:r>
                  <w:r>
                    <w:rPr>
                      <w:rFonts w:hint="default" w:ascii="Times New Roman" w:hAnsi="Times New Roman" w:eastAsia="宋体" w:cs="Times New Roman"/>
                      <w:color w:val="auto"/>
                      <w:szCs w:val="21"/>
                      <w:shd w:val="clear" w:color="auto" w:fill="FFFFFF"/>
                      <w:vertAlign w:val="subscript"/>
                    </w:rPr>
                    <w:t>2</w:t>
                  </w:r>
                </w:p>
              </w:tc>
              <w:tc>
                <w:tcPr>
                  <w:tcW w:w="1333" w:type="pct"/>
                  <w:noWrap w:val="0"/>
                  <w:vAlign w:val="center"/>
                </w:tcPr>
                <w:p w14:paraId="59BEE25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1小时平均</w:t>
                  </w:r>
                </w:p>
              </w:tc>
              <w:tc>
                <w:tcPr>
                  <w:tcW w:w="1061" w:type="pct"/>
                  <w:noWrap w:val="0"/>
                  <w:vAlign w:val="center"/>
                </w:tcPr>
                <w:p w14:paraId="7DCF810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200μg/m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5B852D4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66F3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215C29B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587" w:type="pct"/>
                  <w:vMerge w:val="continue"/>
                  <w:noWrap w:val="0"/>
                  <w:vAlign w:val="center"/>
                </w:tcPr>
                <w:p w14:paraId="11FA6D5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1333" w:type="pct"/>
                  <w:noWrap w:val="0"/>
                  <w:vAlign w:val="center"/>
                </w:tcPr>
                <w:p w14:paraId="27EDD14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24小时平均</w:t>
                  </w:r>
                </w:p>
              </w:tc>
              <w:tc>
                <w:tcPr>
                  <w:tcW w:w="1061" w:type="pct"/>
                  <w:noWrap w:val="0"/>
                  <w:vAlign w:val="center"/>
                </w:tcPr>
                <w:p w14:paraId="76071CA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80μg/m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131AB7F6">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4BBA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3C36618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587" w:type="pct"/>
                  <w:vMerge w:val="continue"/>
                  <w:noWrap w:val="0"/>
                  <w:vAlign w:val="center"/>
                </w:tcPr>
                <w:p w14:paraId="6323E39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1333" w:type="pct"/>
                  <w:noWrap w:val="0"/>
                  <w:vAlign w:val="center"/>
                </w:tcPr>
                <w:p w14:paraId="1B2A79D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年平均</w:t>
                  </w:r>
                </w:p>
              </w:tc>
              <w:tc>
                <w:tcPr>
                  <w:tcW w:w="1061" w:type="pct"/>
                  <w:noWrap w:val="0"/>
                  <w:vAlign w:val="center"/>
                </w:tcPr>
                <w:p w14:paraId="368F6BC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40μg/m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64033E6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56A9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7649999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587" w:type="pct"/>
                  <w:vMerge w:val="restart"/>
                  <w:noWrap w:val="0"/>
                  <w:vAlign w:val="center"/>
                </w:tcPr>
                <w:p w14:paraId="2AD142C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4"/>
                    </w:rPr>
                  </w:pPr>
                  <w:r>
                    <w:rPr>
                      <w:rFonts w:hint="default" w:ascii="Times New Roman" w:hAnsi="Times New Roman" w:eastAsia="宋体" w:cs="Times New Roman"/>
                      <w:snapToGrid w:val="0"/>
                      <w:color w:val="auto"/>
                      <w:szCs w:val="24"/>
                    </w:rPr>
                    <w:t>CO</w:t>
                  </w:r>
                </w:p>
              </w:tc>
              <w:tc>
                <w:tcPr>
                  <w:tcW w:w="1333" w:type="pct"/>
                  <w:noWrap w:val="0"/>
                  <w:vAlign w:val="center"/>
                </w:tcPr>
                <w:p w14:paraId="10D1EA6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1小时平均</w:t>
                  </w:r>
                </w:p>
              </w:tc>
              <w:tc>
                <w:tcPr>
                  <w:tcW w:w="1061" w:type="pct"/>
                  <w:noWrap w:val="0"/>
                  <w:vAlign w:val="center"/>
                </w:tcPr>
                <w:p w14:paraId="6072664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10mg/m</w:t>
                  </w:r>
                  <w:r>
                    <w:rPr>
                      <w:rFonts w:hint="default" w:ascii="Times New Roman" w:hAnsi="Times New Roman" w:eastAsia="宋体" w:cs="Times New Roman"/>
                      <w:snapToGrid w:val="0"/>
                      <w:color w:val="auto"/>
                      <w:kern w:val="0"/>
                      <w:szCs w:val="21"/>
                      <w:vertAlign w:val="superscript"/>
                    </w:rPr>
                    <w:t>3</w:t>
                  </w:r>
                </w:p>
              </w:tc>
              <w:tc>
                <w:tcPr>
                  <w:tcW w:w="1507" w:type="pct"/>
                  <w:vMerge w:val="continue"/>
                  <w:noWrap w:val="0"/>
                  <w:vAlign w:val="center"/>
                </w:tcPr>
                <w:p w14:paraId="214D03A7">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2012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431274C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587" w:type="pct"/>
                  <w:vMerge w:val="continue"/>
                  <w:noWrap w:val="0"/>
                  <w:vAlign w:val="center"/>
                </w:tcPr>
                <w:p w14:paraId="207FA13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p>
              </w:tc>
              <w:tc>
                <w:tcPr>
                  <w:tcW w:w="1333" w:type="pct"/>
                  <w:noWrap w:val="0"/>
                  <w:vAlign w:val="center"/>
                </w:tcPr>
                <w:p w14:paraId="21C631F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24小时平均</w:t>
                  </w:r>
                </w:p>
              </w:tc>
              <w:tc>
                <w:tcPr>
                  <w:tcW w:w="1061" w:type="pct"/>
                  <w:noWrap w:val="0"/>
                  <w:vAlign w:val="center"/>
                </w:tcPr>
                <w:p w14:paraId="700B8EE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4mg/m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6AF4EE7E">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64C7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265139A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587" w:type="pct"/>
                  <w:vMerge w:val="restart"/>
                  <w:noWrap w:val="0"/>
                  <w:vAlign w:val="center"/>
                </w:tcPr>
                <w:p w14:paraId="2248D02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4"/>
                    </w:rPr>
                  </w:pPr>
                  <w:r>
                    <w:rPr>
                      <w:rFonts w:hint="default" w:ascii="Times New Roman" w:hAnsi="Times New Roman" w:eastAsia="宋体" w:cs="Times New Roman"/>
                      <w:color w:val="auto"/>
                      <w:szCs w:val="24"/>
                    </w:rPr>
                    <w:t>PM</w:t>
                  </w:r>
                  <w:r>
                    <w:rPr>
                      <w:rFonts w:hint="default" w:ascii="Times New Roman" w:hAnsi="Times New Roman" w:eastAsia="宋体" w:cs="Times New Roman"/>
                      <w:color w:val="auto"/>
                      <w:szCs w:val="24"/>
                      <w:vertAlign w:val="subscript"/>
                    </w:rPr>
                    <w:t>2.5</w:t>
                  </w:r>
                </w:p>
              </w:tc>
              <w:tc>
                <w:tcPr>
                  <w:tcW w:w="1333" w:type="pct"/>
                  <w:noWrap w:val="0"/>
                  <w:vAlign w:val="center"/>
                </w:tcPr>
                <w:p w14:paraId="336EBEC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24小时平均</w:t>
                  </w:r>
                </w:p>
              </w:tc>
              <w:tc>
                <w:tcPr>
                  <w:tcW w:w="1061" w:type="pct"/>
                  <w:noWrap w:val="0"/>
                  <w:vAlign w:val="center"/>
                </w:tcPr>
                <w:p w14:paraId="66C42DC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eastAsia" w:ascii="Times New Roman" w:hAnsi="Times New Roman" w:eastAsia="宋体" w:cs="Times New Roman"/>
                      <w:snapToGrid w:val="0"/>
                      <w:color w:val="auto"/>
                      <w:kern w:val="0"/>
                      <w:szCs w:val="21"/>
                      <w:lang w:val="en-US" w:eastAsia="zh-CN"/>
                    </w:rPr>
                    <w:t>60</w:t>
                  </w:r>
                  <w:r>
                    <w:rPr>
                      <w:rFonts w:hint="default" w:ascii="Times New Roman" w:hAnsi="Times New Roman" w:eastAsia="宋体" w:cs="Times New Roman"/>
                      <w:snapToGrid w:val="0"/>
                      <w:color w:val="auto"/>
                      <w:kern w:val="0"/>
                      <w:szCs w:val="21"/>
                    </w:rPr>
                    <w:t>μg/m</w:t>
                  </w:r>
                  <w:r>
                    <w:rPr>
                      <w:rFonts w:hint="default" w:ascii="Times New Roman" w:hAnsi="Times New Roman" w:eastAsia="宋体" w:cs="Times New Roman"/>
                      <w:snapToGrid w:val="0"/>
                      <w:color w:val="auto"/>
                      <w:kern w:val="0"/>
                      <w:szCs w:val="21"/>
                      <w:vertAlign w:val="superscript"/>
                    </w:rPr>
                    <w:t>3</w:t>
                  </w:r>
                </w:p>
              </w:tc>
              <w:tc>
                <w:tcPr>
                  <w:tcW w:w="1507" w:type="pct"/>
                  <w:vMerge w:val="continue"/>
                  <w:noWrap w:val="0"/>
                  <w:vAlign w:val="center"/>
                </w:tcPr>
                <w:p w14:paraId="7C5C53A4">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2343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11DE05D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587" w:type="pct"/>
                  <w:vMerge w:val="continue"/>
                  <w:noWrap w:val="0"/>
                  <w:vAlign w:val="center"/>
                </w:tcPr>
                <w:p w14:paraId="645FC2EB">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1333" w:type="pct"/>
                  <w:noWrap w:val="0"/>
                  <w:vAlign w:val="center"/>
                </w:tcPr>
                <w:p w14:paraId="7C8A050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年平均</w:t>
                  </w:r>
                </w:p>
              </w:tc>
              <w:tc>
                <w:tcPr>
                  <w:tcW w:w="1061" w:type="pct"/>
                  <w:noWrap w:val="0"/>
                  <w:vAlign w:val="center"/>
                </w:tcPr>
                <w:p w14:paraId="2261A6F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3</w:t>
                  </w:r>
                  <w:r>
                    <w:rPr>
                      <w:rFonts w:hint="eastAsia" w:ascii="Times New Roman" w:hAnsi="Times New Roman" w:eastAsia="宋体" w:cs="Times New Roman"/>
                      <w:snapToGrid w:val="0"/>
                      <w:color w:val="auto"/>
                      <w:kern w:val="0"/>
                      <w:szCs w:val="21"/>
                      <w:lang w:val="en-US" w:eastAsia="zh-CN"/>
                    </w:rPr>
                    <w:t>0</w:t>
                  </w:r>
                  <w:r>
                    <w:rPr>
                      <w:rFonts w:hint="default" w:ascii="Times New Roman" w:hAnsi="Times New Roman" w:eastAsia="宋体" w:cs="Times New Roman"/>
                      <w:snapToGrid w:val="0"/>
                      <w:color w:val="auto"/>
                      <w:kern w:val="0"/>
                      <w:szCs w:val="21"/>
                    </w:rPr>
                    <w:t>μg/m</w:t>
                  </w:r>
                  <w:r>
                    <w:rPr>
                      <w:rFonts w:hint="default" w:ascii="Times New Roman" w:hAnsi="Times New Roman" w:eastAsia="宋体" w:cs="Times New Roman"/>
                      <w:snapToGrid w:val="0"/>
                      <w:color w:val="auto"/>
                      <w:kern w:val="0"/>
                      <w:szCs w:val="21"/>
                      <w:vertAlign w:val="superscript"/>
                    </w:rPr>
                    <w:t>3</w:t>
                  </w:r>
                </w:p>
              </w:tc>
              <w:tc>
                <w:tcPr>
                  <w:tcW w:w="1507" w:type="pct"/>
                  <w:vMerge w:val="continue"/>
                  <w:noWrap w:val="0"/>
                  <w:vAlign w:val="center"/>
                </w:tcPr>
                <w:p w14:paraId="56132B1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674A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pct"/>
                  <w:vMerge w:val="continue"/>
                  <w:noWrap w:val="0"/>
                  <w:vAlign w:val="center"/>
                </w:tcPr>
                <w:p w14:paraId="35A49156">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587" w:type="pct"/>
                  <w:vMerge w:val="restart"/>
                  <w:noWrap w:val="0"/>
                  <w:vAlign w:val="center"/>
                </w:tcPr>
                <w:p w14:paraId="76D8797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4"/>
                    </w:rPr>
                  </w:pPr>
                  <w:r>
                    <w:rPr>
                      <w:rFonts w:hint="default" w:ascii="Times New Roman" w:hAnsi="Times New Roman" w:eastAsia="宋体" w:cs="Times New Roman"/>
                      <w:color w:val="auto"/>
                      <w:szCs w:val="24"/>
                    </w:rPr>
                    <w:t>PM</w:t>
                  </w:r>
                  <w:r>
                    <w:rPr>
                      <w:rFonts w:hint="default" w:ascii="Times New Roman" w:hAnsi="Times New Roman" w:eastAsia="宋体" w:cs="Times New Roman"/>
                      <w:color w:val="auto"/>
                      <w:szCs w:val="24"/>
                      <w:vertAlign w:val="subscript"/>
                    </w:rPr>
                    <w:t>10</w:t>
                  </w:r>
                </w:p>
              </w:tc>
              <w:tc>
                <w:tcPr>
                  <w:tcW w:w="1333" w:type="pct"/>
                  <w:noWrap w:val="0"/>
                  <w:vAlign w:val="center"/>
                </w:tcPr>
                <w:p w14:paraId="02826BB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24小时平均</w:t>
                  </w:r>
                </w:p>
              </w:tc>
              <w:tc>
                <w:tcPr>
                  <w:tcW w:w="1061" w:type="pct"/>
                  <w:noWrap w:val="0"/>
                  <w:vAlign w:val="center"/>
                </w:tcPr>
                <w:p w14:paraId="403EB0A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1</w:t>
                  </w:r>
                  <w:r>
                    <w:rPr>
                      <w:rFonts w:hint="eastAsia" w:ascii="Times New Roman" w:hAnsi="Times New Roman" w:eastAsia="宋体" w:cs="Times New Roman"/>
                      <w:snapToGrid w:val="0"/>
                      <w:color w:val="auto"/>
                      <w:kern w:val="0"/>
                      <w:szCs w:val="21"/>
                      <w:lang w:val="en-US" w:eastAsia="zh-CN"/>
                    </w:rPr>
                    <w:t>20</w:t>
                  </w:r>
                  <w:r>
                    <w:rPr>
                      <w:rFonts w:hint="default" w:ascii="Times New Roman" w:hAnsi="Times New Roman" w:eastAsia="宋体" w:cs="Times New Roman"/>
                      <w:snapToGrid w:val="0"/>
                      <w:color w:val="auto"/>
                      <w:kern w:val="0"/>
                      <w:szCs w:val="21"/>
                    </w:rPr>
                    <w:t>μg/m</w:t>
                  </w:r>
                  <w:r>
                    <w:rPr>
                      <w:rFonts w:hint="default" w:ascii="Times New Roman" w:hAnsi="Times New Roman" w:eastAsia="宋体" w:cs="Times New Roman"/>
                      <w:snapToGrid w:val="0"/>
                      <w:color w:val="auto"/>
                      <w:kern w:val="0"/>
                      <w:szCs w:val="21"/>
                      <w:vertAlign w:val="superscript"/>
                    </w:rPr>
                    <w:t>3</w:t>
                  </w:r>
                </w:p>
              </w:tc>
              <w:tc>
                <w:tcPr>
                  <w:tcW w:w="1507" w:type="pct"/>
                  <w:vMerge w:val="continue"/>
                  <w:noWrap w:val="0"/>
                  <w:vAlign w:val="center"/>
                </w:tcPr>
                <w:p w14:paraId="550C4B77">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031F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4C59978A">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587" w:type="pct"/>
                  <w:vMerge w:val="continue"/>
                  <w:noWrap w:val="0"/>
                  <w:vAlign w:val="center"/>
                </w:tcPr>
                <w:p w14:paraId="48A7C91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1333" w:type="pct"/>
                  <w:noWrap w:val="0"/>
                  <w:vAlign w:val="center"/>
                </w:tcPr>
                <w:p w14:paraId="63295F4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default" w:ascii="Times New Roman" w:hAnsi="Times New Roman" w:eastAsia="宋体" w:cs="Times New Roman"/>
                      <w:snapToGrid w:val="0"/>
                      <w:color w:val="auto"/>
                      <w:kern w:val="0"/>
                      <w:szCs w:val="21"/>
                    </w:rPr>
                    <w:t>年平均</w:t>
                  </w:r>
                </w:p>
              </w:tc>
              <w:tc>
                <w:tcPr>
                  <w:tcW w:w="1061" w:type="pct"/>
                  <w:noWrap w:val="0"/>
                  <w:vAlign w:val="center"/>
                </w:tcPr>
                <w:p w14:paraId="5B7D52A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eastAsia" w:ascii="Times New Roman" w:hAnsi="Times New Roman" w:eastAsia="宋体" w:cs="Times New Roman"/>
                      <w:snapToGrid w:val="0"/>
                      <w:color w:val="auto"/>
                      <w:kern w:val="0"/>
                      <w:szCs w:val="21"/>
                      <w:lang w:val="en-US" w:eastAsia="zh-CN"/>
                    </w:rPr>
                    <w:t>60</w:t>
                  </w:r>
                  <w:r>
                    <w:rPr>
                      <w:rFonts w:hint="default" w:ascii="Times New Roman" w:hAnsi="Times New Roman" w:eastAsia="宋体" w:cs="Times New Roman"/>
                      <w:snapToGrid w:val="0"/>
                      <w:color w:val="auto"/>
                      <w:kern w:val="0"/>
                      <w:szCs w:val="21"/>
                    </w:rPr>
                    <w:t>μg/m</w:t>
                  </w:r>
                  <w:r>
                    <w:rPr>
                      <w:rFonts w:hint="default" w:ascii="Times New Roman" w:hAnsi="Times New Roman" w:eastAsia="宋体" w:cs="Times New Roman"/>
                      <w:snapToGrid w:val="0"/>
                      <w:color w:val="auto"/>
                      <w:kern w:val="0"/>
                      <w:szCs w:val="21"/>
                      <w:vertAlign w:val="superscript"/>
                    </w:rPr>
                    <w:t>3</w:t>
                  </w:r>
                </w:p>
              </w:tc>
              <w:tc>
                <w:tcPr>
                  <w:tcW w:w="1507" w:type="pct"/>
                  <w:vMerge w:val="continue"/>
                  <w:noWrap w:val="0"/>
                  <w:vAlign w:val="center"/>
                </w:tcPr>
                <w:p w14:paraId="248D8B97">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0C39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4940B7D1">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587" w:type="pct"/>
                  <w:vMerge w:val="restart"/>
                  <w:noWrap w:val="0"/>
                  <w:vAlign w:val="center"/>
                </w:tcPr>
                <w:p w14:paraId="0ADE43C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4"/>
                    </w:rPr>
                  </w:pPr>
                  <w:r>
                    <w:rPr>
                      <w:rFonts w:hint="default" w:ascii="Times New Roman" w:hAnsi="Times New Roman" w:eastAsia="宋体" w:cs="Times New Roman"/>
                      <w:snapToGrid w:val="0"/>
                      <w:color w:val="auto"/>
                      <w:szCs w:val="24"/>
                    </w:rPr>
                    <w:t>O</w:t>
                  </w:r>
                  <w:r>
                    <w:rPr>
                      <w:rFonts w:hint="default" w:ascii="Times New Roman" w:hAnsi="Times New Roman" w:eastAsia="宋体" w:cs="Times New Roman"/>
                      <w:snapToGrid w:val="0"/>
                      <w:color w:val="auto"/>
                      <w:szCs w:val="24"/>
                      <w:vertAlign w:val="subscript"/>
                    </w:rPr>
                    <w:t>3</w:t>
                  </w:r>
                </w:p>
              </w:tc>
              <w:tc>
                <w:tcPr>
                  <w:tcW w:w="1333" w:type="pct"/>
                  <w:noWrap w:val="0"/>
                  <w:vAlign w:val="center"/>
                </w:tcPr>
                <w:p w14:paraId="0BB2BC2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1小时平均</w:t>
                  </w:r>
                </w:p>
              </w:tc>
              <w:tc>
                <w:tcPr>
                  <w:tcW w:w="1061" w:type="pct"/>
                  <w:noWrap w:val="0"/>
                  <w:vAlign w:val="center"/>
                </w:tcPr>
                <w:p w14:paraId="05592A0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200μg/m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7A07426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347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2D5F6C0D">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587" w:type="pct"/>
                  <w:vMerge w:val="continue"/>
                  <w:noWrap w:val="0"/>
                  <w:vAlign w:val="center"/>
                </w:tcPr>
                <w:p w14:paraId="5FFF3273">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1333" w:type="pct"/>
                  <w:noWrap w:val="0"/>
                  <w:vAlign w:val="center"/>
                </w:tcPr>
                <w:p w14:paraId="31835B4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日最大8小时平均</w:t>
                  </w:r>
                </w:p>
              </w:tc>
              <w:tc>
                <w:tcPr>
                  <w:tcW w:w="1061" w:type="pct"/>
                  <w:noWrap w:val="0"/>
                  <w:vAlign w:val="center"/>
                </w:tcPr>
                <w:p w14:paraId="0EECC0C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160μg/m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7BCEFE7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3037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5A7E1E2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587" w:type="pct"/>
                  <w:vMerge w:val="restart"/>
                  <w:noWrap w:val="0"/>
                  <w:vAlign w:val="center"/>
                </w:tcPr>
                <w:p w14:paraId="5E739DA4">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r>
                    <w:rPr>
                      <w:rFonts w:hint="eastAsia" w:ascii="Times New Roman" w:hAnsi="Times New Roman" w:eastAsia="宋体" w:cs="Times New Roman"/>
                      <w:snapToGrid w:val="0"/>
                      <w:color w:val="auto"/>
                      <w:kern w:val="0"/>
                      <w:szCs w:val="21"/>
                    </w:rPr>
                    <w:t>TSP</w:t>
                  </w:r>
                </w:p>
              </w:tc>
              <w:tc>
                <w:tcPr>
                  <w:tcW w:w="1333" w:type="pct"/>
                  <w:noWrap w:val="0"/>
                  <w:vAlign w:val="center"/>
                </w:tcPr>
                <w:p w14:paraId="639F235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eastAsia" w:ascii="Times New Roman" w:hAnsi="Times New Roman" w:eastAsia="宋体" w:cs="Times New Roman"/>
                      <w:snapToGrid w:val="0"/>
                      <w:color w:val="auto"/>
                      <w:szCs w:val="21"/>
                    </w:rPr>
                    <w:t>24小时平均</w:t>
                  </w:r>
                </w:p>
              </w:tc>
              <w:tc>
                <w:tcPr>
                  <w:tcW w:w="1061" w:type="pct"/>
                  <w:noWrap w:val="0"/>
                  <w:vAlign w:val="center"/>
                </w:tcPr>
                <w:p w14:paraId="1625584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eastAsia" w:ascii="Times New Roman" w:hAnsi="Times New Roman" w:eastAsia="宋体" w:cs="Times New Roman"/>
                      <w:snapToGrid w:val="0"/>
                      <w:color w:val="auto"/>
                      <w:szCs w:val="21"/>
                    </w:rPr>
                    <w:t>300</w:t>
                  </w:r>
                  <w:r>
                    <w:rPr>
                      <w:rFonts w:hint="default" w:ascii="Times New Roman" w:hAnsi="Times New Roman" w:eastAsia="宋体" w:cs="Times New Roman"/>
                      <w:snapToGrid w:val="0"/>
                      <w:color w:val="auto"/>
                      <w:szCs w:val="21"/>
                    </w:rPr>
                    <w:t>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37AC07F0">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r w14:paraId="47AB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Merge w:val="continue"/>
                  <w:noWrap w:val="0"/>
                  <w:vAlign w:val="center"/>
                </w:tcPr>
                <w:p w14:paraId="39E44944">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587" w:type="pct"/>
                  <w:vMerge w:val="continue"/>
                  <w:noWrap w:val="0"/>
                  <w:vAlign w:val="center"/>
                </w:tcPr>
                <w:p w14:paraId="6A01C8E1">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c>
                <w:tcPr>
                  <w:tcW w:w="1333" w:type="pct"/>
                  <w:noWrap w:val="0"/>
                  <w:vAlign w:val="center"/>
                </w:tcPr>
                <w:p w14:paraId="28E53F4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年平均</w:t>
                  </w:r>
                </w:p>
              </w:tc>
              <w:tc>
                <w:tcPr>
                  <w:tcW w:w="1061" w:type="pct"/>
                  <w:noWrap w:val="0"/>
                  <w:vAlign w:val="center"/>
                </w:tcPr>
                <w:p w14:paraId="3938332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szCs w:val="21"/>
                    </w:rPr>
                  </w:pPr>
                  <w:r>
                    <w:rPr>
                      <w:rFonts w:hint="eastAsia" w:ascii="Times New Roman" w:hAnsi="Times New Roman" w:eastAsia="宋体" w:cs="Times New Roman"/>
                      <w:snapToGrid w:val="0"/>
                      <w:color w:val="auto"/>
                      <w:szCs w:val="21"/>
                    </w:rPr>
                    <w:t>200</w:t>
                  </w:r>
                  <w:r>
                    <w:rPr>
                      <w:rFonts w:hint="default" w:ascii="Times New Roman" w:hAnsi="Times New Roman" w:eastAsia="宋体" w:cs="Times New Roman"/>
                      <w:snapToGrid w:val="0"/>
                      <w:color w:val="auto"/>
                      <w:szCs w:val="21"/>
                    </w:rPr>
                    <w:t>μg/m</w:t>
                  </w:r>
                  <w:r>
                    <w:rPr>
                      <w:rFonts w:hint="default" w:ascii="Times New Roman" w:hAnsi="Times New Roman" w:eastAsia="宋体" w:cs="Times New Roman"/>
                      <w:snapToGrid w:val="0"/>
                      <w:color w:val="auto"/>
                      <w:szCs w:val="21"/>
                      <w:vertAlign w:val="superscript"/>
                    </w:rPr>
                    <w:t>3</w:t>
                  </w:r>
                </w:p>
              </w:tc>
              <w:tc>
                <w:tcPr>
                  <w:tcW w:w="1507" w:type="pct"/>
                  <w:vMerge w:val="continue"/>
                  <w:noWrap w:val="0"/>
                  <w:vAlign w:val="center"/>
                </w:tcPr>
                <w:p w14:paraId="3F00B94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snapToGrid w:val="0"/>
                      <w:color w:val="auto"/>
                      <w:kern w:val="0"/>
                      <w:szCs w:val="21"/>
                    </w:rPr>
                  </w:pPr>
                </w:p>
              </w:tc>
            </w:tr>
          </w:tbl>
          <w:p w14:paraId="11BEA188">
            <w:pPr>
              <w:keepNext w:val="0"/>
              <w:keepLines w:val="0"/>
              <w:suppressLineNumbers w:val="0"/>
              <w:tabs>
                <w:tab w:val="left" w:pos="5670"/>
              </w:tabs>
              <w:spacing w:before="0" w:beforeAutospacing="0" w:after="0" w:afterAutospacing="0" w:line="360" w:lineRule="auto"/>
              <w:ind w:left="0" w:right="0" w:firstLine="470" w:firstLineChars="196"/>
              <w:rPr>
                <w:rFonts w:hint="eastAsia" w:ascii="宋体" w:hAnsi="宋体" w:cs="宋体"/>
                <w:bCs/>
                <w:color w:val="auto"/>
                <w:sz w:val="24"/>
                <w:szCs w:val="24"/>
              </w:rPr>
            </w:pPr>
            <w:r>
              <w:rPr>
                <w:rFonts w:hint="eastAsia" w:ascii="宋体" w:hAnsi="宋体" w:cs="宋体"/>
                <w:bCs/>
                <w:color w:val="auto"/>
                <w:sz w:val="24"/>
                <w:szCs w:val="24"/>
              </w:rPr>
              <w:t>②地表水环境质量</w:t>
            </w:r>
          </w:p>
          <w:p w14:paraId="11ECC5E9">
            <w:pPr>
              <w:keepNext w:val="0"/>
              <w:keepLines w:val="0"/>
              <w:suppressLineNumbers w:val="0"/>
              <w:spacing w:before="0" w:beforeAutospacing="0" w:after="0" w:afterAutospacing="0" w:line="360" w:lineRule="auto"/>
              <w:ind w:left="0" w:right="0" w:firstLine="456" w:firstLineChars="200"/>
              <w:rPr>
                <w:rFonts w:hint="eastAsia" w:ascii="宋体" w:hAnsi="宋体" w:cs="宋体"/>
                <w:color w:val="auto"/>
                <w:sz w:val="24"/>
                <w:szCs w:val="24"/>
              </w:rPr>
            </w:pPr>
            <w:r>
              <w:rPr>
                <w:rFonts w:hint="eastAsia" w:ascii="宋体" w:hAnsi="宋体" w:cs="宋体"/>
                <w:color w:val="auto"/>
                <w:spacing w:val="-6"/>
                <w:sz w:val="24"/>
                <w:szCs w:val="24"/>
              </w:rPr>
              <w:t>项目所在区域主要地表水体为</w:t>
            </w:r>
            <w:r>
              <w:rPr>
                <w:rFonts w:hint="eastAsia" w:ascii="宋体" w:hAnsi="宋体" w:cs="宋体"/>
                <w:color w:val="auto"/>
                <w:spacing w:val="-6"/>
                <w:sz w:val="24"/>
                <w:szCs w:val="24"/>
                <w:lang w:eastAsia="zh-CN"/>
              </w:rPr>
              <w:t>永幸河</w:t>
            </w:r>
            <w:r>
              <w:rPr>
                <w:rFonts w:hint="eastAsia" w:ascii="宋体" w:hAnsi="宋体" w:cs="宋体"/>
                <w:color w:val="auto"/>
                <w:spacing w:val="-6"/>
                <w:sz w:val="24"/>
                <w:szCs w:val="24"/>
              </w:rPr>
              <w:t>，</w:t>
            </w:r>
            <w:r>
              <w:rPr>
                <w:rFonts w:hint="eastAsia" w:ascii="宋体" w:hAnsi="宋体" w:cs="宋体"/>
                <w:color w:val="auto"/>
                <w:sz w:val="24"/>
                <w:szCs w:val="24"/>
              </w:rPr>
              <w:t>执行《地表水环境质量标准》（GB3838-2002）中的</w:t>
            </w:r>
            <w:r>
              <w:rPr>
                <w:rFonts w:hint="eastAsia" w:ascii="仿宋" w:hAnsi="仿宋" w:eastAsia="仿宋" w:cs="仿宋"/>
                <w:color w:val="auto"/>
              </w:rPr>
              <w:t>Ⅲ</w:t>
            </w:r>
            <w:r>
              <w:rPr>
                <w:rFonts w:hint="eastAsia" w:ascii="宋体" w:hAnsi="宋体" w:cs="宋体"/>
                <w:color w:val="auto"/>
                <w:sz w:val="24"/>
                <w:szCs w:val="24"/>
              </w:rPr>
              <w:t>类水质标准。具体数据见</w:t>
            </w:r>
            <w:r>
              <w:rPr>
                <w:rFonts w:hint="eastAsia" w:ascii="宋体" w:hAnsi="宋体" w:cs="宋体"/>
                <w:color w:val="auto"/>
                <w:sz w:val="24"/>
                <w:szCs w:val="24"/>
                <w:lang w:eastAsia="zh-CN"/>
              </w:rPr>
              <w:t>下表</w:t>
            </w:r>
            <w:r>
              <w:rPr>
                <w:rFonts w:hint="eastAsia" w:ascii="宋体" w:hAnsi="宋体" w:cs="宋体"/>
                <w:color w:val="auto"/>
                <w:sz w:val="24"/>
                <w:szCs w:val="24"/>
              </w:rPr>
              <w:t>。</w:t>
            </w:r>
          </w:p>
          <w:p w14:paraId="0DFBEA46">
            <w:pPr>
              <w:pStyle w:val="71"/>
              <w:keepNext w:val="0"/>
              <w:keepLines w:val="0"/>
              <w:numPr>
                <w:ilvl w:val="1"/>
                <w:numId w:val="4"/>
              </w:numPr>
              <w:suppressLineNumbers w:val="0"/>
              <w:spacing w:before="0" w:beforeAutospacing="0" w:afterAutospacing="0" w:line="240" w:lineRule="auto"/>
              <w:ind w:left="3290" w:leftChars="0" w:right="0" w:hanging="2240" w:firstLineChars="0"/>
              <w:jc w:val="center"/>
              <w:rPr>
                <w:rFonts w:hint="default" w:cs="Times New Roman"/>
                <w:color w:val="auto"/>
                <w:sz w:val="24"/>
                <w:szCs w:val="24"/>
              </w:rPr>
            </w:pPr>
            <w:r>
              <w:rPr>
                <w:rFonts w:hint="default" w:cs="Times New Roman"/>
                <w:bCs/>
                <w:color w:val="auto"/>
                <w:kern w:val="0"/>
                <w:sz w:val="24"/>
                <w:szCs w:val="24"/>
              </w:rPr>
              <w:t>地表水环境质量标准单位：mg/L（除pH外）</w:t>
            </w:r>
          </w:p>
          <w:tbl>
            <w:tblPr>
              <w:tblStyle w:val="28"/>
              <w:tblW w:w="5000"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2286"/>
              <w:gridCol w:w="2592"/>
              <w:gridCol w:w="2394"/>
            </w:tblGrid>
            <w:tr w14:paraId="361C975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572" w:type="pct"/>
                  <w:tcBorders>
                    <w:top w:val="single" w:color="auto" w:sz="4" w:space="0"/>
                    <w:bottom w:val="single" w:color="auto" w:sz="4" w:space="0"/>
                    <w:right w:val="single" w:color="auto" w:sz="4" w:space="0"/>
                  </w:tcBorders>
                  <w:noWrap w:val="0"/>
                  <w:vAlign w:val="center"/>
                </w:tcPr>
                <w:p w14:paraId="5D21EADD">
                  <w:pPr>
                    <w:keepNext w:val="0"/>
                    <w:keepLines w:val="0"/>
                    <w:suppressLineNumbers w:val="0"/>
                    <w:spacing w:before="0" w:beforeAutospacing="0" w:after="0" w:afterAutospacing="0" w:line="240" w:lineRule="exact"/>
                    <w:ind w:left="0" w:right="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指标</w:t>
                  </w:r>
                </w:p>
              </w:tc>
              <w:tc>
                <w:tcPr>
                  <w:tcW w:w="1782" w:type="pct"/>
                  <w:tcBorders>
                    <w:top w:val="single" w:color="auto" w:sz="4" w:space="0"/>
                    <w:left w:val="single" w:color="auto" w:sz="4" w:space="0"/>
                    <w:bottom w:val="single" w:color="auto" w:sz="4" w:space="0"/>
                    <w:right w:val="single" w:color="auto" w:sz="4" w:space="0"/>
                  </w:tcBorders>
                  <w:noWrap w:val="0"/>
                  <w:vAlign w:val="center"/>
                </w:tcPr>
                <w:p w14:paraId="6B582114">
                  <w:pPr>
                    <w:keepNext w:val="0"/>
                    <w:keepLines w:val="0"/>
                    <w:suppressLineNumbers w:val="0"/>
                    <w:spacing w:before="0" w:beforeAutospacing="0" w:after="0" w:afterAutospacing="0" w:line="240" w:lineRule="exact"/>
                    <w:ind w:left="0" w:right="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标准值</w:t>
                  </w:r>
                </w:p>
              </w:tc>
              <w:tc>
                <w:tcPr>
                  <w:tcW w:w="1646" w:type="pct"/>
                  <w:tcBorders>
                    <w:top w:val="single" w:color="auto" w:sz="4" w:space="0"/>
                    <w:left w:val="single" w:color="auto" w:sz="4" w:space="0"/>
                    <w:bottom w:val="single" w:color="auto" w:sz="4" w:space="0"/>
                    <w:right w:val="single" w:color="auto" w:sz="4" w:space="0"/>
                  </w:tcBorders>
                  <w:noWrap w:val="0"/>
                  <w:vAlign w:val="center"/>
                </w:tcPr>
                <w:p w14:paraId="4ADB1395">
                  <w:pPr>
                    <w:keepNext w:val="0"/>
                    <w:keepLines w:val="0"/>
                    <w:suppressLineNumbers w:val="0"/>
                    <w:spacing w:before="0" w:beforeAutospacing="0" w:after="0" w:afterAutospacing="0" w:line="240" w:lineRule="exact"/>
                    <w:ind w:left="0" w:right="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依据</w:t>
                  </w:r>
                </w:p>
              </w:tc>
            </w:tr>
            <w:tr w14:paraId="3C472A3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572" w:type="pct"/>
                  <w:tcBorders>
                    <w:top w:val="single" w:color="auto" w:sz="4" w:space="0"/>
                    <w:left w:val="single" w:color="auto" w:sz="4" w:space="0"/>
                    <w:bottom w:val="single" w:color="auto" w:sz="4" w:space="0"/>
                    <w:right w:val="single" w:color="auto" w:sz="4" w:space="0"/>
                  </w:tcBorders>
                  <w:noWrap w:val="0"/>
                  <w:vAlign w:val="center"/>
                </w:tcPr>
                <w:p w14:paraId="6270A41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pH</w:t>
                  </w:r>
                </w:p>
              </w:tc>
              <w:tc>
                <w:tcPr>
                  <w:tcW w:w="1782" w:type="pct"/>
                  <w:tcBorders>
                    <w:top w:val="single" w:color="auto" w:sz="4" w:space="0"/>
                    <w:left w:val="single" w:color="auto" w:sz="4" w:space="0"/>
                    <w:bottom w:val="single" w:color="auto" w:sz="4" w:space="0"/>
                    <w:right w:val="single" w:color="auto" w:sz="4" w:space="0"/>
                  </w:tcBorders>
                  <w:noWrap w:val="0"/>
                  <w:vAlign w:val="center"/>
                </w:tcPr>
                <w:p w14:paraId="6A49E5E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6～9</w:t>
                  </w:r>
                </w:p>
              </w:tc>
              <w:tc>
                <w:tcPr>
                  <w:tcW w:w="1646" w:type="pct"/>
                  <w:vMerge w:val="restart"/>
                  <w:tcBorders>
                    <w:top w:val="single" w:color="auto" w:sz="4" w:space="0"/>
                    <w:left w:val="single" w:color="auto" w:sz="4" w:space="0"/>
                    <w:bottom w:val="single" w:color="auto" w:sz="4" w:space="0"/>
                    <w:right w:val="single" w:color="auto" w:sz="4" w:space="0"/>
                  </w:tcBorders>
                  <w:noWrap w:val="0"/>
                  <w:vAlign w:val="center"/>
                </w:tcPr>
                <w:p w14:paraId="001C064F">
                  <w:pPr>
                    <w:keepNext w:val="0"/>
                    <w:keepLines w:val="0"/>
                    <w:suppressLineNumbers w:val="0"/>
                    <w:spacing w:before="0" w:beforeAutospacing="0" w:after="0" w:afterAutospacing="0" w:line="240" w:lineRule="exact"/>
                    <w:ind w:left="0" w:right="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《地表水环境质量标准》（GB3838-2002）中的</w:t>
                  </w:r>
                </w:p>
                <w:p w14:paraId="343CFB8E">
                  <w:pPr>
                    <w:keepNext w:val="0"/>
                    <w:keepLines w:val="0"/>
                    <w:suppressLineNumbers w:val="0"/>
                    <w:spacing w:before="0" w:beforeAutospacing="0" w:after="0" w:afterAutospacing="0" w:line="240" w:lineRule="exact"/>
                    <w:ind w:left="0" w:right="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Ⅲ类水域标准</w:t>
                  </w:r>
                </w:p>
              </w:tc>
            </w:tr>
            <w:tr w14:paraId="29337EF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572" w:type="pct"/>
                  <w:tcBorders>
                    <w:top w:val="single" w:color="auto" w:sz="4" w:space="0"/>
                    <w:left w:val="single" w:color="auto" w:sz="4" w:space="0"/>
                    <w:bottom w:val="single" w:color="auto" w:sz="4" w:space="0"/>
                    <w:right w:val="single" w:color="auto" w:sz="4" w:space="0"/>
                  </w:tcBorders>
                  <w:noWrap w:val="0"/>
                  <w:vAlign w:val="center"/>
                </w:tcPr>
                <w:p w14:paraId="79412DA2">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COD</w:t>
                  </w:r>
                </w:p>
              </w:tc>
              <w:tc>
                <w:tcPr>
                  <w:tcW w:w="1782" w:type="pct"/>
                  <w:tcBorders>
                    <w:top w:val="single" w:color="auto" w:sz="4" w:space="0"/>
                    <w:left w:val="single" w:color="auto" w:sz="4" w:space="0"/>
                    <w:bottom w:val="single" w:color="auto" w:sz="4" w:space="0"/>
                    <w:right w:val="single" w:color="auto" w:sz="4" w:space="0"/>
                  </w:tcBorders>
                  <w:noWrap w:val="0"/>
                  <w:vAlign w:val="center"/>
                </w:tcPr>
                <w:p w14:paraId="361A08C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 xml:space="preserve">≤ </w:t>
                  </w:r>
                  <w:r>
                    <w:rPr>
                      <w:rFonts w:hint="default" w:ascii="Times New Roman" w:hAnsi="Times New Roman" w:eastAsia="宋体" w:cs="Times New Roman"/>
                      <w:color w:val="auto"/>
                      <w:kern w:val="0"/>
                      <w:sz w:val="21"/>
                      <w:szCs w:val="21"/>
                      <w:lang w:val="en-US" w:eastAsia="zh-CN"/>
                    </w:rPr>
                    <w:t>20</w:t>
                  </w:r>
                </w:p>
              </w:tc>
              <w:tc>
                <w:tcPr>
                  <w:tcW w:w="1646" w:type="pct"/>
                  <w:vMerge w:val="continue"/>
                  <w:tcBorders>
                    <w:top w:val="single" w:color="auto" w:sz="4" w:space="0"/>
                    <w:left w:val="single" w:color="auto" w:sz="4" w:space="0"/>
                    <w:bottom w:val="single" w:color="auto" w:sz="4" w:space="0"/>
                    <w:right w:val="single" w:color="auto" w:sz="4" w:space="0"/>
                  </w:tcBorders>
                  <w:noWrap w:val="0"/>
                  <w:vAlign w:val="center"/>
                </w:tcPr>
                <w:p w14:paraId="7363567E">
                  <w:pPr>
                    <w:keepNext w:val="0"/>
                    <w:keepLines w:val="0"/>
                    <w:suppressLineNumbers w:val="0"/>
                    <w:spacing w:before="0" w:beforeAutospacing="0" w:after="0" w:afterAutospacing="0" w:line="400" w:lineRule="exact"/>
                    <w:ind w:left="0" w:right="0"/>
                    <w:jc w:val="center"/>
                    <w:rPr>
                      <w:rFonts w:hint="eastAsia" w:ascii="宋体" w:hAnsi="宋体" w:cs="宋体"/>
                      <w:snapToGrid w:val="0"/>
                      <w:color w:val="auto"/>
                      <w:sz w:val="24"/>
                      <w:szCs w:val="24"/>
                    </w:rPr>
                  </w:pPr>
                </w:p>
              </w:tc>
            </w:tr>
            <w:tr w14:paraId="2324C1D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572" w:type="pct"/>
                  <w:tcBorders>
                    <w:top w:val="single" w:color="auto" w:sz="4" w:space="0"/>
                    <w:left w:val="single" w:color="auto" w:sz="4" w:space="0"/>
                    <w:bottom w:val="single" w:color="auto" w:sz="4" w:space="0"/>
                    <w:right w:val="single" w:color="auto" w:sz="4" w:space="0"/>
                  </w:tcBorders>
                  <w:noWrap w:val="0"/>
                  <w:vAlign w:val="center"/>
                </w:tcPr>
                <w:p w14:paraId="5B0602C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BOD</w:t>
                  </w:r>
                  <w:r>
                    <w:rPr>
                      <w:rFonts w:hint="default" w:ascii="Times New Roman" w:hAnsi="Times New Roman" w:eastAsia="宋体" w:cs="Times New Roman"/>
                      <w:color w:val="auto"/>
                      <w:kern w:val="0"/>
                      <w:sz w:val="21"/>
                      <w:szCs w:val="21"/>
                      <w:vertAlign w:val="subscript"/>
                    </w:rPr>
                    <w:t>5</w:t>
                  </w:r>
                </w:p>
              </w:tc>
              <w:tc>
                <w:tcPr>
                  <w:tcW w:w="1782" w:type="pct"/>
                  <w:tcBorders>
                    <w:top w:val="single" w:color="auto" w:sz="4" w:space="0"/>
                    <w:left w:val="single" w:color="auto" w:sz="4" w:space="0"/>
                    <w:bottom w:val="single" w:color="auto" w:sz="4" w:space="0"/>
                    <w:right w:val="single" w:color="auto" w:sz="4" w:space="0"/>
                  </w:tcBorders>
                  <w:noWrap w:val="0"/>
                  <w:vAlign w:val="center"/>
                </w:tcPr>
                <w:p w14:paraId="67E613A2">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 xml:space="preserve">≤ </w:t>
                  </w:r>
                  <w:r>
                    <w:rPr>
                      <w:rFonts w:hint="default" w:ascii="Times New Roman" w:hAnsi="Times New Roman" w:eastAsia="宋体" w:cs="Times New Roman"/>
                      <w:color w:val="auto"/>
                      <w:kern w:val="0"/>
                      <w:sz w:val="21"/>
                      <w:szCs w:val="21"/>
                      <w:lang w:val="en-US" w:eastAsia="zh-CN"/>
                    </w:rPr>
                    <w:t>4</w:t>
                  </w:r>
                </w:p>
              </w:tc>
              <w:tc>
                <w:tcPr>
                  <w:tcW w:w="1646" w:type="pct"/>
                  <w:vMerge w:val="continue"/>
                  <w:tcBorders>
                    <w:top w:val="single" w:color="auto" w:sz="4" w:space="0"/>
                    <w:left w:val="single" w:color="auto" w:sz="4" w:space="0"/>
                    <w:bottom w:val="single" w:color="auto" w:sz="4" w:space="0"/>
                    <w:right w:val="single" w:color="auto" w:sz="4" w:space="0"/>
                  </w:tcBorders>
                  <w:noWrap w:val="0"/>
                  <w:vAlign w:val="center"/>
                </w:tcPr>
                <w:p w14:paraId="434038A7">
                  <w:pPr>
                    <w:keepNext w:val="0"/>
                    <w:keepLines w:val="0"/>
                    <w:suppressLineNumbers w:val="0"/>
                    <w:spacing w:before="0" w:beforeAutospacing="0" w:after="0" w:afterAutospacing="0" w:line="400" w:lineRule="exact"/>
                    <w:ind w:left="0" w:right="0"/>
                    <w:jc w:val="center"/>
                    <w:rPr>
                      <w:rFonts w:hint="eastAsia" w:ascii="宋体" w:hAnsi="宋体" w:cs="宋体"/>
                      <w:snapToGrid w:val="0"/>
                      <w:color w:val="auto"/>
                      <w:sz w:val="24"/>
                      <w:szCs w:val="24"/>
                    </w:rPr>
                  </w:pPr>
                </w:p>
              </w:tc>
            </w:tr>
            <w:tr w14:paraId="7A24C01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572" w:type="pct"/>
                  <w:tcBorders>
                    <w:top w:val="single" w:color="auto" w:sz="4" w:space="0"/>
                    <w:left w:val="single" w:color="auto" w:sz="4" w:space="0"/>
                    <w:bottom w:val="single" w:color="auto" w:sz="4" w:space="0"/>
                    <w:right w:val="single" w:color="auto" w:sz="4" w:space="0"/>
                  </w:tcBorders>
                  <w:noWrap w:val="0"/>
                  <w:vAlign w:val="center"/>
                </w:tcPr>
                <w:p w14:paraId="4DBCF04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氨氮</w:t>
                  </w:r>
                </w:p>
              </w:tc>
              <w:tc>
                <w:tcPr>
                  <w:tcW w:w="1782" w:type="pct"/>
                  <w:tcBorders>
                    <w:top w:val="single" w:color="auto" w:sz="4" w:space="0"/>
                    <w:left w:val="single" w:color="auto" w:sz="4" w:space="0"/>
                    <w:bottom w:val="single" w:color="auto" w:sz="4" w:space="0"/>
                    <w:right w:val="single" w:color="auto" w:sz="4" w:space="0"/>
                  </w:tcBorders>
                  <w:noWrap w:val="0"/>
                  <w:vAlign w:val="center"/>
                </w:tcPr>
                <w:p w14:paraId="2FEDA11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 xml:space="preserve">≤ </w:t>
                  </w:r>
                  <w:r>
                    <w:rPr>
                      <w:rFonts w:hint="default" w:ascii="Times New Roman" w:hAnsi="Times New Roman" w:eastAsia="宋体" w:cs="Times New Roman"/>
                      <w:color w:val="auto"/>
                      <w:kern w:val="0"/>
                      <w:sz w:val="21"/>
                      <w:szCs w:val="21"/>
                      <w:lang w:val="en-US" w:eastAsia="zh-CN"/>
                    </w:rPr>
                    <w:t>1.0</w:t>
                  </w:r>
                </w:p>
              </w:tc>
              <w:tc>
                <w:tcPr>
                  <w:tcW w:w="1646" w:type="pct"/>
                  <w:vMerge w:val="continue"/>
                  <w:tcBorders>
                    <w:top w:val="single" w:color="auto" w:sz="4" w:space="0"/>
                    <w:left w:val="single" w:color="auto" w:sz="4" w:space="0"/>
                    <w:bottom w:val="single" w:color="auto" w:sz="4" w:space="0"/>
                    <w:right w:val="single" w:color="auto" w:sz="4" w:space="0"/>
                  </w:tcBorders>
                  <w:noWrap w:val="0"/>
                  <w:vAlign w:val="center"/>
                </w:tcPr>
                <w:p w14:paraId="27BA63CD">
                  <w:pPr>
                    <w:keepNext w:val="0"/>
                    <w:keepLines w:val="0"/>
                    <w:suppressLineNumbers w:val="0"/>
                    <w:spacing w:before="0" w:beforeAutospacing="0" w:after="0" w:afterAutospacing="0" w:line="400" w:lineRule="exact"/>
                    <w:ind w:left="0" w:right="0"/>
                    <w:jc w:val="center"/>
                    <w:rPr>
                      <w:rFonts w:hint="eastAsia" w:ascii="宋体" w:hAnsi="宋体" w:cs="宋体"/>
                      <w:snapToGrid w:val="0"/>
                      <w:color w:val="auto"/>
                      <w:sz w:val="24"/>
                      <w:szCs w:val="24"/>
                    </w:rPr>
                  </w:pPr>
                </w:p>
              </w:tc>
            </w:tr>
            <w:tr w14:paraId="23AE7FC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572" w:type="pct"/>
                  <w:tcBorders>
                    <w:top w:val="single" w:color="auto" w:sz="4" w:space="0"/>
                    <w:left w:val="single" w:color="auto" w:sz="4" w:space="0"/>
                    <w:bottom w:val="single" w:color="auto" w:sz="4" w:space="0"/>
                    <w:right w:val="single" w:color="auto" w:sz="4" w:space="0"/>
                  </w:tcBorders>
                  <w:noWrap w:val="0"/>
                  <w:vAlign w:val="center"/>
                </w:tcPr>
                <w:p w14:paraId="68B1663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总磷</w:t>
                  </w:r>
                </w:p>
              </w:tc>
              <w:tc>
                <w:tcPr>
                  <w:tcW w:w="1782" w:type="pct"/>
                  <w:tcBorders>
                    <w:top w:val="single" w:color="auto" w:sz="4" w:space="0"/>
                    <w:left w:val="single" w:color="auto" w:sz="4" w:space="0"/>
                    <w:bottom w:val="single" w:color="auto" w:sz="4" w:space="0"/>
                    <w:right w:val="single" w:color="auto" w:sz="4" w:space="0"/>
                  </w:tcBorders>
                  <w:noWrap w:val="0"/>
                  <w:vAlign w:val="center"/>
                </w:tcPr>
                <w:p w14:paraId="7E0532B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 0.</w:t>
                  </w:r>
                  <w:r>
                    <w:rPr>
                      <w:rFonts w:hint="default" w:ascii="Times New Roman" w:hAnsi="Times New Roman" w:eastAsia="宋体" w:cs="Times New Roman"/>
                      <w:color w:val="auto"/>
                      <w:kern w:val="0"/>
                      <w:sz w:val="21"/>
                      <w:szCs w:val="21"/>
                      <w:lang w:val="en-US" w:eastAsia="zh-CN"/>
                    </w:rPr>
                    <w:t>2</w:t>
                  </w:r>
                </w:p>
              </w:tc>
              <w:tc>
                <w:tcPr>
                  <w:tcW w:w="1646" w:type="pct"/>
                  <w:vMerge w:val="continue"/>
                  <w:tcBorders>
                    <w:top w:val="single" w:color="auto" w:sz="4" w:space="0"/>
                    <w:left w:val="single" w:color="auto" w:sz="4" w:space="0"/>
                    <w:bottom w:val="single" w:color="auto" w:sz="4" w:space="0"/>
                    <w:right w:val="single" w:color="auto" w:sz="4" w:space="0"/>
                  </w:tcBorders>
                  <w:noWrap w:val="0"/>
                  <w:vAlign w:val="center"/>
                </w:tcPr>
                <w:p w14:paraId="7C252AD1">
                  <w:pPr>
                    <w:keepNext w:val="0"/>
                    <w:keepLines w:val="0"/>
                    <w:suppressLineNumbers w:val="0"/>
                    <w:spacing w:before="0" w:beforeAutospacing="0" w:after="0" w:afterAutospacing="0" w:line="400" w:lineRule="exact"/>
                    <w:ind w:left="0" w:right="0"/>
                    <w:jc w:val="center"/>
                    <w:rPr>
                      <w:rFonts w:hint="eastAsia" w:ascii="宋体" w:hAnsi="宋体" w:cs="宋体"/>
                      <w:snapToGrid w:val="0"/>
                      <w:color w:val="auto"/>
                      <w:sz w:val="24"/>
                      <w:szCs w:val="24"/>
                    </w:rPr>
                  </w:pPr>
                </w:p>
              </w:tc>
            </w:tr>
            <w:tr w14:paraId="7AC2158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572" w:type="pct"/>
                  <w:tcBorders>
                    <w:top w:val="single" w:color="auto" w:sz="4" w:space="0"/>
                    <w:left w:val="single" w:color="auto" w:sz="4" w:space="0"/>
                    <w:bottom w:val="single" w:color="auto" w:sz="4" w:space="0"/>
                    <w:right w:val="single" w:color="auto" w:sz="4" w:space="0"/>
                  </w:tcBorders>
                  <w:noWrap w:val="0"/>
                  <w:vAlign w:val="center"/>
                </w:tcPr>
                <w:p w14:paraId="50D1815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石油类</w:t>
                  </w:r>
                </w:p>
              </w:tc>
              <w:tc>
                <w:tcPr>
                  <w:tcW w:w="1782" w:type="pct"/>
                  <w:tcBorders>
                    <w:top w:val="single" w:color="auto" w:sz="4" w:space="0"/>
                    <w:left w:val="single" w:color="auto" w:sz="4" w:space="0"/>
                    <w:bottom w:val="single" w:color="auto" w:sz="4" w:space="0"/>
                    <w:right w:val="single" w:color="auto" w:sz="4" w:space="0"/>
                  </w:tcBorders>
                  <w:noWrap w:val="0"/>
                  <w:vAlign w:val="center"/>
                </w:tcPr>
                <w:p w14:paraId="45C6CD0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 xml:space="preserve">≤ </w:t>
                  </w:r>
                  <w:r>
                    <w:rPr>
                      <w:rFonts w:hint="default" w:ascii="Times New Roman" w:hAnsi="Times New Roman" w:eastAsia="宋体" w:cs="Times New Roman"/>
                      <w:color w:val="auto"/>
                      <w:kern w:val="0"/>
                      <w:sz w:val="21"/>
                      <w:szCs w:val="21"/>
                      <w:lang w:val="en-US" w:eastAsia="zh-CN"/>
                    </w:rPr>
                    <w:t>0.05</w:t>
                  </w:r>
                </w:p>
              </w:tc>
              <w:tc>
                <w:tcPr>
                  <w:tcW w:w="1646" w:type="pct"/>
                  <w:vMerge w:val="continue"/>
                  <w:tcBorders>
                    <w:top w:val="single" w:color="auto" w:sz="4" w:space="0"/>
                    <w:left w:val="single" w:color="auto" w:sz="4" w:space="0"/>
                    <w:bottom w:val="single" w:color="auto" w:sz="4" w:space="0"/>
                    <w:right w:val="single" w:color="auto" w:sz="4" w:space="0"/>
                  </w:tcBorders>
                  <w:noWrap w:val="0"/>
                  <w:vAlign w:val="center"/>
                </w:tcPr>
                <w:p w14:paraId="3BFD1E3C">
                  <w:pPr>
                    <w:keepNext w:val="0"/>
                    <w:keepLines w:val="0"/>
                    <w:suppressLineNumbers w:val="0"/>
                    <w:spacing w:before="0" w:beforeAutospacing="0" w:after="0" w:afterAutospacing="0" w:line="400" w:lineRule="exact"/>
                    <w:ind w:left="0" w:right="0"/>
                    <w:jc w:val="center"/>
                    <w:rPr>
                      <w:rFonts w:hint="eastAsia" w:ascii="宋体" w:hAnsi="宋体" w:cs="宋体"/>
                      <w:snapToGrid w:val="0"/>
                      <w:color w:val="auto"/>
                      <w:sz w:val="24"/>
                      <w:szCs w:val="24"/>
                    </w:rPr>
                  </w:pPr>
                </w:p>
              </w:tc>
            </w:tr>
          </w:tbl>
          <w:p w14:paraId="76E98F16">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rPr>
            </w:pPr>
            <w:r>
              <w:rPr>
                <w:rFonts w:hint="eastAsia" w:cs="Times New Roman"/>
                <w:color w:val="auto"/>
                <w:sz w:val="24"/>
                <w:szCs w:val="24"/>
              </w:rPr>
              <w:t>（3）</w:t>
            </w:r>
            <w:r>
              <w:rPr>
                <w:rFonts w:hint="default" w:ascii="宋体" w:hAnsi="宋体" w:cs="Times New Roman"/>
                <w:color w:val="auto"/>
                <w:sz w:val="24"/>
                <w:szCs w:val="24"/>
              </w:rPr>
              <w:t>声环境质量标准</w:t>
            </w:r>
          </w:p>
          <w:p w14:paraId="3E6C22E9">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szCs w:val="24"/>
              </w:rPr>
            </w:pPr>
            <w:r>
              <w:rPr>
                <w:rFonts w:hint="eastAsia" w:hAnsi="宋体" w:cs="Times New Roman"/>
                <w:color w:val="auto"/>
                <w:sz w:val="24"/>
                <w:szCs w:val="24"/>
              </w:rPr>
              <w:t>评价区域声环境</w:t>
            </w:r>
            <w:r>
              <w:rPr>
                <w:rFonts w:hint="default" w:hAnsi="宋体" w:cs="Times New Roman"/>
                <w:color w:val="auto"/>
                <w:sz w:val="24"/>
                <w:szCs w:val="24"/>
              </w:rPr>
              <w:t>执行《</w:t>
            </w:r>
            <w:r>
              <w:rPr>
                <w:rFonts w:hint="eastAsia" w:hAnsi="宋体" w:cs="Times New Roman"/>
                <w:color w:val="auto"/>
                <w:sz w:val="24"/>
                <w:szCs w:val="24"/>
              </w:rPr>
              <w:t>声</w:t>
            </w:r>
            <w:r>
              <w:rPr>
                <w:rFonts w:hint="default" w:hAnsi="宋体" w:cs="Times New Roman"/>
                <w:color w:val="auto"/>
                <w:sz w:val="24"/>
                <w:szCs w:val="24"/>
              </w:rPr>
              <w:t>环境</w:t>
            </w:r>
            <w:r>
              <w:rPr>
                <w:rFonts w:hint="eastAsia" w:hAnsi="宋体" w:cs="Times New Roman"/>
                <w:color w:val="auto"/>
                <w:sz w:val="24"/>
                <w:szCs w:val="24"/>
              </w:rPr>
              <w:t>质量</w:t>
            </w:r>
            <w:r>
              <w:rPr>
                <w:rFonts w:hint="default" w:hAnsi="宋体" w:cs="Times New Roman"/>
                <w:color w:val="auto"/>
                <w:sz w:val="24"/>
                <w:szCs w:val="24"/>
              </w:rPr>
              <w:t>标准》（</w:t>
            </w:r>
            <w:r>
              <w:rPr>
                <w:rFonts w:hint="default" w:cs="Times New Roman"/>
                <w:color w:val="auto"/>
                <w:sz w:val="24"/>
                <w:szCs w:val="24"/>
              </w:rPr>
              <w:t>GB3096-</w:t>
            </w:r>
            <w:r>
              <w:rPr>
                <w:rFonts w:hint="eastAsia" w:cs="Times New Roman"/>
                <w:color w:val="auto"/>
                <w:sz w:val="24"/>
                <w:szCs w:val="24"/>
              </w:rPr>
              <w:t>2008</w:t>
            </w:r>
            <w:r>
              <w:rPr>
                <w:rFonts w:hint="default" w:hAnsi="宋体" w:cs="Times New Roman"/>
                <w:color w:val="auto"/>
                <w:sz w:val="24"/>
                <w:szCs w:val="24"/>
              </w:rPr>
              <w:t>）</w:t>
            </w:r>
            <w:r>
              <w:rPr>
                <w:rFonts w:hint="eastAsia" w:hAnsi="宋体" w:cs="Times New Roman"/>
                <w:color w:val="auto"/>
                <w:sz w:val="24"/>
                <w:szCs w:val="24"/>
              </w:rPr>
              <w:t>中</w:t>
            </w:r>
            <w:r>
              <w:rPr>
                <w:rFonts w:hint="eastAsia" w:cs="Times New Roman"/>
                <w:color w:val="auto"/>
                <w:sz w:val="24"/>
                <w:szCs w:val="24"/>
                <w:lang w:val="en-US" w:eastAsia="zh-CN"/>
              </w:rPr>
              <w:t>2</w:t>
            </w:r>
            <w:r>
              <w:rPr>
                <w:rFonts w:hint="default" w:hAnsi="宋体" w:cs="Times New Roman"/>
                <w:color w:val="auto"/>
                <w:sz w:val="24"/>
                <w:szCs w:val="24"/>
              </w:rPr>
              <w:t>类区标准</w:t>
            </w:r>
            <w:r>
              <w:rPr>
                <w:rFonts w:hint="eastAsia" w:hAnsi="宋体" w:cs="Times New Roman"/>
                <w:color w:val="auto"/>
                <w:sz w:val="24"/>
                <w:szCs w:val="24"/>
              </w:rPr>
              <w:t>，见</w:t>
            </w:r>
            <w:r>
              <w:rPr>
                <w:rFonts w:hint="eastAsia" w:hAnsi="宋体" w:cs="Times New Roman"/>
                <w:color w:val="auto"/>
                <w:sz w:val="24"/>
                <w:szCs w:val="24"/>
                <w:lang w:val="en-US" w:eastAsia="zh-CN"/>
              </w:rPr>
              <w:t>下</w:t>
            </w:r>
            <w:r>
              <w:rPr>
                <w:rFonts w:hint="eastAsia" w:hAnsi="宋体" w:cs="Times New Roman"/>
                <w:color w:val="auto"/>
                <w:sz w:val="24"/>
                <w:szCs w:val="24"/>
              </w:rPr>
              <w:t>表。</w:t>
            </w:r>
          </w:p>
          <w:p w14:paraId="4C83CD75">
            <w:pPr>
              <w:pStyle w:val="71"/>
              <w:keepNext w:val="0"/>
              <w:keepLines w:val="0"/>
              <w:numPr>
                <w:ilvl w:val="1"/>
                <w:numId w:val="4"/>
              </w:numPr>
              <w:suppressLineNumbers w:val="0"/>
              <w:spacing w:before="0" w:beforeAutospacing="0" w:afterAutospacing="0" w:line="240" w:lineRule="auto"/>
              <w:ind w:left="3290" w:leftChars="0" w:right="0" w:hanging="2240" w:firstLineChars="0"/>
              <w:jc w:val="center"/>
              <w:rPr>
                <w:rFonts w:hint="eastAsia" w:cs="Times New Roman"/>
                <w:color w:val="auto"/>
                <w:sz w:val="24"/>
                <w:szCs w:val="24"/>
              </w:rPr>
            </w:pPr>
            <w:r>
              <w:rPr>
                <w:rFonts w:hint="eastAsia" w:cs="Times New Roman"/>
                <w:color w:val="auto"/>
                <w:spacing w:val="-2"/>
                <w:sz w:val="24"/>
                <w:szCs w:val="24"/>
              </w:rPr>
              <w:t>声</w:t>
            </w:r>
            <w:r>
              <w:rPr>
                <w:rFonts w:hint="default" w:cs="Times New Roman"/>
                <w:color w:val="auto"/>
                <w:spacing w:val="-2"/>
                <w:sz w:val="24"/>
                <w:szCs w:val="24"/>
              </w:rPr>
              <w:t>环境质量标准</w:t>
            </w:r>
            <w:r>
              <w:rPr>
                <w:rFonts w:hint="default" w:cs="Times New Roman"/>
                <w:color w:val="auto"/>
                <w:sz w:val="24"/>
                <w:szCs w:val="24"/>
              </w:rPr>
              <w:t xml:space="preserve"> </w:t>
            </w:r>
            <w:r>
              <w:rPr>
                <w:rFonts w:hint="eastAsia" w:cs="Times New Roman"/>
                <w:color w:val="auto"/>
                <w:sz w:val="24"/>
                <w:szCs w:val="24"/>
              </w:rPr>
              <w:t xml:space="preserve">      单位：dB(A)</w:t>
            </w:r>
          </w:p>
          <w:tbl>
            <w:tblPr>
              <w:tblStyle w:val="2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6"/>
              <w:gridCol w:w="2436"/>
              <w:gridCol w:w="2430"/>
            </w:tblGrid>
            <w:tr w14:paraId="18D3C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1654" w:type="pct"/>
                  <w:noWrap w:val="0"/>
                  <w:vAlign w:val="center"/>
                </w:tcPr>
                <w:p w14:paraId="419E513E">
                  <w:pPr>
                    <w:keepNext w:val="0"/>
                    <w:keepLines w:val="0"/>
                    <w:widowControl/>
                    <w:suppressLineNumbers w:val="0"/>
                    <w:spacing w:before="0" w:beforeAutospacing="0" w:after="0" w:afterAutospacing="0" w:line="360" w:lineRule="auto"/>
                    <w:ind w:left="0" w:right="0"/>
                    <w:jc w:val="center"/>
                    <w:rPr>
                      <w:rFonts w:hint="default" w:cs="Times New Roman"/>
                      <w:color w:val="auto"/>
                      <w:kern w:val="0"/>
                      <w:sz w:val="24"/>
                      <w:szCs w:val="24"/>
                    </w:rPr>
                  </w:pPr>
                  <w:r>
                    <w:rPr>
                      <w:rFonts w:hint="eastAsia" w:cs="Times New Roman"/>
                      <w:color w:val="auto"/>
                      <w:kern w:val="0"/>
                      <w:sz w:val="24"/>
                      <w:szCs w:val="24"/>
                    </w:rPr>
                    <w:t>声环境功能区</w:t>
                  </w:r>
                  <w:r>
                    <w:rPr>
                      <w:rFonts w:hint="default" w:cs="Times New Roman"/>
                      <w:color w:val="auto"/>
                      <w:kern w:val="0"/>
                      <w:sz w:val="24"/>
                      <w:szCs w:val="24"/>
                    </w:rPr>
                    <w:t>类别</w:t>
                  </w:r>
                </w:p>
              </w:tc>
              <w:tc>
                <w:tcPr>
                  <w:tcW w:w="1675" w:type="pct"/>
                  <w:noWrap w:val="0"/>
                  <w:vAlign w:val="center"/>
                </w:tcPr>
                <w:p w14:paraId="0BA01DA7">
                  <w:pPr>
                    <w:keepNext w:val="0"/>
                    <w:keepLines w:val="0"/>
                    <w:widowControl/>
                    <w:suppressLineNumbers w:val="0"/>
                    <w:spacing w:before="0" w:beforeAutospacing="0" w:after="0" w:afterAutospacing="0" w:line="360" w:lineRule="auto"/>
                    <w:ind w:left="0" w:right="0"/>
                    <w:jc w:val="center"/>
                    <w:rPr>
                      <w:rFonts w:hint="default" w:cs="Times New Roman"/>
                      <w:color w:val="auto"/>
                      <w:kern w:val="0"/>
                      <w:sz w:val="24"/>
                      <w:szCs w:val="24"/>
                    </w:rPr>
                  </w:pPr>
                  <w:r>
                    <w:rPr>
                      <w:rFonts w:hint="default" w:cs="Times New Roman"/>
                      <w:color w:val="auto"/>
                      <w:kern w:val="0"/>
                      <w:sz w:val="24"/>
                      <w:szCs w:val="24"/>
                    </w:rPr>
                    <w:t>昼</w:t>
                  </w:r>
                  <w:r>
                    <w:rPr>
                      <w:rFonts w:hint="eastAsia" w:cs="Times New Roman"/>
                      <w:color w:val="auto"/>
                      <w:kern w:val="0"/>
                      <w:sz w:val="24"/>
                      <w:szCs w:val="24"/>
                    </w:rPr>
                    <w:t xml:space="preserve">  </w:t>
                  </w:r>
                  <w:r>
                    <w:rPr>
                      <w:rFonts w:hint="default" w:cs="Times New Roman"/>
                      <w:color w:val="auto"/>
                      <w:kern w:val="0"/>
                      <w:sz w:val="24"/>
                      <w:szCs w:val="24"/>
                    </w:rPr>
                    <w:t>间</w:t>
                  </w:r>
                </w:p>
              </w:tc>
              <w:tc>
                <w:tcPr>
                  <w:tcW w:w="1671" w:type="pct"/>
                  <w:noWrap w:val="0"/>
                  <w:vAlign w:val="center"/>
                </w:tcPr>
                <w:p w14:paraId="0AD75889">
                  <w:pPr>
                    <w:keepNext w:val="0"/>
                    <w:keepLines w:val="0"/>
                    <w:widowControl/>
                    <w:suppressLineNumbers w:val="0"/>
                    <w:spacing w:before="0" w:beforeAutospacing="0" w:after="0" w:afterAutospacing="0" w:line="360" w:lineRule="auto"/>
                    <w:ind w:left="0" w:right="0"/>
                    <w:jc w:val="center"/>
                    <w:rPr>
                      <w:rFonts w:hint="default" w:cs="Times New Roman"/>
                      <w:color w:val="auto"/>
                      <w:kern w:val="0"/>
                      <w:sz w:val="24"/>
                      <w:szCs w:val="24"/>
                    </w:rPr>
                  </w:pPr>
                  <w:r>
                    <w:rPr>
                      <w:rFonts w:hint="default" w:cs="Times New Roman"/>
                      <w:color w:val="auto"/>
                      <w:kern w:val="0"/>
                      <w:sz w:val="24"/>
                      <w:szCs w:val="24"/>
                    </w:rPr>
                    <w:t>夜</w:t>
                  </w:r>
                  <w:r>
                    <w:rPr>
                      <w:rFonts w:hint="eastAsia" w:cs="Times New Roman"/>
                      <w:color w:val="auto"/>
                      <w:kern w:val="0"/>
                      <w:sz w:val="24"/>
                      <w:szCs w:val="24"/>
                    </w:rPr>
                    <w:t xml:space="preserve">  </w:t>
                  </w:r>
                  <w:r>
                    <w:rPr>
                      <w:rFonts w:hint="default" w:cs="Times New Roman"/>
                      <w:color w:val="auto"/>
                      <w:kern w:val="0"/>
                      <w:sz w:val="24"/>
                      <w:szCs w:val="24"/>
                    </w:rPr>
                    <w:t>间</w:t>
                  </w:r>
                </w:p>
              </w:tc>
            </w:tr>
            <w:tr w14:paraId="4359C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1654" w:type="pct"/>
                  <w:noWrap w:val="0"/>
                  <w:vAlign w:val="center"/>
                </w:tcPr>
                <w:p w14:paraId="2003294A">
                  <w:pPr>
                    <w:keepNext w:val="0"/>
                    <w:keepLines w:val="0"/>
                    <w:widowControl/>
                    <w:suppressLineNumbers w:val="0"/>
                    <w:spacing w:before="0" w:beforeAutospacing="0" w:after="0" w:afterAutospacing="0" w:line="360" w:lineRule="auto"/>
                    <w:ind w:left="0" w:right="0"/>
                    <w:jc w:val="center"/>
                    <w:rPr>
                      <w:rFonts w:hint="eastAsia" w:cs="Times New Roman"/>
                      <w:color w:val="auto"/>
                      <w:kern w:val="0"/>
                      <w:sz w:val="24"/>
                      <w:szCs w:val="24"/>
                    </w:rPr>
                  </w:pPr>
                  <w:r>
                    <w:rPr>
                      <w:rFonts w:hint="eastAsia" w:cs="Times New Roman"/>
                      <w:color w:val="auto"/>
                      <w:kern w:val="0"/>
                      <w:sz w:val="24"/>
                      <w:szCs w:val="24"/>
                      <w:lang w:val="en-US" w:eastAsia="zh-CN"/>
                    </w:rPr>
                    <w:t>2</w:t>
                  </w:r>
                  <w:r>
                    <w:rPr>
                      <w:rFonts w:hint="eastAsia" w:cs="Times New Roman"/>
                      <w:color w:val="auto"/>
                      <w:kern w:val="0"/>
                      <w:sz w:val="24"/>
                      <w:szCs w:val="24"/>
                    </w:rPr>
                    <w:t>类区</w:t>
                  </w:r>
                </w:p>
              </w:tc>
              <w:tc>
                <w:tcPr>
                  <w:tcW w:w="1675" w:type="pct"/>
                  <w:noWrap w:val="0"/>
                  <w:vAlign w:val="center"/>
                </w:tcPr>
                <w:p w14:paraId="452023C2">
                  <w:pPr>
                    <w:keepNext w:val="0"/>
                    <w:keepLines w:val="0"/>
                    <w:widowControl/>
                    <w:suppressLineNumbers w:val="0"/>
                    <w:spacing w:before="0" w:beforeAutospacing="0" w:after="0" w:afterAutospacing="0" w:line="360" w:lineRule="auto"/>
                    <w:ind w:left="0" w:right="0"/>
                    <w:jc w:val="center"/>
                    <w:rPr>
                      <w:rFonts w:hint="default" w:eastAsia="宋体" w:cs="Times New Roman"/>
                      <w:color w:val="auto"/>
                      <w:kern w:val="0"/>
                      <w:sz w:val="24"/>
                      <w:szCs w:val="24"/>
                      <w:lang w:val="en-US" w:eastAsia="zh-CN"/>
                    </w:rPr>
                  </w:pPr>
                  <w:r>
                    <w:rPr>
                      <w:rFonts w:hint="eastAsia" w:cs="Times New Roman"/>
                      <w:color w:val="auto"/>
                      <w:kern w:val="0"/>
                      <w:sz w:val="24"/>
                      <w:szCs w:val="24"/>
                      <w:lang w:val="en-US" w:eastAsia="zh-CN"/>
                    </w:rPr>
                    <w:t>60</w:t>
                  </w:r>
                </w:p>
              </w:tc>
              <w:tc>
                <w:tcPr>
                  <w:tcW w:w="1671" w:type="pct"/>
                  <w:noWrap w:val="0"/>
                  <w:vAlign w:val="center"/>
                </w:tcPr>
                <w:p w14:paraId="2D65B177">
                  <w:pPr>
                    <w:keepNext w:val="0"/>
                    <w:keepLines w:val="0"/>
                    <w:widowControl/>
                    <w:suppressLineNumbers w:val="0"/>
                    <w:spacing w:before="0" w:beforeAutospacing="0" w:after="0" w:afterAutospacing="0" w:line="360" w:lineRule="auto"/>
                    <w:ind w:left="0" w:right="0"/>
                    <w:jc w:val="center"/>
                    <w:rPr>
                      <w:rFonts w:hint="default" w:eastAsia="宋体" w:cs="Times New Roman"/>
                      <w:color w:val="auto"/>
                      <w:kern w:val="0"/>
                      <w:sz w:val="24"/>
                      <w:szCs w:val="24"/>
                      <w:lang w:val="en-US" w:eastAsia="zh-CN"/>
                    </w:rPr>
                  </w:pPr>
                  <w:r>
                    <w:rPr>
                      <w:rFonts w:hint="eastAsia" w:cs="Times New Roman"/>
                      <w:color w:val="auto"/>
                      <w:kern w:val="0"/>
                      <w:sz w:val="24"/>
                      <w:szCs w:val="24"/>
                      <w:lang w:val="en-US" w:eastAsia="zh-CN"/>
                    </w:rPr>
                    <w:t>50</w:t>
                  </w:r>
                </w:p>
              </w:tc>
            </w:tr>
          </w:tbl>
          <w:p w14:paraId="286013C2">
            <w:pPr>
              <w:pStyle w:val="10"/>
              <w:keepNext w:val="0"/>
              <w:keepLines w:val="0"/>
              <w:suppressLineNumbers w:val="0"/>
              <w:adjustRightInd w:val="0"/>
              <w:spacing w:before="0" w:beforeAutospacing="0" w:after="0" w:afterAutospacing="0" w:line="360" w:lineRule="auto"/>
              <w:ind w:left="0" w:right="0" w:firstLine="480" w:firstLineChars="200"/>
              <w:rPr>
                <w:rFonts w:hint="default" w:cs="Times New Roman"/>
                <w:color w:val="auto"/>
                <w:sz w:val="24"/>
                <w:szCs w:val="24"/>
                <w:lang w:val="en-US" w:eastAsia="zh-CN"/>
              </w:rPr>
            </w:pPr>
            <w:r>
              <w:rPr>
                <w:rFonts w:hint="eastAsia" w:cs="Times New Roman"/>
                <w:color w:val="auto"/>
                <w:sz w:val="24"/>
                <w:szCs w:val="24"/>
                <w:lang w:val="en-US" w:eastAsia="zh-CN" w:bidi="ar"/>
              </w:rPr>
              <w:t>2、</w:t>
            </w:r>
            <w:r>
              <w:rPr>
                <w:rFonts w:hint="default" w:cs="Times New Roman"/>
                <w:color w:val="auto"/>
                <w:sz w:val="24"/>
                <w:szCs w:val="24"/>
                <w:lang w:val="en-US" w:eastAsia="zh-CN" w:bidi="ar"/>
              </w:rPr>
              <w:t>污染物排放标准</w:t>
            </w:r>
          </w:p>
          <w:p w14:paraId="4E36DA4E">
            <w:pPr>
              <w:keepNext w:val="0"/>
              <w:keepLines w:val="0"/>
              <w:suppressLineNumbers w:val="0"/>
              <w:spacing w:before="0" w:beforeAutospacing="0" w:after="0" w:afterAutospacing="0" w:line="360" w:lineRule="auto"/>
              <w:ind w:left="0" w:right="0" w:firstLine="480" w:firstLineChars="200"/>
              <w:rPr>
                <w:rFonts w:hint="default" w:cs="Times New Roman"/>
                <w:color w:val="auto"/>
              </w:rPr>
            </w:pPr>
            <w:r>
              <w:rPr>
                <w:rFonts w:hint="eastAsia" w:hAnsi="宋体" w:cs="Times New Roman"/>
                <w:color w:val="auto"/>
                <w:sz w:val="24"/>
                <w:szCs w:val="24"/>
              </w:rPr>
              <w:t>①</w:t>
            </w:r>
            <w:r>
              <w:rPr>
                <w:rFonts w:hint="eastAsia" w:hAnsi="宋体" w:cs="Times New Roman"/>
                <w:color w:val="auto"/>
                <w:sz w:val="24"/>
                <w:szCs w:val="24"/>
                <w:lang w:eastAsia="zh-CN"/>
              </w:rPr>
              <w:t>施工期场</w:t>
            </w:r>
            <w:r>
              <w:rPr>
                <w:rFonts w:hint="default" w:cs="Times New Roman"/>
                <w:color w:val="auto"/>
                <w:sz w:val="24"/>
                <w:szCs w:val="24"/>
              </w:rPr>
              <w:t>界噪声执行《建筑施工噪声排放标准》（GB12523-20</w:t>
            </w:r>
            <w:r>
              <w:rPr>
                <w:rFonts w:hint="eastAsia" w:cs="Times New Roman"/>
                <w:color w:val="auto"/>
                <w:sz w:val="24"/>
                <w:szCs w:val="24"/>
                <w:lang w:val="en-US" w:eastAsia="zh-CN"/>
              </w:rPr>
              <w:t>25</w:t>
            </w:r>
            <w:r>
              <w:rPr>
                <w:rFonts w:hint="default" w:cs="Times New Roman"/>
                <w:color w:val="auto"/>
                <w:sz w:val="24"/>
                <w:szCs w:val="24"/>
              </w:rPr>
              <w:t>）</w:t>
            </w:r>
            <w:r>
              <w:rPr>
                <w:rFonts w:hint="eastAsia" w:hAnsi="宋体" w:cs="Times New Roman"/>
                <w:color w:val="auto"/>
                <w:sz w:val="24"/>
                <w:szCs w:val="24"/>
                <w:lang w:eastAsia="zh-CN"/>
              </w:rPr>
              <w:t>，</w:t>
            </w:r>
            <w:r>
              <w:rPr>
                <w:rFonts w:hint="eastAsia" w:hAnsi="宋体" w:cs="Times New Roman"/>
                <w:color w:val="auto"/>
                <w:sz w:val="24"/>
                <w:szCs w:val="24"/>
              </w:rPr>
              <w:t>夜间场界噪声最大声级超过限值的幅度不得高于 15 dB（A）</w:t>
            </w:r>
            <w:r>
              <w:rPr>
                <w:rFonts w:hint="eastAsia" w:hAnsi="宋体" w:cs="Times New Roman"/>
                <w:color w:val="auto"/>
                <w:sz w:val="24"/>
                <w:szCs w:val="24"/>
                <w:lang w:eastAsia="zh-CN"/>
              </w:rPr>
              <w:t>。</w:t>
            </w:r>
            <w:r>
              <w:rPr>
                <w:rFonts w:hint="eastAsia" w:ascii="Times New Roman" w:hAnsi="Times New Roman" w:eastAsia="宋体" w:cs="Times New Roman"/>
                <w:color w:val="auto"/>
                <w:sz w:val="24"/>
                <w:szCs w:val="24"/>
              </w:rPr>
              <w:t>运</w:t>
            </w:r>
            <w:r>
              <w:rPr>
                <w:rFonts w:hint="default" w:cs="Times New Roman"/>
                <w:color w:val="auto"/>
                <w:sz w:val="24"/>
              </w:rPr>
              <w:t>营期</w:t>
            </w:r>
            <w:r>
              <w:rPr>
                <w:rFonts w:hint="eastAsia" w:cs="Times New Roman"/>
                <w:color w:val="auto"/>
                <w:sz w:val="24"/>
                <w:szCs w:val="24"/>
              </w:rPr>
              <w:t>工业场地厂界噪声执行</w:t>
            </w:r>
            <w:r>
              <w:rPr>
                <w:rFonts w:hint="default" w:cs="Times New Roman"/>
                <w:color w:val="auto"/>
                <w:sz w:val="24"/>
                <w:szCs w:val="24"/>
              </w:rPr>
              <w:t>《工业企业厂界环境噪声排放标准》（GB12348</w:t>
            </w:r>
            <w:r>
              <w:rPr>
                <w:rFonts w:hint="eastAsia" w:cs="Times New Roman"/>
                <w:color w:val="auto"/>
                <w:sz w:val="24"/>
                <w:szCs w:val="24"/>
              </w:rPr>
              <w:t>-</w:t>
            </w:r>
            <w:r>
              <w:rPr>
                <w:rFonts w:hint="default" w:cs="Times New Roman"/>
                <w:color w:val="auto"/>
                <w:sz w:val="24"/>
                <w:szCs w:val="24"/>
              </w:rPr>
              <w:t>2008）</w:t>
            </w:r>
            <w:r>
              <w:rPr>
                <w:rFonts w:hint="eastAsia" w:cs="Times New Roman"/>
                <w:color w:val="auto"/>
                <w:sz w:val="24"/>
                <w:szCs w:val="24"/>
              </w:rPr>
              <w:t>3</w:t>
            </w:r>
            <w:r>
              <w:rPr>
                <w:rFonts w:hint="default" w:cs="Times New Roman"/>
                <w:color w:val="auto"/>
                <w:sz w:val="24"/>
                <w:szCs w:val="24"/>
              </w:rPr>
              <w:t>类</w:t>
            </w:r>
            <w:r>
              <w:rPr>
                <w:rFonts w:hint="eastAsia" w:cs="Times New Roman"/>
                <w:color w:val="auto"/>
                <w:sz w:val="24"/>
                <w:szCs w:val="24"/>
              </w:rPr>
              <w:t>，</w:t>
            </w:r>
            <w:r>
              <w:rPr>
                <w:rFonts w:hint="default" w:cs="Times New Roman"/>
                <w:color w:val="auto"/>
                <w:sz w:val="24"/>
                <w:szCs w:val="24"/>
              </w:rPr>
              <w:t>具体数值见下表</w:t>
            </w:r>
            <w:r>
              <w:rPr>
                <w:rFonts w:hint="default" w:cs="Times New Roman"/>
                <w:color w:val="auto"/>
                <w:sz w:val="24"/>
              </w:rPr>
              <w:t>。</w:t>
            </w:r>
          </w:p>
          <w:p w14:paraId="7A95AA82">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cs="Times New Roman"/>
                <w:color w:val="auto"/>
              </w:rPr>
            </w:pPr>
            <w:r>
              <w:rPr>
                <w:rFonts w:hint="eastAsia" w:cs="Times New Roman"/>
                <w:color w:val="auto"/>
                <w:lang w:val="en-US" w:eastAsia="zh-CN"/>
              </w:rPr>
              <w:t xml:space="preserve"> </w:t>
            </w:r>
            <w:r>
              <w:rPr>
                <w:rFonts w:hint="default" w:cs="Times New Roman"/>
                <w:color w:val="auto"/>
                <w:sz w:val="24"/>
                <w:szCs w:val="24"/>
              </w:rPr>
              <w:t>厂界噪声</w:t>
            </w:r>
            <w:r>
              <w:rPr>
                <w:rFonts w:hint="eastAsia" w:cs="Times New Roman"/>
                <w:color w:val="auto"/>
                <w:sz w:val="24"/>
                <w:szCs w:val="24"/>
              </w:rPr>
              <w:t>排放执行</w:t>
            </w:r>
            <w:r>
              <w:rPr>
                <w:rFonts w:hint="default" w:cs="Times New Roman"/>
                <w:color w:val="auto"/>
                <w:sz w:val="24"/>
                <w:szCs w:val="24"/>
              </w:rPr>
              <w:t>标准  单位：dB（A）</w:t>
            </w:r>
          </w:p>
          <w:tbl>
            <w:tblPr>
              <w:tblStyle w:val="28"/>
              <w:tblW w:w="7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8"/>
              <w:gridCol w:w="1247"/>
              <w:gridCol w:w="1247"/>
              <w:gridCol w:w="3267"/>
            </w:tblGrid>
            <w:tr w14:paraId="1E40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58" w:type="dxa"/>
                  <w:noWrap w:val="0"/>
                  <w:vAlign w:val="center"/>
                </w:tcPr>
                <w:p w14:paraId="0292C2DA">
                  <w:pPr>
                    <w:pStyle w:val="62"/>
                    <w:keepNext w:val="0"/>
                    <w:keepLines w:val="0"/>
                    <w:suppressLineNumbers w:val="0"/>
                    <w:spacing w:before="24" w:beforeAutospacing="0" w:after="24" w:afterAutospacing="0" w:line="300" w:lineRule="exact"/>
                    <w:ind w:left="0" w:right="0"/>
                    <w:rPr>
                      <w:rFonts w:hint="eastAsia" w:cs="Times New Roman"/>
                      <w:color w:val="auto"/>
                      <w:lang w:val="en-US" w:eastAsia="zh-CN"/>
                    </w:rPr>
                  </w:pPr>
                  <w:r>
                    <w:rPr>
                      <w:rFonts w:hint="eastAsia" w:cs="Times New Roman"/>
                      <w:color w:val="auto"/>
                      <w:lang w:val="en-US" w:eastAsia="zh-CN"/>
                    </w:rPr>
                    <w:t>项目</w:t>
                  </w:r>
                </w:p>
              </w:tc>
              <w:tc>
                <w:tcPr>
                  <w:tcW w:w="1247" w:type="dxa"/>
                  <w:noWrap w:val="0"/>
                  <w:vAlign w:val="center"/>
                </w:tcPr>
                <w:p w14:paraId="22DB7A50">
                  <w:pPr>
                    <w:pStyle w:val="62"/>
                    <w:keepNext w:val="0"/>
                    <w:keepLines w:val="0"/>
                    <w:suppressLineNumbers w:val="0"/>
                    <w:spacing w:before="24" w:beforeAutospacing="0" w:after="24" w:afterAutospacing="0" w:line="300" w:lineRule="exact"/>
                    <w:ind w:left="0" w:right="0"/>
                    <w:rPr>
                      <w:rFonts w:hint="default" w:cs="Times New Roman"/>
                      <w:color w:val="auto"/>
                      <w:lang w:val="en-US" w:eastAsia="zh-CN"/>
                    </w:rPr>
                  </w:pPr>
                  <w:r>
                    <w:rPr>
                      <w:rFonts w:hint="default" w:cs="Times New Roman"/>
                      <w:color w:val="auto"/>
                      <w:lang w:val="en-US" w:eastAsia="zh-CN"/>
                    </w:rPr>
                    <w:t>昼间</w:t>
                  </w:r>
                </w:p>
              </w:tc>
              <w:tc>
                <w:tcPr>
                  <w:tcW w:w="1247" w:type="dxa"/>
                  <w:noWrap w:val="0"/>
                  <w:vAlign w:val="center"/>
                </w:tcPr>
                <w:p w14:paraId="34282447">
                  <w:pPr>
                    <w:pStyle w:val="62"/>
                    <w:keepNext w:val="0"/>
                    <w:keepLines w:val="0"/>
                    <w:suppressLineNumbers w:val="0"/>
                    <w:spacing w:before="24" w:beforeAutospacing="0" w:after="24" w:afterAutospacing="0" w:line="300" w:lineRule="exact"/>
                    <w:ind w:left="0" w:right="0"/>
                    <w:rPr>
                      <w:rFonts w:hint="default" w:cs="Times New Roman"/>
                      <w:color w:val="auto"/>
                      <w:lang w:val="en-US" w:eastAsia="zh-CN"/>
                    </w:rPr>
                  </w:pPr>
                  <w:r>
                    <w:rPr>
                      <w:rFonts w:hint="default" w:cs="Times New Roman"/>
                      <w:color w:val="auto"/>
                      <w:lang w:val="en-US" w:eastAsia="zh-CN"/>
                    </w:rPr>
                    <w:t>夜间</w:t>
                  </w:r>
                </w:p>
              </w:tc>
              <w:tc>
                <w:tcPr>
                  <w:tcW w:w="3267" w:type="dxa"/>
                  <w:noWrap w:val="0"/>
                  <w:vAlign w:val="center"/>
                </w:tcPr>
                <w:p w14:paraId="00751938">
                  <w:pPr>
                    <w:pStyle w:val="62"/>
                    <w:keepNext w:val="0"/>
                    <w:keepLines w:val="0"/>
                    <w:suppressLineNumbers w:val="0"/>
                    <w:spacing w:before="24" w:beforeAutospacing="0" w:after="24" w:afterAutospacing="0" w:line="300" w:lineRule="exact"/>
                    <w:ind w:left="0" w:right="0"/>
                    <w:rPr>
                      <w:rFonts w:hint="default" w:cs="Times New Roman"/>
                      <w:color w:val="auto"/>
                      <w:lang w:val="en-US" w:eastAsia="zh-CN"/>
                    </w:rPr>
                  </w:pPr>
                  <w:r>
                    <w:rPr>
                      <w:rFonts w:hint="default" w:cs="Times New Roman"/>
                      <w:color w:val="auto"/>
                      <w:lang w:val="en-US" w:eastAsia="zh-CN"/>
                    </w:rPr>
                    <w:t>标准类别</w:t>
                  </w:r>
                </w:p>
              </w:tc>
            </w:tr>
            <w:tr w14:paraId="3FF8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58" w:type="dxa"/>
                  <w:noWrap w:val="0"/>
                  <w:vAlign w:val="center"/>
                </w:tcPr>
                <w:p w14:paraId="7E680608">
                  <w:pPr>
                    <w:pStyle w:val="62"/>
                    <w:keepNext w:val="0"/>
                    <w:keepLines w:val="0"/>
                    <w:suppressLineNumbers w:val="0"/>
                    <w:spacing w:before="24" w:beforeAutospacing="0" w:after="24" w:afterAutospacing="0" w:line="300" w:lineRule="exact"/>
                    <w:ind w:left="0" w:right="0"/>
                    <w:rPr>
                      <w:rFonts w:hint="default" w:ascii="Times New Roman" w:hAnsi="Times New Roman" w:cs="Times New Roman"/>
                      <w:color w:val="auto"/>
                      <w:kern w:val="0"/>
                      <w:sz w:val="21"/>
                      <w:szCs w:val="20"/>
                      <w:lang w:val="en-US" w:eastAsia="zh-CN" w:bidi="ar-SA"/>
                    </w:rPr>
                  </w:pPr>
                  <w:r>
                    <w:rPr>
                      <w:rFonts w:hint="default" w:ascii="Times New Roman" w:hAnsi="Times New Roman" w:cs="Times New Roman"/>
                      <w:color w:val="auto"/>
                      <w:lang w:val="en-US" w:eastAsia="zh-CN"/>
                    </w:rPr>
                    <w:t>运营期</w:t>
                  </w:r>
                </w:p>
              </w:tc>
              <w:tc>
                <w:tcPr>
                  <w:tcW w:w="1247" w:type="dxa"/>
                  <w:noWrap w:val="0"/>
                  <w:vAlign w:val="center"/>
                </w:tcPr>
                <w:p w14:paraId="31D8AD50">
                  <w:pPr>
                    <w:pStyle w:val="62"/>
                    <w:keepNext w:val="0"/>
                    <w:keepLines w:val="0"/>
                    <w:suppressLineNumbers w:val="0"/>
                    <w:spacing w:before="24" w:beforeAutospacing="0" w:after="24" w:afterAutospacing="0" w:line="300" w:lineRule="exact"/>
                    <w:ind w:left="0" w:right="0"/>
                    <w:rPr>
                      <w:rFonts w:hint="default" w:ascii="Times New Roman" w:hAnsi="Times New Roman" w:cs="Times New Roman"/>
                      <w:color w:val="auto"/>
                      <w:kern w:val="0"/>
                      <w:sz w:val="21"/>
                      <w:szCs w:val="20"/>
                      <w:lang w:val="en-US" w:eastAsia="zh-CN" w:bidi="ar-SA"/>
                    </w:rPr>
                  </w:pPr>
                  <w:r>
                    <w:rPr>
                      <w:rFonts w:hint="default" w:ascii="Times New Roman" w:hAnsi="Times New Roman" w:cs="Times New Roman"/>
                      <w:color w:val="auto"/>
                      <w:lang w:val="en-US" w:eastAsia="zh-CN"/>
                    </w:rPr>
                    <w:t>6</w:t>
                  </w:r>
                  <w:r>
                    <w:rPr>
                      <w:rFonts w:hint="eastAsia" w:ascii="Times New Roman" w:hAnsi="Times New Roman" w:cs="Times New Roman"/>
                      <w:color w:val="auto"/>
                      <w:lang w:val="en-US" w:eastAsia="zh-CN"/>
                    </w:rPr>
                    <w:t>5</w:t>
                  </w:r>
                </w:p>
              </w:tc>
              <w:tc>
                <w:tcPr>
                  <w:tcW w:w="1247" w:type="dxa"/>
                  <w:noWrap w:val="0"/>
                  <w:vAlign w:val="center"/>
                </w:tcPr>
                <w:p w14:paraId="57496993">
                  <w:pPr>
                    <w:pStyle w:val="62"/>
                    <w:keepNext w:val="0"/>
                    <w:keepLines w:val="0"/>
                    <w:suppressLineNumbers w:val="0"/>
                    <w:spacing w:before="24" w:beforeAutospacing="0" w:after="24" w:afterAutospacing="0" w:line="300" w:lineRule="exact"/>
                    <w:ind w:left="0" w:right="0"/>
                    <w:rPr>
                      <w:rFonts w:hint="default" w:ascii="Times New Roman" w:hAnsi="Times New Roman" w:cs="Times New Roman"/>
                      <w:color w:val="auto"/>
                      <w:kern w:val="0"/>
                      <w:sz w:val="21"/>
                      <w:szCs w:val="20"/>
                      <w:lang w:val="en-US" w:eastAsia="zh-CN" w:bidi="ar-SA"/>
                    </w:rPr>
                  </w:pP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5</w:t>
                  </w:r>
                </w:p>
              </w:tc>
              <w:tc>
                <w:tcPr>
                  <w:tcW w:w="3267" w:type="dxa"/>
                  <w:noWrap w:val="0"/>
                  <w:vAlign w:val="center"/>
                </w:tcPr>
                <w:p w14:paraId="544B313B">
                  <w:pPr>
                    <w:pStyle w:val="62"/>
                    <w:keepNext w:val="0"/>
                    <w:keepLines w:val="0"/>
                    <w:suppressLineNumbers w:val="0"/>
                    <w:spacing w:before="24" w:beforeAutospacing="0" w:after="24" w:afterAutospacing="0" w:line="300" w:lineRule="exact"/>
                    <w:ind w:left="0" w:right="0"/>
                    <w:rPr>
                      <w:rFonts w:hint="default" w:ascii="Times New Roman" w:hAnsi="Times New Roman" w:cs="Times New Roman"/>
                      <w:color w:val="auto"/>
                      <w:kern w:val="0"/>
                      <w:sz w:val="21"/>
                      <w:szCs w:val="20"/>
                      <w:lang w:val="en-US" w:eastAsia="zh-CN" w:bidi="ar-SA"/>
                    </w:rPr>
                  </w:pPr>
                  <w:r>
                    <w:rPr>
                      <w:rFonts w:hint="default" w:ascii="Times New Roman" w:hAnsi="Times New Roman" w:cs="Times New Roman"/>
                      <w:color w:val="auto"/>
                      <w:lang w:val="en-US" w:eastAsia="zh-CN"/>
                    </w:rPr>
                    <w:t>GB12348—2008</w:t>
                  </w:r>
                </w:p>
              </w:tc>
            </w:tr>
            <w:tr w14:paraId="3C51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58" w:type="dxa"/>
                  <w:noWrap w:val="0"/>
                  <w:vAlign w:val="center"/>
                </w:tcPr>
                <w:p w14:paraId="053A4B82">
                  <w:pPr>
                    <w:pStyle w:val="62"/>
                    <w:keepNext w:val="0"/>
                    <w:keepLines w:val="0"/>
                    <w:suppressLineNumbers w:val="0"/>
                    <w:spacing w:before="24" w:beforeAutospacing="0" w:after="24" w:afterAutospacing="0" w:line="300" w:lineRule="exact"/>
                    <w:ind w:left="0"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施工期</w:t>
                  </w:r>
                </w:p>
              </w:tc>
              <w:tc>
                <w:tcPr>
                  <w:tcW w:w="1247" w:type="dxa"/>
                  <w:noWrap w:val="0"/>
                  <w:vAlign w:val="center"/>
                </w:tcPr>
                <w:p w14:paraId="0BD388A9">
                  <w:pPr>
                    <w:pStyle w:val="62"/>
                    <w:keepNext w:val="0"/>
                    <w:keepLines w:val="0"/>
                    <w:suppressLineNumbers w:val="0"/>
                    <w:spacing w:before="24" w:beforeAutospacing="0" w:after="24" w:afterAutospacing="0" w:line="300" w:lineRule="exact"/>
                    <w:ind w:left="0"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70</w:t>
                  </w:r>
                </w:p>
              </w:tc>
              <w:tc>
                <w:tcPr>
                  <w:tcW w:w="1247" w:type="dxa"/>
                  <w:noWrap w:val="0"/>
                  <w:vAlign w:val="center"/>
                </w:tcPr>
                <w:p w14:paraId="1040EAED">
                  <w:pPr>
                    <w:pStyle w:val="62"/>
                    <w:keepNext w:val="0"/>
                    <w:keepLines w:val="0"/>
                    <w:suppressLineNumbers w:val="0"/>
                    <w:spacing w:before="24" w:beforeAutospacing="0" w:after="24" w:afterAutospacing="0" w:line="300" w:lineRule="exact"/>
                    <w:ind w:left="0"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3267" w:type="dxa"/>
                  <w:noWrap w:val="0"/>
                  <w:vAlign w:val="center"/>
                </w:tcPr>
                <w:p w14:paraId="49D187C2">
                  <w:pPr>
                    <w:pStyle w:val="62"/>
                    <w:keepNext w:val="0"/>
                    <w:keepLines w:val="0"/>
                    <w:suppressLineNumbers w:val="0"/>
                    <w:spacing w:before="24" w:beforeAutospacing="0" w:after="24" w:afterAutospacing="0" w:line="300" w:lineRule="exact"/>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GB12523-20</w:t>
                  </w:r>
                  <w:r>
                    <w:rPr>
                      <w:rFonts w:hint="eastAsia" w:ascii="Times New Roman" w:hAnsi="Times New Roman" w:cs="Times New Roman"/>
                      <w:color w:val="auto"/>
                      <w:lang w:val="en-US" w:eastAsia="zh-CN"/>
                    </w:rPr>
                    <w:t>25</w:t>
                  </w:r>
                </w:p>
              </w:tc>
            </w:tr>
          </w:tbl>
          <w:p w14:paraId="194D3A0D">
            <w:pPr>
              <w:pStyle w:val="107"/>
              <w:keepNext w:val="0"/>
              <w:keepLines w:val="0"/>
              <w:numPr>
                <w:ilvl w:val="0"/>
                <w:numId w:val="0"/>
              </w:numPr>
              <w:suppressLineNumbers w:val="0"/>
              <w:spacing w:before="0" w:beforeAutospacing="0" w:after="0" w:afterAutospacing="0"/>
              <w:ind w:left="0" w:right="0" w:firstLine="480" w:firstLineChars="200"/>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②废气</w:t>
            </w:r>
          </w:p>
          <w:p w14:paraId="5A83E708">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pacing w:val="0"/>
                <w:sz w:val="24"/>
                <w:highlight w:val="none"/>
                <w:lang w:val="en-US" w:eastAsia="zh-CN"/>
              </w:rPr>
            </w:pPr>
            <w:r>
              <w:rPr>
                <w:rFonts w:hint="default" w:ascii="Times New Roman" w:hAnsi="Times New Roman" w:cs="Times New Roman"/>
                <w:color w:val="auto"/>
                <w:spacing w:val="0"/>
                <w:sz w:val="24"/>
                <w:highlight w:val="none"/>
              </w:rPr>
              <w:t>施工期扬尘执行</w:t>
            </w:r>
            <w:r>
              <w:rPr>
                <w:rFonts w:hint="default" w:ascii="Times New Roman" w:hAnsi="Times New Roman" w:cs="Times New Roman"/>
                <w:color w:val="auto"/>
                <w:spacing w:val="0"/>
                <w:sz w:val="24"/>
                <w:highlight w:val="none"/>
                <w:lang w:val="en-US" w:eastAsia="zh-CN"/>
              </w:rPr>
              <w:t>安徽省地方标准</w:t>
            </w:r>
            <w:r>
              <w:rPr>
                <w:rFonts w:hint="default" w:ascii="Times New Roman" w:hAnsi="Times New Roman" w:cs="Times New Roman"/>
                <w:color w:val="auto"/>
                <w:spacing w:val="0"/>
                <w:sz w:val="24"/>
                <w:highlight w:val="none"/>
              </w:rPr>
              <w:t>《施工场地颗粒物排放标准》（DB34/4811—2024）中厂界大气污染物无组织监控浓度限值</w:t>
            </w:r>
            <w:r>
              <w:rPr>
                <w:rFonts w:hint="eastAsia" w:ascii="Times New Roman" w:hAnsi="Times New Roman" w:cs="Times New Roman"/>
                <w:color w:val="auto"/>
                <w:spacing w:val="0"/>
                <w:sz w:val="24"/>
                <w:highlight w:val="none"/>
                <w:lang w:val="en-US" w:eastAsia="zh-CN"/>
              </w:rPr>
              <w:t>要</w:t>
            </w:r>
            <w:r>
              <w:rPr>
                <w:rFonts w:hint="eastAsia" w:ascii="Times New Roman" w:hAnsi="Times New Roman" w:eastAsia="宋体" w:cs="Times New Roman"/>
                <w:color w:val="auto"/>
                <w:spacing w:val="0"/>
                <w:sz w:val="24"/>
                <w:highlight w:val="none"/>
                <w:lang w:val="en-US" w:eastAsia="zh-CN"/>
              </w:rPr>
              <w:t>求。</w:t>
            </w:r>
          </w:p>
          <w:p w14:paraId="5A00CFEF">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pacing w:val="0"/>
                <w:sz w:val="24"/>
                <w:highlight w:val="none"/>
                <w:lang w:val="en-US" w:eastAsia="zh-CN"/>
              </w:rPr>
            </w:pPr>
            <w:r>
              <w:rPr>
                <w:rFonts w:hint="eastAsia" w:ascii="Times New Roman" w:hAnsi="Times New Roman" w:eastAsia="宋体" w:cs="Times New Roman"/>
                <w:color w:val="auto"/>
                <w:spacing w:val="0"/>
                <w:sz w:val="24"/>
                <w:highlight w:val="none"/>
                <w:lang w:val="en-US" w:eastAsia="zh-CN"/>
              </w:rPr>
              <w:t>项目运营期现阶段执行煤层气（煤矿瓦斯）排放执行《煤层气(煤矿瓦斯)排放标准(暂行)》(GB21522-2008)表1中相关要求，2027年4月1日起执行《煤层气（煤矿瓦斯）排放标准》（GB 21522—2024）表1中相关要求。</w:t>
            </w:r>
          </w:p>
          <w:p w14:paraId="1E2F898C">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pacing w:val="0"/>
                <w:sz w:val="24"/>
                <w:highlight w:val="none"/>
              </w:rPr>
            </w:pPr>
            <w:r>
              <w:rPr>
                <w:rFonts w:hint="eastAsia" w:ascii="宋体" w:hAnsi="宋体" w:eastAsia="宋体" w:cs="宋体"/>
                <w:color w:val="auto"/>
                <w:kern w:val="0"/>
                <w:sz w:val="24"/>
                <w:szCs w:val="24"/>
                <w:lang w:val="en-US" w:eastAsia="zh-CN" w:bidi="ar"/>
              </w:rPr>
              <w:t>项目运营期煤层气（煤矿瓦斯）排放执行《煤层气</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煤矿瓦斯</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排放标准</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暂行</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(GB21522-2008)</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中相关要求，</w:t>
            </w:r>
            <w:r>
              <w:rPr>
                <w:rFonts w:hint="default" w:ascii="Times New Roman" w:hAnsi="Times New Roman" w:eastAsia="宋体" w:cs="Times New Roman"/>
                <w:color w:val="auto"/>
                <w:spacing w:val="0"/>
                <w:sz w:val="24"/>
                <w:highlight w:val="none"/>
                <w:lang w:val="en-US" w:eastAsia="zh-CN"/>
              </w:rPr>
              <w:t>2027年4月1日起</w:t>
            </w:r>
            <w:r>
              <w:rPr>
                <w:rFonts w:hint="eastAsia" w:ascii="Times New Roman" w:hAnsi="Times New Roman" w:eastAsia="宋体" w:cs="Times New Roman"/>
                <w:color w:val="auto"/>
                <w:spacing w:val="0"/>
                <w:sz w:val="24"/>
                <w:highlight w:val="none"/>
                <w:lang w:val="en-US" w:eastAsia="zh-CN"/>
              </w:rPr>
              <w:t>，</w:t>
            </w:r>
            <w:r>
              <w:rPr>
                <w:rFonts w:hint="eastAsia" w:ascii="宋体" w:hAnsi="宋体" w:eastAsia="宋体" w:cs="宋体"/>
                <w:color w:val="auto"/>
                <w:kern w:val="0"/>
                <w:sz w:val="24"/>
                <w:szCs w:val="24"/>
                <w:lang w:val="en-US" w:eastAsia="zh-CN" w:bidi="ar"/>
              </w:rPr>
              <w:t>煤层气（煤矿瓦斯）排放执行《煤层气</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煤矿瓦斯</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排放标准</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暂行</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(GB21522-20</w:t>
            </w:r>
            <w:r>
              <w:rPr>
                <w:rFonts w:hint="eastAsia" w:ascii="Times New Roman" w:hAnsi="Times New Roman" w:eastAsia="宋体" w:cs="Times New Roman"/>
                <w:color w:val="auto"/>
                <w:kern w:val="0"/>
                <w:sz w:val="24"/>
                <w:szCs w:val="24"/>
                <w:lang w:val="en-US" w:eastAsia="zh-CN" w:bidi="ar"/>
              </w:rPr>
              <w:t>24）</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中相关要求。</w:t>
            </w:r>
          </w:p>
          <w:p w14:paraId="141073C4">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eastAsia="宋体" w:cs="Times New Roman"/>
                <w:color w:val="auto"/>
                <w:lang w:eastAsia="zh-CN"/>
              </w:rPr>
            </w:pPr>
            <w:r>
              <w:rPr>
                <w:rFonts w:hint="eastAsia" w:cs="Times New Roman"/>
                <w:color w:val="auto"/>
                <w:lang w:val="en-US" w:eastAsia="zh-CN"/>
              </w:rPr>
              <w:t xml:space="preserve"> </w:t>
            </w:r>
            <w:r>
              <w:rPr>
                <w:rFonts w:hint="eastAsia" w:ascii="宋体" w:hAnsi="宋体" w:eastAsia="宋体" w:cs="宋体"/>
                <w:color w:val="auto"/>
                <w:kern w:val="0"/>
                <w:sz w:val="24"/>
                <w:szCs w:val="24"/>
                <w:lang w:val="en-US" w:eastAsia="zh-CN" w:bidi="ar"/>
              </w:rPr>
              <w:t>煤层气</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煤矿瓦斯）排放限值</w:t>
            </w:r>
          </w:p>
          <w:tbl>
            <w:tblPr>
              <w:tblStyle w:val="28"/>
              <w:tblW w:w="4998"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1438"/>
              <w:gridCol w:w="2741"/>
              <w:gridCol w:w="1540"/>
              <w:gridCol w:w="1540"/>
            </w:tblGrid>
            <w:tr w14:paraId="09E1205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92" w:hRule="exact"/>
                <w:jc w:val="center"/>
              </w:trPr>
              <w:tc>
                <w:tcPr>
                  <w:tcW w:w="991" w:type="pct"/>
                  <w:tcBorders>
                    <w:right w:val="single" w:color="auto" w:sz="4" w:space="0"/>
                  </w:tcBorders>
                  <w:noWrap w:val="0"/>
                  <w:vAlign w:val="center"/>
                </w:tcPr>
                <w:p w14:paraId="31C0590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受控设施</w:t>
                  </w:r>
                </w:p>
              </w:tc>
              <w:tc>
                <w:tcPr>
                  <w:tcW w:w="1887" w:type="pct"/>
                  <w:tcBorders>
                    <w:left w:val="single" w:color="auto" w:sz="4" w:space="0"/>
                  </w:tcBorders>
                  <w:noWrap w:val="0"/>
                  <w:vAlign w:val="center"/>
                </w:tcPr>
                <w:p w14:paraId="54F1EE6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控制项目</w:t>
                  </w:r>
                </w:p>
              </w:tc>
              <w:tc>
                <w:tcPr>
                  <w:tcW w:w="1060" w:type="pct"/>
                  <w:tcBorders>
                    <w:left w:val="single" w:color="auto" w:sz="4" w:space="0"/>
                  </w:tcBorders>
                  <w:noWrap w:val="0"/>
                  <w:vAlign w:val="center"/>
                </w:tcPr>
                <w:p w14:paraId="5105FCB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排放限值</w:t>
                  </w:r>
                </w:p>
              </w:tc>
              <w:tc>
                <w:tcPr>
                  <w:tcW w:w="1060" w:type="pct"/>
                  <w:tcBorders>
                    <w:left w:val="single" w:color="auto" w:sz="4" w:space="0"/>
                  </w:tcBorders>
                  <w:noWrap w:val="0"/>
                  <w:vAlign w:val="center"/>
                </w:tcPr>
                <w:p w14:paraId="208E70F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来源</w:t>
                  </w:r>
                </w:p>
              </w:tc>
            </w:tr>
            <w:tr w14:paraId="49ECB3D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991" w:type="pct"/>
                  <w:vMerge w:val="restart"/>
                  <w:tcBorders>
                    <w:right w:val="single" w:color="auto" w:sz="4" w:space="0"/>
                  </w:tcBorders>
                  <w:noWrap w:val="0"/>
                  <w:vAlign w:val="center"/>
                </w:tcPr>
                <w:p w14:paraId="26EC857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煤矿瓦斯抽放系统</w:t>
                  </w:r>
                </w:p>
              </w:tc>
              <w:tc>
                <w:tcPr>
                  <w:tcW w:w="1887" w:type="pct"/>
                  <w:tcBorders>
                    <w:left w:val="single" w:color="auto" w:sz="4" w:space="0"/>
                  </w:tcBorders>
                  <w:noWrap w:val="0"/>
                  <w:vAlign w:val="center"/>
                </w:tcPr>
                <w:p w14:paraId="1A5D32B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高浓度瓦斯 （甲烷体积分数≥</w:t>
                  </w:r>
                  <w:r>
                    <w:rPr>
                      <w:rFonts w:hint="eastAsia" w:ascii="Times New Roman" w:hAnsi="Times New Roman" w:eastAsia="宋体" w:cs="Times New Roman"/>
                      <w:color w:val="auto"/>
                      <w:kern w:val="2"/>
                      <w:sz w:val="21"/>
                      <w:szCs w:val="21"/>
                      <w:lang w:val="en-US" w:eastAsia="zh-CN" w:bidi="ar-SA"/>
                    </w:rPr>
                    <w:t>30</w:t>
                  </w:r>
                  <w:r>
                    <w:rPr>
                      <w:rFonts w:hint="default" w:ascii="Times New Roman" w:hAnsi="Times New Roman" w:eastAsia="宋体" w:cs="Times New Roman"/>
                      <w:color w:val="auto"/>
                      <w:kern w:val="2"/>
                      <w:sz w:val="21"/>
                      <w:szCs w:val="21"/>
                      <w:lang w:val="en-US" w:eastAsia="zh-CN" w:bidi="ar-SA"/>
                    </w:rPr>
                    <w:t>％ ）</w:t>
                  </w:r>
                </w:p>
              </w:tc>
              <w:tc>
                <w:tcPr>
                  <w:tcW w:w="1060" w:type="pct"/>
                  <w:tcBorders>
                    <w:left w:val="single" w:color="auto" w:sz="4" w:space="0"/>
                  </w:tcBorders>
                  <w:noWrap w:val="0"/>
                  <w:vAlign w:val="center"/>
                </w:tcPr>
                <w:p w14:paraId="4318B09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禁止排放</w:t>
                  </w:r>
                </w:p>
              </w:tc>
              <w:tc>
                <w:tcPr>
                  <w:tcW w:w="1060" w:type="pct"/>
                  <w:vMerge w:val="restart"/>
                  <w:tcBorders>
                    <w:left w:val="single" w:color="auto" w:sz="4" w:space="0"/>
                  </w:tcBorders>
                  <w:noWrap w:val="0"/>
                  <w:vAlign w:val="center"/>
                </w:tcPr>
                <w:p w14:paraId="548AC058">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GB21522-2008</w:t>
                  </w:r>
                </w:p>
              </w:tc>
            </w:tr>
            <w:tr w14:paraId="766CA16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991" w:type="pct"/>
                  <w:vMerge w:val="continue"/>
                  <w:tcBorders>
                    <w:right w:val="single" w:color="auto" w:sz="4" w:space="0"/>
                  </w:tcBorders>
                  <w:noWrap w:val="0"/>
                  <w:vAlign w:val="center"/>
                </w:tcPr>
                <w:p w14:paraId="3B2C1DB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887" w:type="pct"/>
                  <w:tcBorders>
                    <w:left w:val="single" w:color="auto" w:sz="4" w:space="0"/>
                  </w:tcBorders>
                  <w:noWrap w:val="0"/>
                  <w:vAlign w:val="center"/>
                </w:tcPr>
                <w:p w14:paraId="0B5A564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低浓度瓦斯（甲烷体积分数 </w:t>
                  </w:r>
                </w:p>
                <w:p w14:paraId="2343E03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&lt;30%</w:t>
                  </w:r>
                  <w:r>
                    <w:rPr>
                      <w:rFonts w:hint="default" w:ascii="Times New Roman" w:hAnsi="Times New Roman" w:eastAsia="宋体" w:cs="Times New Roman"/>
                      <w:color w:val="auto"/>
                      <w:kern w:val="2"/>
                      <w:sz w:val="21"/>
                      <w:szCs w:val="21"/>
                      <w:lang w:val="en-US" w:eastAsia="zh-CN" w:bidi="ar-SA"/>
                    </w:rPr>
                    <w:t xml:space="preserve"> </w:t>
                  </w:r>
                  <w:r>
                    <w:rPr>
                      <w:rFonts w:hint="eastAsia" w:ascii="Times New Roman" w:hAnsi="Times New Roman" w:eastAsia="宋体" w:cs="Times New Roman"/>
                      <w:color w:val="auto"/>
                      <w:kern w:val="2"/>
                      <w:sz w:val="21"/>
                      <w:szCs w:val="21"/>
                      <w:lang w:val="en-US" w:eastAsia="zh-CN" w:bidi="ar-SA"/>
                    </w:rPr>
                    <w:t>)</w:t>
                  </w:r>
                </w:p>
              </w:tc>
              <w:tc>
                <w:tcPr>
                  <w:tcW w:w="1060" w:type="pct"/>
                  <w:tcBorders>
                    <w:left w:val="single" w:color="auto" w:sz="4" w:space="0"/>
                  </w:tcBorders>
                  <w:noWrap w:val="0"/>
                  <w:vAlign w:val="center"/>
                </w:tcPr>
                <w:p w14:paraId="3E66AE4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060" w:type="pct"/>
                  <w:vMerge w:val="continue"/>
                  <w:tcBorders>
                    <w:left w:val="single" w:color="auto" w:sz="4" w:space="0"/>
                  </w:tcBorders>
                  <w:noWrap w:val="0"/>
                  <w:vAlign w:val="center"/>
                </w:tcPr>
                <w:p w14:paraId="56DE549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p>
              </w:tc>
            </w:tr>
          </w:tbl>
          <w:p w14:paraId="6C411DB2">
            <w:pPr>
              <w:keepNext w:val="0"/>
              <w:keepLines w:val="0"/>
              <w:numPr>
                <w:ilvl w:val="0"/>
                <w:numId w:val="0"/>
              </w:numPr>
              <w:suppressLineNumbers w:val="0"/>
              <w:spacing w:before="0" w:beforeAutospacing="0" w:after="0" w:afterAutospacing="0" w:line="240" w:lineRule="auto"/>
              <w:ind w:left="2100" w:leftChars="0" w:right="0"/>
              <w:jc w:val="both"/>
              <w:rPr>
                <w:rFonts w:hint="eastAsia" w:ascii="Times New Roman" w:hAnsi="Times New Roman" w:eastAsia="宋体" w:cs="Times New Roman"/>
                <w:color w:val="auto"/>
                <w:sz w:val="24"/>
                <w:szCs w:val="24"/>
                <w:lang w:val="en-US" w:eastAsia="zh-CN"/>
              </w:rPr>
            </w:pPr>
          </w:p>
          <w:p w14:paraId="38A9482F">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cs="Times New Roman"/>
                <w:lang w:val="en-US" w:eastAsia="zh-CN"/>
              </w:rPr>
            </w:pPr>
            <w:r>
              <w:rPr>
                <w:rFonts w:hint="eastAsia" w:cs="Times New Roman"/>
                <w:color w:val="auto"/>
                <w:lang w:val="en-US" w:eastAsia="zh-CN"/>
              </w:rPr>
              <w:t xml:space="preserve"> </w:t>
            </w:r>
            <w:r>
              <w:rPr>
                <w:rFonts w:hint="eastAsia" w:ascii="宋体" w:hAnsi="宋体" w:eastAsia="宋体" w:cs="宋体"/>
                <w:color w:val="auto"/>
                <w:kern w:val="0"/>
                <w:sz w:val="24"/>
                <w:szCs w:val="24"/>
                <w:lang w:val="en-US" w:eastAsia="zh-CN" w:bidi="ar"/>
              </w:rPr>
              <w:t>煤层气（煤矿瓦斯）排放限值</w:t>
            </w:r>
          </w:p>
          <w:tbl>
            <w:tblPr>
              <w:tblStyle w:val="28"/>
              <w:tblW w:w="7907" w:type="dxa"/>
              <w:tblInd w:w="0" w:type="dxa"/>
              <w:tblLayout w:type="fixed"/>
              <w:tblCellMar>
                <w:top w:w="0" w:type="dxa"/>
                <w:left w:w="108" w:type="dxa"/>
                <w:bottom w:w="0" w:type="dxa"/>
                <w:right w:w="108" w:type="dxa"/>
              </w:tblCellMar>
            </w:tblPr>
            <w:tblGrid>
              <w:gridCol w:w="821"/>
              <w:gridCol w:w="1578"/>
              <w:gridCol w:w="1005"/>
              <w:gridCol w:w="2504"/>
              <w:gridCol w:w="1369"/>
            </w:tblGrid>
            <w:tr w14:paraId="2BA0AFBD">
              <w:tblPrEx>
                <w:tblCellMar>
                  <w:top w:w="0" w:type="dxa"/>
                  <w:left w:w="108" w:type="dxa"/>
                  <w:bottom w:w="0" w:type="dxa"/>
                  <w:right w:w="108" w:type="dxa"/>
                </w:tblCellMar>
              </w:tblPrEx>
              <w:trPr>
                <w:trHeight w:val="680" w:hRule="atLeast"/>
              </w:trPr>
              <w:tc>
                <w:tcPr>
                  <w:tcW w:w="882" w:type="dxa"/>
                  <w:tcBorders>
                    <w:top w:val="single" w:color="000000" w:sz="4" w:space="0"/>
                    <w:left w:val="single" w:color="000000" w:sz="4" w:space="0"/>
                    <w:bottom w:val="single" w:color="000000" w:sz="4" w:space="0"/>
                    <w:right w:val="single" w:color="000000" w:sz="4" w:space="0"/>
                  </w:tcBorders>
                  <w:noWrap/>
                  <w:vAlign w:val="center"/>
                </w:tcPr>
                <w:p w14:paraId="313B2128">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kern w:val="0"/>
                      <w:sz w:val="21"/>
                      <w:szCs w:val="21"/>
                      <w:lang w:bidi="ar"/>
                    </w:rPr>
                  </w:pPr>
                  <w:r>
                    <w:rPr>
                      <w:rFonts w:hint="default" w:cs="Times New Roman"/>
                      <w:color w:val="000000"/>
                      <w:kern w:val="0"/>
                      <w:sz w:val="21"/>
                      <w:szCs w:val="21"/>
                      <w:lang w:bidi="ar"/>
                    </w:rPr>
                    <w:t>生产</w:t>
                  </w:r>
                </w:p>
                <w:p w14:paraId="29510976">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设施</w:t>
                  </w:r>
                </w:p>
              </w:tc>
              <w:tc>
                <w:tcPr>
                  <w:tcW w:w="1717" w:type="dxa"/>
                  <w:tcBorders>
                    <w:top w:val="single" w:color="000000" w:sz="4" w:space="0"/>
                    <w:left w:val="single" w:color="000000" w:sz="4" w:space="0"/>
                    <w:bottom w:val="single" w:color="000000" w:sz="4" w:space="0"/>
                    <w:right w:val="single" w:color="000000" w:sz="4" w:space="0"/>
                  </w:tcBorders>
                  <w:noWrap/>
                  <w:vAlign w:val="center"/>
                </w:tcPr>
                <w:p w14:paraId="24A6A56E">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控制项目</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6BA5054">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排放控制要求</w:t>
                  </w:r>
                </w:p>
              </w:tc>
              <w:tc>
                <w:tcPr>
                  <w:tcW w:w="2737" w:type="dxa"/>
                  <w:tcBorders>
                    <w:top w:val="single" w:color="000000" w:sz="4" w:space="0"/>
                    <w:left w:val="single" w:color="000000" w:sz="4" w:space="0"/>
                    <w:bottom w:val="single" w:color="000000" w:sz="4" w:space="0"/>
                    <w:right w:val="single" w:color="000000" w:sz="4" w:space="0"/>
                  </w:tcBorders>
                  <w:noWrap/>
                  <w:vAlign w:val="center"/>
                </w:tcPr>
                <w:p w14:paraId="4A9B040B">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排放监控位置</w:t>
                  </w: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1CA9D7BF">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kern w:val="0"/>
                      <w:sz w:val="21"/>
                      <w:szCs w:val="21"/>
                      <w:lang w:bidi="ar"/>
                    </w:rPr>
                  </w:pPr>
                  <w:r>
                    <w:rPr>
                      <w:rFonts w:hint="default" w:cs="Times New Roman"/>
                      <w:color w:val="000000"/>
                      <w:kern w:val="0"/>
                      <w:sz w:val="21"/>
                      <w:szCs w:val="21"/>
                      <w:lang w:bidi="ar"/>
                    </w:rPr>
                    <w:t>备注</w:t>
                  </w:r>
                </w:p>
              </w:tc>
            </w:tr>
            <w:tr w14:paraId="312B923A">
              <w:tblPrEx>
                <w:tblCellMar>
                  <w:top w:w="0" w:type="dxa"/>
                  <w:left w:w="108" w:type="dxa"/>
                  <w:bottom w:w="0" w:type="dxa"/>
                  <w:right w:w="108" w:type="dxa"/>
                </w:tblCellMar>
              </w:tblPrEx>
              <w:trPr>
                <w:trHeight w:val="1080" w:hRule="atLeast"/>
              </w:trPr>
              <w:tc>
                <w:tcPr>
                  <w:tcW w:w="882" w:type="dxa"/>
                  <w:vMerge w:val="restart"/>
                  <w:tcBorders>
                    <w:top w:val="single" w:color="000000" w:sz="4" w:space="0"/>
                    <w:left w:val="single" w:color="000000" w:sz="4" w:space="0"/>
                    <w:bottom w:val="single" w:color="000000" w:sz="4" w:space="0"/>
                    <w:right w:val="single" w:color="000000" w:sz="4" w:space="0"/>
                  </w:tcBorders>
                  <w:noWrap/>
                  <w:vAlign w:val="center"/>
                </w:tcPr>
                <w:p w14:paraId="01D5CCFC">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煤矿瓦斯抽采系统</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0F830769">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高浓度瓦斯（甲烷体积分数≥30%）</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D85843A">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禁止排放</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14:paraId="70039923">
                  <w:pPr>
                    <w:keepNext w:val="0"/>
                    <w:keepLines w:val="0"/>
                    <w:widowControl/>
                    <w:suppressLineNumbers w:val="0"/>
                    <w:spacing w:before="0" w:beforeAutospacing="0" w:after="0" w:afterAutospacing="0" w:line="240" w:lineRule="auto"/>
                    <w:ind w:left="0" w:right="0"/>
                    <w:jc w:val="left"/>
                    <w:textAlignment w:val="center"/>
                    <w:rPr>
                      <w:rFonts w:hint="default" w:cs="Times New Roman"/>
                      <w:color w:val="000000"/>
                      <w:sz w:val="21"/>
                      <w:szCs w:val="21"/>
                    </w:rPr>
                  </w:pPr>
                  <w:r>
                    <w:rPr>
                      <w:rFonts w:hint="default" w:cs="Times New Roman"/>
                      <w:color w:val="000000"/>
                      <w:kern w:val="0"/>
                      <w:sz w:val="21"/>
                      <w:szCs w:val="21"/>
                      <w:lang w:bidi="ar"/>
                    </w:rPr>
                    <w:t>——瓦斯抽采泵站放空管；</w:t>
                  </w:r>
                  <w:r>
                    <w:rPr>
                      <w:rFonts w:hint="default" w:cs="Times New Roman"/>
                      <w:color w:val="000000"/>
                      <w:kern w:val="0"/>
                      <w:sz w:val="21"/>
                      <w:szCs w:val="21"/>
                      <w:lang w:bidi="ar"/>
                    </w:rPr>
                    <w:br w:type="textWrapping"/>
                  </w:r>
                  <w:r>
                    <w:rPr>
                      <w:rFonts w:hint="default" w:cs="Times New Roman"/>
                      <w:color w:val="000000"/>
                      <w:kern w:val="0"/>
                      <w:sz w:val="21"/>
                      <w:szCs w:val="21"/>
                      <w:lang w:bidi="ar"/>
                    </w:rPr>
                    <w:t>——瓦斯利用或储存设施排放管道和应急排放管道；</w:t>
                  </w:r>
                  <w:r>
                    <w:rPr>
                      <w:rFonts w:hint="default" w:cs="Times New Roman"/>
                      <w:color w:val="000000"/>
                      <w:kern w:val="0"/>
                      <w:sz w:val="21"/>
                      <w:szCs w:val="21"/>
                      <w:lang w:bidi="ar"/>
                    </w:rPr>
                    <w:br w:type="textWrapping"/>
                  </w:r>
                  <w:r>
                    <w:rPr>
                      <w:rFonts w:hint="default" w:cs="Times New Roman"/>
                      <w:color w:val="000000"/>
                      <w:kern w:val="0"/>
                      <w:sz w:val="21"/>
                      <w:szCs w:val="21"/>
                      <w:lang w:bidi="ar"/>
                    </w:rPr>
                    <w:t>——瓦斯销毁设施排放管道和应急排放管道</w:t>
                  </w:r>
                </w:p>
              </w:tc>
              <w:tc>
                <w:tcPr>
                  <w:tcW w:w="1486" w:type="dxa"/>
                  <w:vMerge w:val="restart"/>
                  <w:tcBorders>
                    <w:top w:val="single" w:color="000000" w:sz="4" w:space="0"/>
                    <w:left w:val="single" w:color="000000" w:sz="4" w:space="0"/>
                    <w:right w:val="single" w:color="000000" w:sz="4" w:space="0"/>
                  </w:tcBorders>
                  <w:noWrap w:val="0"/>
                  <w:vAlign w:val="center"/>
                </w:tcPr>
                <w:p w14:paraId="6F9FD1FB">
                  <w:pPr>
                    <w:keepNext w:val="0"/>
                    <w:keepLines w:val="0"/>
                    <w:widowControl/>
                    <w:suppressLineNumbers w:val="0"/>
                    <w:spacing w:before="0" w:beforeAutospacing="0" w:after="0" w:afterAutospacing="0" w:line="240" w:lineRule="auto"/>
                    <w:ind w:left="0" w:right="0"/>
                    <w:jc w:val="left"/>
                    <w:textAlignment w:val="center"/>
                    <w:rPr>
                      <w:rFonts w:hint="default" w:cs="Times New Roman"/>
                      <w:color w:val="000000"/>
                      <w:kern w:val="0"/>
                      <w:sz w:val="21"/>
                      <w:szCs w:val="21"/>
                      <w:lang w:bidi="ar"/>
                    </w:rPr>
                  </w:pPr>
                  <w:r>
                    <w:rPr>
                      <w:rFonts w:hint="default" w:cs="Times New Roman"/>
                      <w:color w:val="000000"/>
                      <w:kern w:val="0"/>
                      <w:sz w:val="21"/>
                      <w:szCs w:val="21"/>
                      <w:lang w:bidi="ar"/>
                    </w:rPr>
                    <w:t>(GB21522-2024)</w:t>
                  </w:r>
                </w:p>
              </w:tc>
            </w:tr>
            <w:tr w14:paraId="6B35DA22">
              <w:tblPrEx>
                <w:tblCellMar>
                  <w:top w:w="0" w:type="dxa"/>
                  <w:left w:w="108" w:type="dxa"/>
                  <w:bottom w:w="0" w:type="dxa"/>
                  <w:right w:w="108" w:type="dxa"/>
                </w:tblCellMar>
              </w:tblPrEx>
              <w:trPr>
                <w:trHeight w:val="1080" w:hRule="atLeast"/>
              </w:trPr>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6309">
                  <w:pPr>
                    <w:keepNext w:val="0"/>
                    <w:keepLines w:val="0"/>
                    <w:widowControl/>
                    <w:suppressLineNumbers w:val="0"/>
                    <w:spacing w:before="0" w:beforeAutospacing="0" w:after="0" w:afterAutospacing="0" w:line="240" w:lineRule="auto"/>
                    <w:ind w:left="0" w:right="0"/>
                    <w:jc w:val="center"/>
                    <w:rPr>
                      <w:rFonts w:hint="default" w:cs="Times New Roman"/>
                      <w:color w:val="000000"/>
                      <w:sz w:val="21"/>
                      <w:szCs w:val="21"/>
                    </w:rPr>
                  </w:pPr>
                </w:p>
              </w:tc>
              <w:tc>
                <w:tcPr>
                  <w:tcW w:w="1717" w:type="dxa"/>
                  <w:tcBorders>
                    <w:top w:val="single" w:color="000000" w:sz="4" w:space="0"/>
                    <w:left w:val="single" w:color="000000" w:sz="4" w:space="0"/>
                    <w:bottom w:val="single" w:color="000000" w:sz="4" w:space="0"/>
                    <w:right w:val="single" w:color="000000" w:sz="4" w:space="0"/>
                  </w:tcBorders>
                  <w:shd w:val="clear" w:color="auto" w:fill="DCD8C2"/>
                  <w:noWrap w:val="0"/>
                  <w:vAlign w:val="center"/>
                </w:tcPr>
                <w:p w14:paraId="761668B2">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甲烷浓度高于或等于8%的低浓度瓦斯（8%≤甲烷体积分数&lt;30%）且抽采纯量≥10 m³/min</w:t>
                  </w:r>
                </w:p>
              </w:tc>
              <w:tc>
                <w:tcPr>
                  <w:tcW w:w="1085" w:type="dxa"/>
                  <w:tcBorders>
                    <w:top w:val="single" w:color="000000" w:sz="4" w:space="0"/>
                    <w:left w:val="single" w:color="000000" w:sz="4" w:space="0"/>
                    <w:bottom w:val="single" w:color="000000" w:sz="4" w:space="0"/>
                    <w:right w:val="single" w:color="000000" w:sz="4" w:space="0"/>
                  </w:tcBorders>
                  <w:shd w:val="clear" w:color="auto" w:fill="DCD8C2"/>
                  <w:noWrap/>
                  <w:vAlign w:val="center"/>
                </w:tcPr>
                <w:p w14:paraId="586ABCB4">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禁止排放</w:t>
                  </w:r>
                </w:p>
              </w:tc>
              <w:tc>
                <w:tcPr>
                  <w:tcW w:w="2737" w:type="dxa"/>
                  <w:tcBorders>
                    <w:top w:val="single" w:color="000000" w:sz="4" w:space="0"/>
                    <w:left w:val="single" w:color="000000" w:sz="4" w:space="0"/>
                    <w:bottom w:val="single" w:color="000000" w:sz="4" w:space="0"/>
                    <w:right w:val="single" w:color="000000" w:sz="4" w:space="0"/>
                  </w:tcBorders>
                  <w:shd w:val="clear" w:color="auto" w:fill="DCD8C2"/>
                  <w:noWrap w:val="0"/>
                  <w:vAlign w:val="center"/>
                </w:tcPr>
                <w:p w14:paraId="0969340B">
                  <w:pPr>
                    <w:keepNext w:val="0"/>
                    <w:keepLines w:val="0"/>
                    <w:widowControl/>
                    <w:suppressLineNumbers w:val="0"/>
                    <w:spacing w:before="0" w:beforeAutospacing="0" w:after="0" w:afterAutospacing="0" w:line="240" w:lineRule="auto"/>
                    <w:ind w:left="0" w:right="0"/>
                    <w:jc w:val="left"/>
                    <w:textAlignment w:val="center"/>
                    <w:rPr>
                      <w:rFonts w:hint="default" w:cs="Times New Roman"/>
                      <w:color w:val="000000"/>
                      <w:sz w:val="21"/>
                      <w:szCs w:val="21"/>
                    </w:rPr>
                  </w:pPr>
                  <w:r>
                    <w:rPr>
                      <w:rFonts w:hint="default" w:cs="Times New Roman"/>
                      <w:color w:val="000000"/>
                      <w:kern w:val="0"/>
                      <w:sz w:val="21"/>
                      <w:szCs w:val="21"/>
                      <w:lang w:bidi="ar"/>
                    </w:rPr>
                    <w:t>——瓦斯抽采泵站放空管；</w:t>
                  </w:r>
                  <w:r>
                    <w:rPr>
                      <w:rFonts w:hint="default" w:cs="Times New Roman"/>
                      <w:color w:val="000000"/>
                      <w:kern w:val="0"/>
                      <w:sz w:val="21"/>
                      <w:szCs w:val="21"/>
                      <w:lang w:bidi="ar"/>
                    </w:rPr>
                    <w:br w:type="textWrapping"/>
                  </w:r>
                  <w:r>
                    <w:rPr>
                      <w:rFonts w:hint="default" w:cs="Times New Roman"/>
                      <w:color w:val="000000"/>
                      <w:kern w:val="0"/>
                      <w:sz w:val="21"/>
                      <w:szCs w:val="21"/>
                      <w:lang w:bidi="ar"/>
                    </w:rPr>
                    <w:t>——瓦斯利用或储存设施排放管道和应急排放管道；</w:t>
                  </w:r>
                  <w:r>
                    <w:rPr>
                      <w:rFonts w:hint="default" w:cs="Times New Roman"/>
                      <w:color w:val="000000"/>
                      <w:kern w:val="0"/>
                      <w:sz w:val="21"/>
                      <w:szCs w:val="21"/>
                      <w:lang w:bidi="ar"/>
                    </w:rPr>
                    <w:br w:type="textWrapping"/>
                  </w:r>
                  <w:r>
                    <w:rPr>
                      <w:rFonts w:hint="default" w:cs="Times New Roman"/>
                      <w:color w:val="000000"/>
                      <w:kern w:val="0"/>
                      <w:sz w:val="21"/>
                      <w:szCs w:val="21"/>
                      <w:lang w:bidi="ar"/>
                    </w:rPr>
                    <w:t>——瓦斯销毁设施排放管道和应急排放管道</w:t>
                  </w:r>
                </w:p>
              </w:tc>
              <w:tc>
                <w:tcPr>
                  <w:tcW w:w="1486" w:type="dxa"/>
                  <w:vMerge w:val="continue"/>
                  <w:tcBorders>
                    <w:left w:val="single" w:color="000000" w:sz="4" w:space="0"/>
                    <w:right w:val="single" w:color="000000" w:sz="4" w:space="0"/>
                  </w:tcBorders>
                  <w:noWrap w:val="0"/>
                  <w:vAlign w:val="center"/>
                </w:tcPr>
                <w:p w14:paraId="0D411895">
                  <w:pPr>
                    <w:keepNext w:val="0"/>
                    <w:keepLines w:val="0"/>
                    <w:widowControl/>
                    <w:suppressLineNumbers w:val="0"/>
                    <w:spacing w:before="0" w:beforeAutospacing="0" w:after="0" w:afterAutospacing="0" w:line="240" w:lineRule="auto"/>
                    <w:ind w:left="0" w:right="0"/>
                    <w:jc w:val="left"/>
                    <w:textAlignment w:val="center"/>
                    <w:rPr>
                      <w:rFonts w:hint="default" w:cs="Times New Roman"/>
                      <w:color w:val="000000"/>
                      <w:kern w:val="0"/>
                      <w:sz w:val="21"/>
                      <w:szCs w:val="21"/>
                      <w:lang w:bidi="ar"/>
                    </w:rPr>
                  </w:pPr>
                </w:p>
              </w:tc>
            </w:tr>
            <w:tr w14:paraId="3207F723">
              <w:tblPrEx>
                <w:tblCellMar>
                  <w:top w:w="0" w:type="dxa"/>
                  <w:left w:w="108" w:type="dxa"/>
                  <w:bottom w:w="0" w:type="dxa"/>
                  <w:right w:w="108" w:type="dxa"/>
                </w:tblCellMar>
              </w:tblPrEx>
              <w:trPr>
                <w:trHeight w:val="1080" w:hRule="atLeast"/>
              </w:trPr>
              <w:tc>
                <w:tcPr>
                  <w:tcW w:w="882" w:type="dxa"/>
                  <w:vMerge w:val="continue"/>
                  <w:tcBorders>
                    <w:top w:val="single" w:color="000000" w:sz="4" w:space="0"/>
                    <w:left w:val="single" w:color="000000" w:sz="4" w:space="0"/>
                    <w:bottom w:val="single" w:color="000000" w:sz="4" w:space="0"/>
                    <w:right w:val="single" w:color="000000" w:sz="4" w:space="0"/>
                  </w:tcBorders>
                  <w:noWrap/>
                  <w:vAlign w:val="center"/>
                </w:tcPr>
                <w:p w14:paraId="25F0948F">
                  <w:pPr>
                    <w:keepNext w:val="0"/>
                    <w:keepLines w:val="0"/>
                    <w:widowControl/>
                    <w:suppressLineNumbers w:val="0"/>
                    <w:spacing w:before="0" w:beforeAutospacing="0" w:after="0" w:afterAutospacing="0" w:line="240" w:lineRule="auto"/>
                    <w:ind w:left="0" w:right="0"/>
                    <w:jc w:val="center"/>
                    <w:rPr>
                      <w:rFonts w:hint="default" w:cs="Times New Roman"/>
                      <w:color w:val="000000"/>
                      <w:sz w:val="21"/>
                      <w:szCs w:val="21"/>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5A77BDF6">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甲烷浓度高于或等于8%的低浓度瓦斯（8%≤甲烷体积分数&lt;30%）且抽采纯量&lt;10 m³/min</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36CC2D4">
                  <w:pPr>
                    <w:keepNext w:val="0"/>
                    <w:keepLines w:val="0"/>
                    <w:widowControl/>
                    <w:suppressLineNumbers w:val="0"/>
                    <w:spacing w:before="0" w:beforeAutospacing="0" w:after="0" w:afterAutospacing="0" w:line="240" w:lineRule="auto"/>
                    <w:ind w:left="0" w:right="0"/>
                    <w:jc w:val="center"/>
                    <w:textAlignment w:val="center"/>
                    <w:rPr>
                      <w:rFonts w:hint="default" w:eastAsia="FZSSK--GBK1-0" w:cs="Times New Roman"/>
                      <w:color w:val="000000"/>
                      <w:sz w:val="21"/>
                      <w:szCs w:val="21"/>
                    </w:rPr>
                  </w:pPr>
                  <w:r>
                    <w:rPr>
                      <w:rFonts w:hint="default" w:eastAsia="FZSSK--GBK1-0" w:cs="Times New Roman"/>
                      <w:color w:val="000000"/>
                      <w:kern w:val="0"/>
                      <w:sz w:val="21"/>
                      <w:szCs w:val="21"/>
                      <w:lang w:bidi="ar"/>
                    </w:rPr>
                    <w:t>—</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14:paraId="36FDDE69">
                  <w:pPr>
                    <w:keepNext w:val="0"/>
                    <w:keepLines w:val="0"/>
                    <w:widowControl/>
                    <w:suppressLineNumbers w:val="0"/>
                    <w:spacing w:before="0" w:beforeAutospacing="0" w:after="0" w:afterAutospacing="0" w:line="240" w:lineRule="auto"/>
                    <w:ind w:left="0" w:right="0"/>
                    <w:jc w:val="left"/>
                    <w:textAlignment w:val="center"/>
                    <w:rPr>
                      <w:rFonts w:hint="default" w:cs="Times New Roman"/>
                      <w:color w:val="000000"/>
                      <w:sz w:val="21"/>
                      <w:szCs w:val="21"/>
                    </w:rPr>
                  </w:pPr>
                  <w:r>
                    <w:rPr>
                      <w:rFonts w:hint="default" w:cs="Times New Roman"/>
                      <w:color w:val="000000"/>
                      <w:kern w:val="0"/>
                      <w:sz w:val="21"/>
                      <w:szCs w:val="21"/>
                      <w:lang w:bidi="ar"/>
                    </w:rPr>
                    <w:t>——瓦斯抽采泵站放空管；</w:t>
                  </w:r>
                  <w:r>
                    <w:rPr>
                      <w:rFonts w:hint="default" w:cs="Times New Roman"/>
                      <w:color w:val="000000"/>
                      <w:kern w:val="0"/>
                      <w:sz w:val="21"/>
                      <w:szCs w:val="21"/>
                      <w:lang w:bidi="ar"/>
                    </w:rPr>
                    <w:br w:type="textWrapping"/>
                  </w:r>
                  <w:r>
                    <w:rPr>
                      <w:rFonts w:hint="default" w:cs="Times New Roman"/>
                      <w:color w:val="000000"/>
                      <w:kern w:val="0"/>
                      <w:sz w:val="21"/>
                      <w:szCs w:val="21"/>
                      <w:lang w:bidi="ar"/>
                    </w:rPr>
                    <w:t>——瓦斯利用或储存设施排放管道和应急排放管道；</w:t>
                  </w:r>
                  <w:r>
                    <w:rPr>
                      <w:rFonts w:hint="default" w:cs="Times New Roman"/>
                      <w:color w:val="000000"/>
                      <w:kern w:val="0"/>
                      <w:sz w:val="21"/>
                      <w:szCs w:val="21"/>
                      <w:lang w:bidi="ar"/>
                    </w:rPr>
                    <w:br w:type="textWrapping"/>
                  </w:r>
                  <w:r>
                    <w:rPr>
                      <w:rFonts w:hint="default" w:cs="Times New Roman"/>
                      <w:color w:val="000000"/>
                      <w:kern w:val="0"/>
                      <w:sz w:val="21"/>
                      <w:szCs w:val="21"/>
                      <w:lang w:bidi="ar"/>
                    </w:rPr>
                    <w:t>——瓦斯销毁设施排放管道和应急排放管道</w:t>
                  </w:r>
                </w:p>
              </w:tc>
              <w:tc>
                <w:tcPr>
                  <w:tcW w:w="1486" w:type="dxa"/>
                  <w:vMerge w:val="continue"/>
                  <w:tcBorders>
                    <w:left w:val="single" w:color="000000" w:sz="4" w:space="0"/>
                    <w:right w:val="single" w:color="000000" w:sz="4" w:space="0"/>
                  </w:tcBorders>
                  <w:noWrap w:val="0"/>
                  <w:vAlign w:val="center"/>
                </w:tcPr>
                <w:p w14:paraId="694CB200">
                  <w:pPr>
                    <w:keepNext w:val="0"/>
                    <w:keepLines w:val="0"/>
                    <w:widowControl/>
                    <w:suppressLineNumbers w:val="0"/>
                    <w:spacing w:before="0" w:beforeAutospacing="0" w:after="0" w:afterAutospacing="0" w:line="240" w:lineRule="auto"/>
                    <w:ind w:left="0" w:right="0"/>
                    <w:jc w:val="left"/>
                    <w:textAlignment w:val="center"/>
                    <w:rPr>
                      <w:rFonts w:hint="default" w:cs="Times New Roman"/>
                      <w:color w:val="000000"/>
                      <w:kern w:val="0"/>
                      <w:sz w:val="21"/>
                      <w:szCs w:val="21"/>
                      <w:lang w:bidi="ar"/>
                    </w:rPr>
                  </w:pPr>
                </w:p>
              </w:tc>
            </w:tr>
            <w:tr w14:paraId="34BAACD8">
              <w:tblPrEx>
                <w:tblCellMar>
                  <w:top w:w="0" w:type="dxa"/>
                  <w:left w:w="108" w:type="dxa"/>
                  <w:bottom w:w="0" w:type="dxa"/>
                  <w:right w:w="108" w:type="dxa"/>
                </w:tblCellMar>
              </w:tblPrEx>
              <w:trPr>
                <w:trHeight w:val="1080" w:hRule="atLeast"/>
              </w:trPr>
              <w:tc>
                <w:tcPr>
                  <w:tcW w:w="882" w:type="dxa"/>
                  <w:vMerge w:val="continue"/>
                  <w:tcBorders>
                    <w:top w:val="single" w:color="000000" w:sz="4" w:space="0"/>
                    <w:left w:val="single" w:color="000000" w:sz="4" w:space="0"/>
                    <w:bottom w:val="single" w:color="000000" w:sz="4" w:space="0"/>
                    <w:right w:val="single" w:color="000000" w:sz="4" w:space="0"/>
                  </w:tcBorders>
                  <w:noWrap/>
                  <w:vAlign w:val="center"/>
                </w:tcPr>
                <w:p w14:paraId="3EEBB0A4">
                  <w:pPr>
                    <w:keepNext w:val="0"/>
                    <w:keepLines w:val="0"/>
                    <w:widowControl/>
                    <w:suppressLineNumbers w:val="0"/>
                    <w:spacing w:before="0" w:beforeAutospacing="0" w:after="0" w:afterAutospacing="0" w:line="240" w:lineRule="auto"/>
                    <w:ind w:left="0" w:right="0"/>
                    <w:jc w:val="center"/>
                    <w:rPr>
                      <w:rFonts w:hint="default" w:cs="Times New Roman"/>
                      <w:color w:val="000000"/>
                      <w:sz w:val="21"/>
                      <w:szCs w:val="21"/>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1A9BB22B">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甲烷浓度低于8%的低浓度瓦斯</w:t>
                  </w:r>
                  <w:r>
                    <w:rPr>
                      <w:rFonts w:hint="default" w:cs="Times New Roman"/>
                      <w:color w:val="000000"/>
                      <w:kern w:val="0"/>
                      <w:sz w:val="21"/>
                      <w:szCs w:val="21"/>
                      <w:lang w:bidi="ar"/>
                    </w:rPr>
                    <w:br w:type="textWrapping"/>
                  </w:r>
                  <w:r>
                    <w:rPr>
                      <w:rFonts w:hint="default" w:cs="Times New Roman"/>
                      <w:color w:val="000000"/>
                      <w:kern w:val="0"/>
                      <w:sz w:val="21"/>
                      <w:szCs w:val="21"/>
                      <w:lang w:bidi="ar"/>
                    </w:rPr>
                    <w:t>（甲烷体积分数&lt;8%）</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A143E55">
                  <w:pPr>
                    <w:keepNext w:val="0"/>
                    <w:keepLines w:val="0"/>
                    <w:widowControl/>
                    <w:suppressLineNumbers w:val="0"/>
                    <w:spacing w:before="0" w:beforeAutospacing="0" w:after="0" w:afterAutospacing="0" w:line="240" w:lineRule="auto"/>
                    <w:ind w:left="0" w:right="0"/>
                    <w:jc w:val="center"/>
                    <w:textAlignment w:val="center"/>
                    <w:rPr>
                      <w:rFonts w:hint="default" w:eastAsia="FZSSK--GBK1-0" w:cs="Times New Roman"/>
                      <w:color w:val="000000"/>
                      <w:sz w:val="21"/>
                      <w:szCs w:val="21"/>
                    </w:rPr>
                  </w:pPr>
                  <w:r>
                    <w:rPr>
                      <w:rFonts w:hint="default" w:eastAsia="FZSSK--GBK1-0" w:cs="Times New Roman"/>
                      <w:color w:val="000000"/>
                      <w:kern w:val="0"/>
                      <w:sz w:val="21"/>
                      <w:szCs w:val="21"/>
                      <w:lang w:bidi="ar"/>
                    </w:rPr>
                    <w:t>—</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14:paraId="047065FD">
                  <w:pPr>
                    <w:keepNext w:val="0"/>
                    <w:keepLines w:val="0"/>
                    <w:widowControl/>
                    <w:suppressLineNumbers w:val="0"/>
                    <w:spacing w:before="0" w:beforeAutospacing="0" w:after="0" w:afterAutospacing="0" w:line="240" w:lineRule="auto"/>
                    <w:ind w:left="0" w:right="0"/>
                    <w:jc w:val="left"/>
                    <w:textAlignment w:val="center"/>
                    <w:rPr>
                      <w:rFonts w:hint="default" w:cs="Times New Roman"/>
                      <w:color w:val="000000"/>
                      <w:sz w:val="21"/>
                      <w:szCs w:val="21"/>
                    </w:rPr>
                  </w:pPr>
                  <w:r>
                    <w:rPr>
                      <w:rFonts w:hint="default" w:cs="Times New Roman"/>
                      <w:color w:val="000000"/>
                      <w:kern w:val="0"/>
                      <w:sz w:val="21"/>
                      <w:szCs w:val="21"/>
                      <w:lang w:bidi="ar"/>
                    </w:rPr>
                    <w:t>——瓦斯抽采泵站放空管；</w:t>
                  </w:r>
                  <w:r>
                    <w:rPr>
                      <w:rFonts w:hint="default" w:cs="Times New Roman"/>
                      <w:color w:val="000000"/>
                      <w:kern w:val="0"/>
                      <w:sz w:val="21"/>
                      <w:szCs w:val="21"/>
                      <w:lang w:bidi="ar"/>
                    </w:rPr>
                    <w:br w:type="textWrapping"/>
                  </w:r>
                  <w:r>
                    <w:rPr>
                      <w:rFonts w:hint="default" w:cs="Times New Roman"/>
                      <w:color w:val="000000"/>
                      <w:kern w:val="0"/>
                      <w:sz w:val="21"/>
                      <w:szCs w:val="21"/>
                      <w:lang w:bidi="ar"/>
                    </w:rPr>
                    <w:t>——瓦斯利用或储存设施排放管道和应急排放管道；</w:t>
                  </w:r>
                  <w:r>
                    <w:rPr>
                      <w:rFonts w:hint="default" w:cs="Times New Roman"/>
                      <w:color w:val="000000"/>
                      <w:kern w:val="0"/>
                      <w:sz w:val="21"/>
                      <w:szCs w:val="21"/>
                      <w:lang w:bidi="ar"/>
                    </w:rPr>
                    <w:br w:type="textWrapping"/>
                  </w:r>
                  <w:r>
                    <w:rPr>
                      <w:rFonts w:hint="default" w:cs="Times New Roman"/>
                      <w:color w:val="000000"/>
                      <w:kern w:val="0"/>
                      <w:sz w:val="21"/>
                      <w:szCs w:val="21"/>
                      <w:lang w:bidi="ar"/>
                    </w:rPr>
                    <w:t>——瓦斯销毁设施排放管道和应急排放管道</w:t>
                  </w:r>
                </w:p>
              </w:tc>
              <w:tc>
                <w:tcPr>
                  <w:tcW w:w="1486" w:type="dxa"/>
                  <w:vMerge w:val="continue"/>
                  <w:tcBorders>
                    <w:left w:val="single" w:color="000000" w:sz="4" w:space="0"/>
                    <w:bottom w:val="single" w:color="000000" w:sz="4" w:space="0"/>
                    <w:right w:val="single" w:color="000000" w:sz="4" w:space="0"/>
                  </w:tcBorders>
                  <w:noWrap w:val="0"/>
                  <w:vAlign w:val="center"/>
                </w:tcPr>
                <w:p w14:paraId="538F9FC7">
                  <w:pPr>
                    <w:keepNext w:val="0"/>
                    <w:keepLines w:val="0"/>
                    <w:widowControl/>
                    <w:suppressLineNumbers w:val="0"/>
                    <w:spacing w:before="0" w:beforeAutospacing="0" w:after="0" w:afterAutospacing="0" w:line="240" w:lineRule="auto"/>
                    <w:ind w:left="0" w:right="0"/>
                    <w:jc w:val="left"/>
                    <w:textAlignment w:val="center"/>
                    <w:rPr>
                      <w:rFonts w:hint="default" w:cs="Times New Roman"/>
                      <w:color w:val="000000"/>
                      <w:kern w:val="0"/>
                      <w:sz w:val="21"/>
                      <w:szCs w:val="21"/>
                      <w:lang w:bidi="ar"/>
                    </w:rPr>
                  </w:pPr>
                </w:p>
              </w:tc>
            </w:tr>
            <w:tr w14:paraId="6DFA9E53">
              <w:tblPrEx>
                <w:tblCellMar>
                  <w:top w:w="0" w:type="dxa"/>
                  <w:left w:w="108" w:type="dxa"/>
                  <w:bottom w:w="0" w:type="dxa"/>
                  <w:right w:w="108" w:type="dxa"/>
                </w:tblCellMar>
              </w:tblPrEx>
              <w:trPr>
                <w:trHeight w:val="520" w:hRule="atLeast"/>
              </w:trPr>
              <w:tc>
                <w:tcPr>
                  <w:tcW w:w="6421" w:type="dxa"/>
                  <w:gridSpan w:val="4"/>
                  <w:tcBorders>
                    <w:top w:val="single" w:color="000000" w:sz="4" w:space="0"/>
                    <w:left w:val="single" w:color="000000" w:sz="4" w:space="0"/>
                    <w:bottom w:val="single" w:color="000000" w:sz="4" w:space="0"/>
                    <w:right w:val="single" w:color="000000" w:sz="4" w:space="0"/>
                  </w:tcBorders>
                  <w:noWrap/>
                  <w:vAlign w:val="center"/>
                </w:tcPr>
                <w:p w14:paraId="6BBD090C">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sz w:val="21"/>
                      <w:szCs w:val="21"/>
                    </w:rPr>
                  </w:pPr>
                  <w:r>
                    <w:rPr>
                      <w:rFonts w:hint="default" w:cs="Times New Roman"/>
                      <w:color w:val="000000"/>
                      <w:kern w:val="0"/>
                      <w:sz w:val="21"/>
                      <w:szCs w:val="21"/>
                      <w:lang w:bidi="ar"/>
                    </w:rPr>
                    <w:t>注：甲烷浓度为任何 24 h 的均值，抽采纯量为与甲烷浓度对应的同一时间段均值。</w:t>
                  </w:r>
                </w:p>
              </w:tc>
              <w:tc>
                <w:tcPr>
                  <w:tcW w:w="1486" w:type="dxa"/>
                  <w:tcBorders>
                    <w:top w:val="single" w:color="000000" w:sz="4" w:space="0"/>
                    <w:left w:val="single" w:color="000000" w:sz="4" w:space="0"/>
                    <w:bottom w:val="single" w:color="000000" w:sz="4" w:space="0"/>
                    <w:right w:val="single" w:color="000000" w:sz="4" w:space="0"/>
                  </w:tcBorders>
                  <w:noWrap/>
                  <w:vAlign w:val="center"/>
                </w:tcPr>
                <w:p w14:paraId="520F9790">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kern w:val="0"/>
                      <w:sz w:val="21"/>
                      <w:szCs w:val="21"/>
                      <w:lang w:bidi="ar"/>
                    </w:rPr>
                  </w:pPr>
                </w:p>
              </w:tc>
            </w:tr>
          </w:tbl>
          <w:p w14:paraId="520CB88F">
            <w:pPr>
              <w:pStyle w:val="71"/>
              <w:keepNext w:val="0"/>
              <w:keepLines w:val="0"/>
              <w:numPr>
                <w:ilvl w:val="0"/>
                <w:numId w:val="0"/>
              </w:numPr>
              <w:suppressLineNumbers w:val="0"/>
              <w:tabs>
                <w:tab w:val="left" w:pos="2100"/>
              </w:tabs>
              <w:spacing w:before="0" w:beforeAutospacing="0" w:afterAutospacing="0" w:line="240" w:lineRule="auto"/>
              <w:ind w:left="1670" w:leftChars="0" w:right="0"/>
              <w:jc w:val="both"/>
              <w:rPr>
                <w:rFonts w:hint="eastAsia" w:ascii="Times New Roman" w:hAnsi="Times New Roman" w:eastAsia="宋体" w:cs="Times New Roman"/>
                <w:color w:val="auto"/>
                <w:sz w:val="24"/>
                <w:szCs w:val="24"/>
                <w:lang w:val="en-US" w:eastAsia="zh-CN"/>
              </w:rPr>
            </w:pPr>
          </w:p>
          <w:p w14:paraId="7341F4E4">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 施工期扬尘排放标准</w:t>
            </w: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851"/>
              <w:gridCol w:w="803"/>
              <w:gridCol w:w="1082"/>
              <w:gridCol w:w="706"/>
              <w:gridCol w:w="2725"/>
            </w:tblGrid>
            <w:tr w14:paraId="03DC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59" w:type="pct"/>
                  <w:vMerge w:val="restart"/>
                  <w:noWrap w:val="0"/>
                  <w:vAlign w:val="center"/>
                </w:tcPr>
                <w:p w14:paraId="38AEE75E">
                  <w:pPr>
                    <w:keepNext w:val="0"/>
                    <w:keepLines w:val="0"/>
                    <w:suppressLineNumbers w:val="0"/>
                    <w:spacing w:before="0" w:beforeAutospacing="0" w:after="0" w:afterAutospacing="0"/>
                    <w:ind w:left="0" w:right="0"/>
                    <w:jc w:val="center"/>
                    <w:rPr>
                      <w:rFonts w:hint="eastAsia" w:hAnsi="宋体" w:eastAsia="宋体" w:cs="Times New Roman"/>
                      <w:color w:val="auto"/>
                      <w:szCs w:val="21"/>
                      <w:lang w:eastAsia="zh-CN"/>
                    </w:rPr>
                  </w:pPr>
                  <w:r>
                    <w:rPr>
                      <w:rFonts w:hint="eastAsia" w:hAnsi="宋体" w:cs="Times New Roman"/>
                      <w:color w:val="auto"/>
                      <w:szCs w:val="21"/>
                      <w:lang w:eastAsia="zh-CN"/>
                    </w:rPr>
                    <w:t>污染源</w:t>
                  </w:r>
                </w:p>
              </w:tc>
              <w:tc>
                <w:tcPr>
                  <w:tcW w:w="585" w:type="pct"/>
                  <w:vMerge w:val="restart"/>
                  <w:noWrap w:val="0"/>
                  <w:vAlign w:val="center"/>
                </w:tcPr>
                <w:p w14:paraId="0FE85323">
                  <w:pPr>
                    <w:keepNext w:val="0"/>
                    <w:keepLines w:val="0"/>
                    <w:suppressLineNumbers w:val="0"/>
                    <w:spacing w:before="0" w:beforeAutospacing="0" w:after="0" w:afterAutospacing="0"/>
                    <w:ind w:left="0" w:right="0"/>
                    <w:jc w:val="center"/>
                    <w:rPr>
                      <w:rFonts w:hint="default" w:cs="Times New Roman"/>
                      <w:color w:val="auto"/>
                      <w:szCs w:val="21"/>
                    </w:rPr>
                  </w:pPr>
                  <w:r>
                    <w:rPr>
                      <w:rFonts w:hint="default" w:hAnsi="宋体" w:cs="Times New Roman"/>
                      <w:color w:val="auto"/>
                      <w:szCs w:val="21"/>
                    </w:rPr>
                    <w:t>污染物</w:t>
                  </w:r>
                </w:p>
              </w:tc>
              <w:tc>
                <w:tcPr>
                  <w:tcW w:w="1781" w:type="pct"/>
                  <w:gridSpan w:val="3"/>
                  <w:noWrap w:val="0"/>
                  <w:vAlign w:val="center"/>
                </w:tcPr>
                <w:p w14:paraId="027838B9">
                  <w:pPr>
                    <w:keepNext w:val="0"/>
                    <w:keepLines w:val="0"/>
                    <w:suppressLineNumbers w:val="0"/>
                    <w:spacing w:before="0" w:beforeAutospacing="0" w:after="0" w:afterAutospacing="0"/>
                    <w:ind w:left="0" w:right="0"/>
                    <w:jc w:val="center"/>
                    <w:rPr>
                      <w:rFonts w:hint="default" w:cs="Times New Roman"/>
                      <w:color w:val="auto"/>
                      <w:szCs w:val="21"/>
                      <w:highlight w:val="none"/>
                    </w:rPr>
                  </w:pPr>
                  <w:r>
                    <w:rPr>
                      <w:rFonts w:hint="default" w:hAnsi="宋体" w:cs="Times New Roman"/>
                      <w:color w:val="auto"/>
                      <w:szCs w:val="21"/>
                      <w:highlight w:val="none"/>
                    </w:rPr>
                    <w:t>无组织排放监测浓度限值</w:t>
                  </w:r>
                  <w:r>
                    <w:rPr>
                      <w:rFonts w:hint="eastAsia" w:hAnsi="宋体" w:cs="Times New Roman"/>
                      <w:color w:val="auto"/>
                      <w:szCs w:val="21"/>
                      <w:highlight w:val="none"/>
                      <w:lang w:eastAsia="zh-CN"/>
                    </w:rPr>
                    <w:t>（</w:t>
                  </w:r>
                  <w:r>
                    <w:rPr>
                      <w:rFonts w:hint="default" w:cs="Times New Roman"/>
                      <w:color w:val="auto"/>
                      <w:szCs w:val="21"/>
                      <w:highlight w:val="none"/>
                    </w:rPr>
                    <w:t>mg/m</w:t>
                  </w:r>
                  <w:r>
                    <w:rPr>
                      <w:rFonts w:hint="default" w:cs="Times New Roman"/>
                      <w:color w:val="auto"/>
                      <w:szCs w:val="21"/>
                      <w:highlight w:val="none"/>
                      <w:vertAlign w:val="superscript"/>
                    </w:rPr>
                    <w:t>3</w:t>
                  </w:r>
                  <w:r>
                    <w:rPr>
                      <w:rFonts w:hint="eastAsia" w:cs="Times New Roman"/>
                      <w:color w:val="auto"/>
                      <w:szCs w:val="21"/>
                      <w:highlight w:val="none"/>
                      <w:vertAlign w:val="superscript"/>
                      <w:lang w:eastAsia="zh-CN"/>
                    </w:rPr>
                    <w:t>）</w:t>
                  </w:r>
                </w:p>
              </w:tc>
              <w:tc>
                <w:tcPr>
                  <w:tcW w:w="1873" w:type="pct"/>
                  <w:vMerge w:val="restart"/>
                  <w:noWrap w:val="0"/>
                  <w:vAlign w:val="center"/>
                </w:tcPr>
                <w:p w14:paraId="1A1DC978">
                  <w:pPr>
                    <w:keepNext w:val="0"/>
                    <w:keepLines w:val="0"/>
                    <w:suppressLineNumbers w:val="0"/>
                    <w:spacing w:before="0" w:beforeAutospacing="0" w:after="0" w:afterAutospacing="0"/>
                    <w:ind w:left="0" w:right="0"/>
                    <w:jc w:val="center"/>
                    <w:rPr>
                      <w:rFonts w:hint="default" w:cs="Times New Roman"/>
                      <w:color w:val="auto"/>
                      <w:szCs w:val="21"/>
                    </w:rPr>
                  </w:pPr>
                  <w:r>
                    <w:rPr>
                      <w:rFonts w:hint="default" w:hAnsi="宋体" w:cs="Times New Roman"/>
                      <w:color w:val="auto"/>
                      <w:szCs w:val="21"/>
                    </w:rPr>
                    <w:t>标准来源</w:t>
                  </w:r>
                </w:p>
              </w:tc>
            </w:tr>
            <w:tr w14:paraId="58A3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9" w:type="pct"/>
                  <w:vMerge w:val="continue"/>
                  <w:noWrap w:val="0"/>
                  <w:vAlign w:val="center"/>
                </w:tcPr>
                <w:p w14:paraId="19E766DD">
                  <w:pPr>
                    <w:keepNext w:val="0"/>
                    <w:keepLines w:val="0"/>
                    <w:suppressLineNumbers w:val="0"/>
                    <w:spacing w:before="0" w:beforeAutospacing="0" w:after="0" w:afterAutospacing="0"/>
                    <w:ind w:left="0" w:right="0"/>
                    <w:jc w:val="center"/>
                    <w:rPr>
                      <w:rFonts w:hint="default" w:cs="Times New Roman"/>
                      <w:color w:val="auto"/>
                      <w:szCs w:val="21"/>
                    </w:rPr>
                  </w:pPr>
                </w:p>
              </w:tc>
              <w:tc>
                <w:tcPr>
                  <w:tcW w:w="585" w:type="pct"/>
                  <w:vMerge w:val="continue"/>
                  <w:noWrap w:val="0"/>
                  <w:vAlign w:val="center"/>
                </w:tcPr>
                <w:p w14:paraId="47C51146">
                  <w:pPr>
                    <w:keepNext w:val="0"/>
                    <w:keepLines w:val="0"/>
                    <w:suppressLineNumbers w:val="0"/>
                    <w:spacing w:before="0" w:beforeAutospacing="0" w:after="0" w:afterAutospacing="0"/>
                    <w:ind w:left="0" w:right="0"/>
                    <w:jc w:val="center"/>
                    <w:rPr>
                      <w:rFonts w:hint="default" w:cs="Times New Roman"/>
                      <w:color w:val="auto"/>
                      <w:szCs w:val="21"/>
                    </w:rPr>
                  </w:pPr>
                </w:p>
              </w:tc>
              <w:tc>
                <w:tcPr>
                  <w:tcW w:w="552" w:type="pct"/>
                  <w:noWrap w:val="0"/>
                  <w:vAlign w:val="center"/>
                </w:tcPr>
                <w:p w14:paraId="1C8B9FB6">
                  <w:pPr>
                    <w:pStyle w:val="62"/>
                    <w:keepNext w:val="0"/>
                    <w:keepLines w:val="0"/>
                    <w:suppressLineNumbers w:val="0"/>
                    <w:spacing w:before="24" w:beforeAutospacing="0" w:after="24" w:afterAutospacing="0"/>
                    <w:ind w:left="0" w:right="0"/>
                    <w:rPr>
                      <w:rFonts w:hint="default" w:cs="宋体"/>
                      <w:color w:val="auto"/>
                      <w:szCs w:val="21"/>
                      <w:highlight w:val="none"/>
                      <w:lang w:val="en-US" w:eastAsia="zh-CN"/>
                    </w:rPr>
                  </w:pPr>
                  <w:r>
                    <w:rPr>
                      <w:rFonts w:hint="eastAsia" w:cs="宋体"/>
                      <w:color w:val="auto"/>
                      <w:szCs w:val="21"/>
                      <w:highlight w:val="none"/>
                      <w:lang w:eastAsia="zh-CN"/>
                    </w:rPr>
                    <w:t>限值</w:t>
                  </w:r>
                </w:p>
              </w:tc>
              <w:tc>
                <w:tcPr>
                  <w:tcW w:w="1229" w:type="pct"/>
                  <w:gridSpan w:val="2"/>
                  <w:noWrap w:val="0"/>
                  <w:vAlign w:val="center"/>
                </w:tcPr>
                <w:p w14:paraId="0B633A5A">
                  <w:pPr>
                    <w:keepNext w:val="0"/>
                    <w:keepLines w:val="0"/>
                    <w:suppressLineNumbers w:val="0"/>
                    <w:spacing w:before="0" w:beforeAutospacing="0" w:after="0" w:afterAutospacing="0"/>
                    <w:ind w:left="0" w:right="0"/>
                    <w:jc w:val="center"/>
                    <w:rPr>
                      <w:rFonts w:hint="default" w:cs="Times New Roman"/>
                      <w:color w:val="auto"/>
                      <w:szCs w:val="21"/>
                      <w:highlight w:val="none"/>
                    </w:rPr>
                  </w:pPr>
                  <w:r>
                    <w:rPr>
                      <w:rFonts w:hint="eastAsia" w:hAnsi="宋体" w:cs="Times New Roman"/>
                      <w:color w:val="auto"/>
                      <w:szCs w:val="21"/>
                      <w:highlight w:val="none"/>
                      <w:lang w:eastAsia="zh-CN"/>
                    </w:rPr>
                    <w:t>限值含义</w:t>
                  </w:r>
                </w:p>
              </w:tc>
              <w:tc>
                <w:tcPr>
                  <w:tcW w:w="1873" w:type="pct"/>
                  <w:vMerge w:val="continue"/>
                  <w:noWrap w:val="0"/>
                  <w:vAlign w:val="center"/>
                </w:tcPr>
                <w:p w14:paraId="6028CC86">
                  <w:pPr>
                    <w:keepNext w:val="0"/>
                    <w:keepLines w:val="0"/>
                    <w:suppressLineNumbers w:val="0"/>
                    <w:spacing w:before="0" w:beforeAutospacing="0" w:after="0" w:afterAutospacing="0"/>
                    <w:ind w:left="0" w:right="0"/>
                    <w:jc w:val="center"/>
                    <w:rPr>
                      <w:rFonts w:hint="default" w:cs="Times New Roman"/>
                      <w:color w:val="auto"/>
                      <w:szCs w:val="21"/>
                    </w:rPr>
                  </w:pPr>
                </w:p>
              </w:tc>
            </w:tr>
            <w:tr w14:paraId="2E70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59" w:type="pct"/>
                  <w:vMerge w:val="restart"/>
                  <w:noWrap w:val="0"/>
                  <w:vAlign w:val="center"/>
                </w:tcPr>
                <w:p w14:paraId="09331FC6">
                  <w:pPr>
                    <w:keepNext w:val="0"/>
                    <w:keepLines w:val="0"/>
                    <w:suppressLineNumbers w:val="0"/>
                    <w:spacing w:before="0" w:beforeAutospacing="0" w:after="0" w:afterAutospacing="0"/>
                    <w:ind w:left="0" w:right="0"/>
                    <w:jc w:val="center"/>
                    <w:rPr>
                      <w:rFonts w:hint="eastAsia" w:ascii="Times New Roman" w:hAnsi="宋体" w:eastAsia="宋体" w:cs="Times New Roman"/>
                      <w:color w:val="auto"/>
                      <w:szCs w:val="21"/>
                      <w:lang w:eastAsia="zh-CN"/>
                    </w:rPr>
                  </w:pPr>
                  <w:r>
                    <w:rPr>
                      <w:rFonts w:hint="eastAsia" w:ascii="Times New Roman" w:hAnsi="宋体" w:eastAsia="宋体" w:cs="Times New Roman"/>
                      <w:color w:val="auto"/>
                      <w:szCs w:val="21"/>
                      <w:lang w:eastAsia="zh-CN"/>
                    </w:rPr>
                    <w:t>施工扬尘</w:t>
                  </w:r>
                </w:p>
              </w:tc>
              <w:tc>
                <w:tcPr>
                  <w:tcW w:w="585" w:type="pct"/>
                  <w:vMerge w:val="restart"/>
                  <w:noWrap w:val="0"/>
                  <w:vAlign w:val="center"/>
                </w:tcPr>
                <w:p w14:paraId="129DCFA4">
                  <w:pPr>
                    <w:keepNext w:val="0"/>
                    <w:keepLines w:val="0"/>
                    <w:suppressLineNumbers w:val="0"/>
                    <w:spacing w:before="0" w:beforeAutospacing="0" w:after="0" w:afterAutospacing="0"/>
                    <w:ind w:left="0" w:right="0"/>
                    <w:jc w:val="center"/>
                    <w:rPr>
                      <w:rFonts w:hint="eastAsia" w:ascii="Times New Roman" w:hAnsi="宋体" w:eastAsia="宋体" w:cs="Times New Roman"/>
                      <w:color w:val="auto"/>
                      <w:szCs w:val="21"/>
                      <w:lang w:eastAsia="zh-CN"/>
                    </w:rPr>
                  </w:pPr>
                  <w:r>
                    <w:rPr>
                      <w:rFonts w:hint="default" w:ascii="Times New Roman" w:hAnsi="宋体" w:eastAsia="宋体" w:cs="Times New Roman"/>
                      <w:color w:val="auto"/>
                      <w:szCs w:val="21"/>
                    </w:rPr>
                    <w:t>颗粒物</w:t>
                  </w:r>
                </w:p>
              </w:tc>
              <w:tc>
                <w:tcPr>
                  <w:tcW w:w="552" w:type="pct"/>
                  <w:noWrap w:val="0"/>
                  <w:vAlign w:val="center"/>
                </w:tcPr>
                <w:p w14:paraId="478A7884">
                  <w:pPr>
                    <w:pStyle w:val="24"/>
                    <w:keepNext w:val="0"/>
                    <w:keepLines w:val="0"/>
                    <w:suppressLineNumbers w:val="0"/>
                    <w:spacing w:before="0" w:beforeAutospacing="0" w:after="0" w:afterAutospacing="0"/>
                    <w:ind w:left="0" w:right="0"/>
                    <w:jc w:val="center"/>
                    <w:rPr>
                      <w:rFonts w:hint="eastAsia" w:ascii="Times New Roman" w:cs="Times New Roman"/>
                      <w:color w:val="auto"/>
                      <w:kern w:val="2"/>
                      <w:sz w:val="21"/>
                      <w:szCs w:val="21"/>
                      <w:highlight w:val="none"/>
                      <w:lang w:val="en-US" w:eastAsia="zh-CN"/>
                    </w:rPr>
                  </w:pPr>
                  <w:r>
                    <w:rPr>
                      <w:rFonts w:hint="default" w:ascii="Times New Roman" w:hAnsi="Times New Roman" w:eastAsia="宋体" w:cs="Times New Roman"/>
                      <w:color w:val="auto"/>
                      <w:szCs w:val="21"/>
                    </w:rPr>
                    <w:t>1.0</w:t>
                  </w:r>
                </w:p>
              </w:tc>
              <w:tc>
                <w:tcPr>
                  <w:tcW w:w="744" w:type="pct"/>
                  <w:noWrap w:val="0"/>
                  <w:vAlign w:val="center"/>
                </w:tcPr>
                <w:p w14:paraId="073C7A64">
                  <w:pPr>
                    <w:keepNext w:val="0"/>
                    <w:keepLines w:val="0"/>
                    <w:suppressLineNumbers w:val="0"/>
                    <w:spacing w:before="0" w:beforeAutospacing="0" w:after="0" w:afterAutospacing="0"/>
                    <w:ind w:left="0" w:right="0"/>
                    <w:jc w:val="center"/>
                    <w:rPr>
                      <w:rFonts w:hint="eastAsia" w:cs="Times New Roman"/>
                      <w:color w:val="auto"/>
                      <w:szCs w:val="21"/>
                      <w:highlight w:val="none"/>
                      <w:lang w:eastAsia="zh-CN"/>
                    </w:rPr>
                  </w:pPr>
                  <w:r>
                    <w:rPr>
                      <w:rFonts w:hint="default" w:ascii="Times New Roman" w:hAnsi="Times New Roman" w:eastAsia="宋体" w:cs="Times New Roman"/>
                      <w:color w:val="auto"/>
                      <w:spacing w:val="0"/>
                      <w:sz w:val="21"/>
                      <w:highlight w:val="none"/>
                      <w:lang w:val="en-US" w:eastAsia="zh-CN"/>
                    </w:rPr>
                    <w:t>超标次数≤1 次/日</w:t>
                  </w:r>
                </w:p>
              </w:tc>
              <w:tc>
                <w:tcPr>
                  <w:tcW w:w="485" w:type="pct"/>
                  <w:vMerge w:val="restart"/>
                  <w:noWrap w:val="0"/>
                  <w:vAlign w:val="center"/>
                </w:tcPr>
                <w:p w14:paraId="250D42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周界外浓度最高点</w:t>
                  </w:r>
                </w:p>
              </w:tc>
              <w:tc>
                <w:tcPr>
                  <w:tcW w:w="1873" w:type="pct"/>
                  <w:vMerge w:val="restart"/>
                  <w:noWrap w:val="0"/>
                  <w:vAlign w:val="center"/>
                </w:tcPr>
                <w:p w14:paraId="59224F1B">
                  <w:pPr>
                    <w:keepNext w:val="0"/>
                    <w:keepLines w:val="0"/>
                    <w:suppressLineNumbers w:val="0"/>
                    <w:spacing w:before="0" w:beforeAutospacing="0" w:after="0" w:afterAutospacing="0"/>
                    <w:ind w:left="0" w:right="0"/>
                    <w:jc w:val="center"/>
                    <w:rPr>
                      <w:rFonts w:hint="default" w:cs="Times New Roman"/>
                      <w:color w:val="auto"/>
                      <w:szCs w:val="21"/>
                    </w:rPr>
                  </w:pPr>
                  <w:r>
                    <w:rPr>
                      <w:rFonts w:hint="default" w:ascii="Times New Roman" w:hAnsi="Times New Roman" w:cs="Times New Roman"/>
                      <w:color w:val="auto"/>
                      <w:spacing w:val="0"/>
                      <w:sz w:val="24"/>
                      <w:highlight w:val="none"/>
                    </w:rPr>
                    <w:t>DB34/4811—2024</w:t>
                  </w:r>
                </w:p>
              </w:tc>
            </w:tr>
            <w:tr w14:paraId="0FC1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59" w:type="pct"/>
                  <w:vMerge w:val="continue"/>
                  <w:noWrap w:val="0"/>
                  <w:vAlign w:val="center"/>
                </w:tcPr>
                <w:p w14:paraId="0FD09ACA">
                  <w:pPr>
                    <w:keepNext w:val="0"/>
                    <w:keepLines w:val="0"/>
                    <w:suppressLineNumbers w:val="0"/>
                    <w:spacing w:before="0" w:beforeAutospacing="0" w:after="0" w:afterAutospacing="0"/>
                    <w:ind w:left="0" w:right="0"/>
                    <w:jc w:val="center"/>
                    <w:rPr>
                      <w:rFonts w:hint="eastAsia" w:ascii="Times New Roman" w:hAnsi="宋体" w:eastAsia="宋体" w:cs="Times New Roman"/>
                      <w:color w:val="auto"/>
                      <w:szCs w:val="21"/>
                      <w:lang w:eastAsia="zh-CN"/>
                    </w:rPr>
                  </w:pPr>
                </w:p>
              </w:tc>
              <w:tc>
                <w:tcPr>
                  <w:tcW w:w="585" w:type="pct"/>
                  <w:vMerge w:val="continue"/>
                  <w:noWrap w:val="0"/>
                  <w:vAlign w:val="center"/>
                </w:tcPr>
                <w:p w14:paraId="36F5AD13">
                  <w:pPr>
                    <w:keepNext w:val="0"/>
                    <w:keepLines w:val="0"/>
                    <w:suppressLineNumbers w:val="0"/>
                    <w:spacing w:before="0" w:beforeAutospacing="0" w:after="0" w:afterAutospacing="0"/>
                    <w:ind w:left="0" w:right="0"/>
                    <w:jc w:val="center"/>
                    <w:rPr>
                      <w:rFonts w:hint="default" w:ascii="Times New Roman" w:hAnsi="宋体" w:eastAsia="宋体" w:cs="Times New Roman"/>
                      <w:color w:val="auto"/>
                      <w:szCs w:val="21"/>
                    </w:rPr>
                  </w:pPr>
                </w:p>
              </w:tc>
              <w:tc>
                <w:tcPr>
                  <w:tcW w:w="552" w:type="pct"/>
                  <w:noWrap w:val="0"/>
                  <w:vAlign w:val="center"/>
                </w:tcPr>
                <w:p w14:paraId="46271C08">
                  <w:pPr>
                    <w:pStyle w:val="24"/>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0.5</w:t>
                  </w:r>
                </w:p>
              </w:tc>
              <w:tc>
                <w:tcPr>
                  <w:tcW w:w="744" w:type="pct"/>
                  <w:noWrap w:val="0"/>
                  <w:vAlign w:val="center"/>
                </w:tcPr>
                <w:p w14:paraId="232FCD7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pacing w:val="0"/>
                      <w:sz w:val="21"/>
                      <w:highlight w:val="none"/>
                      <w:lang w:val="en-US" w:eastAsia="zh-CN"/>
                    </w:rPr>
                    <w:t>超标次数≤6 次/日</w:t>
                  </w:r>
                </w:p>
              </w:tc>
              <w:tc>
                <w:tcPr>
                  <w:tcW w:w="485" w:type="pct"/>
                  <w:vMerge w:val="continue"/>
                  <w:noWrap w:val="0"/>
                  <w:vAlign w:val="center"/>
                </w:tcPr>
                <w:p w14:paraId="445B9B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p>
              </w:tc>
              <w:tc>
                <w:tcPr>
                  <w:tcW w:w="1873" w:type="pct"/>
                  <w:vMerge w:val="continue"/>
                  <w:noWrap w:val="0"/>
                  <w:vAlign w:val="center"/>
                </w:tcPr>
                <w:p w14:paraId="67D193F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p>
              </w:tc>
            </w:tr>
          </w:tbl>
          <w:p w14:paraId="69585448">
            <w:pPr>
              <w:pStyle w:val="107"/>
              <w:keepNext w:val="0"/>
              <w:keepLines w:val="0"/>
              <w:numPr>
                <w:ilvl w:val="0"/>
                <w:numId w:val="0"/>
              </w:numPr>
              <w:suppressLineNumbers w:val="0"/>
              <w:spacing w:before="0" w:beforeAutospacing="0" w:after="0" w:afterAutospacing="0"/>
              <w:ind w:left="0" w:right="0" w:firstLine="480" w:firstLineChars="200"/>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③废水</w:t>
            </w:r>
          </w:p>
          <w:p w14:paraId="3561C9D9">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运营期不新增生活污水，</w:t>
            </w:r>
            <w:r>
              <w:rPr>
                <w:rFonts w:hint="eastAsia" w:ascii="Times New Roman" w:hAnsi="Times New Roman" w:eastAsia="宋体" w:cs="Times New Roman"/>
                <w:color w:val="auto"/>
                <w:sz w:val="24"/>
                <w:szCs w:val="24"/>
                <w:highlight w:val="none"/>
                <w:lang w:eastAsia="zh-CN"/>
              </w:rPr>
              <w:t>生产废水依</w:t>
            </w:r>
            <w:r>
              <w:rPr>
                <w:rFonts w:hint="eastAsia" w:ascii="Times New Roman" w:hAnsi="Times New Roman" w:eastAsia="宋体" w:cs="Times New Roman"/>
                <w:color w:val="auto"/>
                <w:sz w:val="24"/>
                <w:szCs w:val="24"/>
                <w:highlight w:val="none"/>
                <w:lang w:val="en-US" w:eastAsia="zh-CN"/>
              </w:rPr>
              <w:t>托现有矿井水处理站处理，矿井水处理站废水大部分回用于井下生产、防火灌浆用水，少量排放至永幸河。废水总排口排水水质执行《煤炭工业污染物排放标准》（</w:t>
            </w:r>
            <w:r>
              <w:rPr>
                <w:rFonts w:hint="default" w:ascii="Times New Roman" w:hAnsi="Times New Roman" w:eastAsia="宋体" w:cs="Times New Roman"/>
                <w:color w:val="auto"/>
                <w:sz w:val="24"/>
                <w:szCs w:val="24"/>
                <w:highlight w:val="none"/>
                <w:lang w:val="en-US" w:eastAsia="zh-CN"/>
              </w:rPr>
              <w:t>GB20426</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2006</w:t>
            </w:r>
            <w:r>
              <w:rPr>
                <w:rFonts w:hint="eastAsia" w:ascii="Times New Roman" w:hAnsi="Times New Roman" w:eastAsia="宋体" w:cs="Times New Roman"/>
                <w:color w:val="auto"/>
                <w:sz w:val="24"/>
                <w:szCs w:val="24"/>
                <w:highlight w:val="none"/>
                <w:lang w:val="en-US" w:eastAsia="zh-CN"/>
              </w:rPr>
              <w:t>）新建（改、扩）生产线标准和《污水综合排放标准》中的一级标准。具体见下表。</w:t>
            </w:r>
          </w:p>
          <w:p w14:paraId="5C3578AB">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cs="Times New Roman"/>
                <w:color w:val="auto"/>
              </w:rPr>
            </w:pPr>
            <w:r>
              <w:rPr>
                <w:rFonts w:hint="eastAsia" w:ascii="Times New Roman" w:hAnsi="Times New Roman" w:eastAsia="宋体" w:cs="Times New Roman"/>
                <w:color w:val="auto"/>
                <w:sz w:val="24"/>
                <w:szCs w:val="24"/>
                <w:highlight w:val="none"/>
                <w:lang w:val="en-US" w:eastAsia="zh-CN"/>
              </w:rPr>
              <w:t xml:space="preserve">   </w:t>
            </w:r>
            <w:r>
              <w:rPr>
                <w:rFonts w:hint="eastAsia" w:cs="Times New Roman"/>
                <w:color w:val="auto"/>
                <w:sz w:val="24"/>
                <w:szCs w:val="24"/>
              </w:rPr>
              <w:t>污水排放执行标准      单位：m</w:t>
            </w:r>
            <w:r>
              <w:rPr>
                <w:rFonts w:hint="default" w:cs="Times New Roman"/>
                <w:color w:val="auto"/>
                <w:sz w:val="24"/>
                <w:szCs w:val="24"/>
              </w:rPr>
              <w:t>g/L</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337"/>
              <w:gridCol w:w="2997"/>
            </w:tblGrid>
            <w:tr w14:paraId="77FC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330" w:type="pct"/>
                  <w:noWrap w:val="0"/>
                  <w:vAlign w:val="center"/>
                </w:tcPr>
                <w:p w14:paraId="700F413A">
                  <w:pPr>
                    <w:keepNext w:val="0"/>
                    <w:keepLines w:val="0"/>
                    <w:suppressLineNumbers w:val="0"/>
                    <w:spacing w:before="0" w:beforeAutospacing="0" w:after="0" w:afterAutospacing="0"/>
                    <w:ind w:left="0" w:right="0"/>
                    <w:jc w:val="center"/>
                    <w:rPr>
                      <w:rFonts w:hint="eastAsia" w:cs="Times New Roman"/>
                      <w:color w:val="auto"/>
                    </w:rPr>
                  </w:pPr>
                  <w:r>
                    <w:rPr>
                      <w:rFonts w:hint="default" w:cs="Times New Roman"/>
                      <w:color w:val="auto"/>
                    </w:rPr>
                    <w:t>污染物</w:t>
                  </w:r>
                  <w:r>
                    <w:rPr>
                      <w:rFonts w:hint="eastAsia" w:cs="Times New Roman"/>
                      <w:color w:val="auto"/>
                    </w:rPr>
                    <w:t>名称</w:t>
                  </w:r>
                </w:p>
              </w:tc>
              <w:tc>
                <w:tcPr>
                  <w:tcW w:w="1607" w:type="pct"/>
                  <w:noWrap w:val="0"/>
                  <w:vAlign w:val="center"/>
                </w:tcPr>
                <w:p w14:paraId="3BBE178F">
                  <w:pPr>
                    <w:keepNext w:val="0"/>
                    <w:keepLines w:val="0"/>
                    <w:suppressLineNumbers w:val="0"/>
                    <w:spacing w:before="0" w:beforeAutospacing="0" w:after="0" w:afterAutospacing="0"/>
                    <w:ind w:left="0" w:right="0"/>
                    <w:jc w:val="center"/>
                    <w:rPr>
                      <w:rFonts w:hint="eastAsia" w:cs="Times New Roman"/>
                      <w:color w:val="auto"/>
                    </w:rPr>
                  </w:pPr>
                  <w:r>
                    <w:rPr>
                      <w:rFonts w:hint="eastAsia" w:cs="Times New Roman"/>
                      <w:color w:val="auto"/>
                    </w:rPr>
                    <w:t>本项目废水排放限值</w:t>
                  </w:r>
                </w:p>
              </w:tc>
              <w:tc>
                <w:tcPr>
                  <w:tcW w:w="2061" w:type="pct"/>
                  <w:noWrap w:val="0"/>
                  <w:vAlign w:val="center"/>
                </w:tcPr>
                <w:p w14:paraId="0C94732A">
                  <w:pPr>
                    <w:keepNext w:val="0"/>
                    <w:keepLines w:val="0"/>
                    <w:suppressLineNumbers w:val="0"/>
                    <w:spacing w:before="0" w:beforeAutospacing="0" w:after="0" w:afterAutospacing="0"/>
                    <w:ind w:left="0" w:right="0"/>
                    <w:jc w:val="center"/>
                    <w:rPr>
                      <w:rFonts w:hint="eastAsia" w:cs="Times New Roman"/>
                      <w:color w:val="auto"/>
                    </w:rPr>
                  </w:pPr>
                  <w:r>
                    <w:rPr>
                      <w:rFonts w:hint="eastAsia" w:cs="Times New Roman"/>
                      <w:color w:val="auto"/>
                    </w:rPr>
                    <w:t>来源</w:t>
                  </w:r>
                </w:p>
              </w:tc>
            </w:tr>
            <w:tr w14:paraId="511B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330" w:type="pct"/>
                  <w:noWrap w:val="0"/>
                  <w:vAlign w:val="center"/>
                </w:tcPr>
                <w:p w14:paraId="26B3F163">
                  <w:pPr>
                    <w:keepNext w:val="0"/>
                    <w:keepLines w:val="0"/>
                    <w:suppressLineNumbers w:val="0"/>
                    <w:spacing w:before="0" w:beforeAutospacing="0" w:after="0" w:afterAutospacing="0"/>
                    <w:ind w:left="0" w:right="0"/>
                    <w:jc w:val="center"/>
                    <w:rPr>
                      <w:rFonts w:hint="default" w:cs="Times New Roman"/>
                      <w:color w:val="auto"/>
                      <w:kern w:val="2"/>
                      <w:sz w:val="21"/>
                      <w:szCs w:val="24"/>
                      <w:lang w:val="en-US" w:eastAsia="zh-CN" w:bidi="ar-SA"/>
                    </w:rPr>
                  </w:pPr>
                  <w:r>
                    <w:rPr>
                      <w:rFonts w:hint="eastAsia" w:cs="Times New Roman"/>
                      <w:color w:val="auto"/>
                    </w:rPr>
                    <w:t>COD</w:t>
                  </w:r>
                </w:p>
              </w:tc>
              <w:tc>
                <w:tcPr>
                  <w:tcW w:w="1607" w:type="pct"/>
                  <w:noWrap w:val="0"/>
                  <w:vAlign w:val="center"/>
                </w:tcPr>
                <w:p w14:paraId="1A9F6BEB">
                  <w:pPr>
                    <w:keepNext w:val="0"/>
                    <w:keepLines w:val="0"/>
                    <w:suppressLineNumbers w:val="0"/>
                    <w:spacing w:before="0" w:beforeAutospacing="0" w:after="0" w:afterAutospacing="0"/>
                    <w:ind w:left="0" w:right="0"/>
                    <w:jc w:val="center"/>
                    <w:rPr>
                      <w:rFonts w:hint="default" w:cs="Times New Roman"/>
                      <w:color w:val="auto"/>
                      <w:kern w:val="2"/>
                      <w:sz w:val="21"/>
                      <w:szCs w:val="24"/>
                      <w:lang w:val="en-US" w:eastAsia="zh-CN" w:bidi="ar-SA"/>
                    </w:rPr>
                  </w:pPr>
                  <w:r>
                    <w:rPr>
                      <w:rFonts w:hint="eastAsia" w:cs="Times New Roman"/>
                      <w:color w:val="auto"/>
                    </w:rPr>
                    <w:t>50</w:t>
                  </w:r>
                </w:p>
              </w:tc>
              <w:tc>
                <w:tcPr>
                  <w:tcW w:w="2061" w:type="pct"/>
                  <w:vMerge w:val="restart"/>
                  <w:noWrap w:val="0"/>
                  <w:vAlign w:val="center"/>
                </w:tcPr>
                <w:p w14:paraId="1E5DAA5A">
                  <w:pPr>
                    <w:keepNext w:val="0"/>
                    <w:keepLines w:val="0"/>
                    <w:suppressLineNumbers w:val="0"/>
                    <w:spacing w:before="0" w:beforeAutospacing="0" w:after="0" w:afterAutospacing="0"/>
                    <w:ind w:left="0" w:right="0"/>
                    <w:jc w:val="center"/>
                    <w:rPr>
                      <w:rFonts w:hint="default" w:eastAsia="宋体" w:cs="Times New Roman"/>
                      <w:color w:val="auto"/>
                      <w:lang w:val="en-US" w:eastAsia="zh-CN"/>
                    </w:rPr>
                  </w:pPr>
                  <w:r>
                    <w:rPr>
                      <w:rFonts w:hint="eastAsia" w:ascii="宋体" w:hAnsi="宋体" w:eastAsia="宋体" w:cs="宋体"/>
                      <w:color w:val="auto"/>
                      <w:kern w:val="0"/>
                      <w:sz w:val="24"/>
                      <w:szCs w:val="24"/>
                      <w:lang w:val="en-US" w:eastAsia="zh-CN" w:bidi="ar"/>
                    </w:rPr>
                    <w:t>《煤炭工业污染物排放标准》（</w:t>
                  </w:r>
                  <w:r>
                    <w:rPr>
                      <w:rFonts w:hint="default" w:ascii="Times New Roman" w:hAnsi="Times New Roman" w:eastAsia="宋体" w:cs="Times New Roman"/>
                      <w:color w:val="auto"/>
                      <w:kern w:val="0"/>
                      <w:sz w:val="24"/>
                      <w:szCs w:val="24"/>
                      <w:lang w:val="en-US" w:eastAsia="zh-CN" w:bidi="ar"/>
                    </w:rPr>
                    <w:t>GB20426</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2006)</w:t>
                  </w:r>
                </w:p>
              </w:tc>
            </w:tr>
            <w:tr w14:paraId="07EC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30" w:type="pct"/>
                  <w:noWrap w:val="0"/>
                  <w:vAlign w:val="center"/>
                </w:tcPr>
                <w:p w14:paraId="5160A3F3">
                  <w:pPr>
                    <w:keepNext w:val="0"/>
                    <w:keepLines w:val="0"/>
                    <w:suppressLineNumbers w:val="0"/>
                    <w:spacing w:before="0" w:beforeAutospacing="0" w:after="0" w:afterAutospacing="0"/>
                    <w:ind w:left="0" w:right="0"/>
                    <w:jc w:val="center"/>
                    <w:rPr>
                      <w:rFonts w:hint="default" w:cs="Times New Roman"/>
                      <w:color w:val="auto"/>
                      <w:kern w:val="2"/>
                      <w:sz w:val="21"/>
                      <w:szCs w:val="24"/>
                      <w:lang w:val="en-US" w:eastAsia="zh-CN" w:bidi="ar-SA"/>
                    </w:rPr>
                  </w:pPr>
                  <w:r>
                    <w:rPr>
                      <w:rFonts w:hint="eastAsia" w:cs="Times New Roman"/>
                      <w:color w:val="auto"/>
                    </w:rPr>
                    <w:t>SS</w:t>
                  </w:r>
                </w:p>
              </w:tc>
              <w:tc>
                <w:tcPr>
                  <w:tcW w:w="1607" w:type="pct"/>
                  <w:noWrap w:val="0"/>
                  <w:vAlign w:val="center"/>
                </w:tcPr>
                <w:p w14:paraId="31661425">
                  <w:pPr>
                    <w:keepNext w:val="0"/>
                    <w:keepLines w:val="0"/>
                    <w:suppressLineNumbers w:val="0"/>
                    <w:spacing w:before="0" w:beforeAutospacing="0" w:after="0" w:afterAutospacing="0"/>
                    <w:ind w:left="0" w:right="0"/>
                    <w:jc w:val="center"/>
                    <w:rPr>
                      <w:rFonts w:hint="default" w:eastAsia="宋体" w:cs="Times New Roman"/>
                      <w:color w:val="auto"/>
                      <w:kern w:val="2"/>
                      <w:sz w:val="21"/>
                      <w:szCs w:val="24"/>
                      <w:lang w:val="en-US" w:eastAsia="zh-CN" w:bidi="ar-SA"/>
                    </w:rPr>
                  </w:pPr>
                  <w:r>
                    <w:rPr>
                      <w:rFonts w:hint="eastAsia" w:cs="Times New Roman"/>
                      <w:color w:val="auto"/>
                      <w:lang w:val="en-US" w:eastAsia="zh-CN"/>
                    </w:rPr>
                    <w:t>50</w:t>
                  </w:r>
                </w:p>
              </w:tc>
              <w:tc>
                <w:tcPr>
                  <w:tcW w:w="2061" w:type="pct"/>
                  <w:vMerge w:val="continue"/>
                  <w:noWrap w:val="0"/>
                  <w:vAlign w:val="center"/>
                </w:tcPr>
                <w:p w14:paraId="15E2EDFA">
                  <w:pPr>
                    <w:keepNext w:val="0"/>
                    <w:keepLines w:val="0"/>
                    <w:suppressLineNumbers w:val="0"/>
                    <w:spacing w:before="0" w:beforeAutospacing="0" w:after="0" w:afterAutospacing="0"/>
                    <w:ind w:left="0" w:right="0"/>
                    <w:jc w:val="center"/>
                    <w:rPr>
                      <w:rFonts w:hint="eastAsia" w:cs="Times New Roman"/>
                      <w:color w:val="auto"/>
                    </w:rPr>
                  </w:pPr>
                </w:p>
              </w:tc>
            </w:tr>
            <w:tr w14:paraId="52A6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30" w:type="pct"/>
                  <w:noWrap w:val="0"/>
                  <w:vAlign w:val="center"/>
                </w:tcPr>
                <w:p w14:paraId="6B8518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氨氮</w:t>
                  </w:r>
                </w:p>
              </w:tc>
              <w:tc>
                <w:tcPr>
                  <w:tcW w:w="1607" w:type="pct"/>
                  <w:noWrap w:val="0"/>
                  <w:vAlign w:val="center"/>
                </w:tcPr>
                <w:p w14:paraId="706BEB5C">
                  <w:pPr>
                    <w:keepNext w:val="0"/>
                    <w:keepLines w:val="0"/>
                    <w:suppressLineNumbers w:val="0"/>
                    <w:spacing w:before="0" w:beforeAutospacing="0" w:after="0" w:afterAutospacing="0"/>
                    <w:ind w:left="0" w:right="0"/>
                    <w:jc w:val="center"/>
                    <w:rPr>
                      <w:rFonts w:hint="default" w:cs="Times New Roman"/>
                      <w:color w:val="auto"/>
                      <w:lang w:val="en-US" w:eastAsia="zh-CN"/>
                    </w:rPr>
                  </w:pPr>
                  <w:r>
                    <w:rPr>
                      <w:rFonts w:hint="eastAsia" w:cs="Times New Roman"/>
                      <w:color w:val="auto"/>
                      <w:lang w:val="en-US" w:eastAsia="zh-CN"/>
                    </w:rPr>
                    <w:t>15</w:t>
                  </w:r>
                </w:p>
              </w:tc>
              <w:tc>
                <w:tcPr>
                  <w:tcW w:w="2061" w:type="pct"/>
                  <w:vMerge w:val="restart"/>
                  <w:noWrap w:val="0"/>
                  <w:vAlign w:val="center"/>
                </w:tcPr>
                <w:p w14:paraId="35E29DC4">
                  <w:pPr>
                    <w:keepNext w:val="0"/>
                    <w:keepLines w:val="0"/>
                    <w:suppressLineNumbers w:val="0"/>
                    <w:spacing w:before="0" w:beforeAutospacing="0" w:after="0" w:afterAutospacing="0"/>
                    <w:ind w:left="0" w:right="0"/>
                    <w:jc w:val="center"/>
                    <w:rPr>
                      <w:rFonts w:hint="default" w:cs="Times New Roman"/>
                      <w:color w:val="auto"/>
                      <w:lang w:val="en-US"/>
                    </w:rPr>
                  </w:pPr>
                  <w:r>
                    <w:rPr>
                      <w:rFonts w:hint="eastAsia"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eastAsia="宋体" w:cs="Times New Roman"/>
                      <w:color w:val="auto"/>
                      <w:kern w:val="0"/>
                      <w:sz w:val="24"/>
                      <w:szCs w:val="24"/>
                      <w:lang w:val="en-US" w:eastAsia="zh-CN" w:bidi="ar"/>
                    </w:rPr>
                    <w:t>GB</w:t>
                  </w:r>
                  <w:r>
                    <w:rPr>
                      <w:rFonts w:hint="eastAsia" w:ascii="Times New Roman" w:hAnsi="Times New Roman" w:eastAsia="宋体" w:cs="Times New Roman"/>
                      <w:color w:val="auto"/>
                      <w:kern w:val="0"/>
                      <w:sz w:val="24"/>
                      <w:szCs w:val="24"/>
                      <w:lang w:val="en-US" w:eastAsia="zh-CN" w:bidi="ar"/>
                    </w:rPr>
                    <w:t>8978</w:t>
                  </w:r>
                  <w:r>
                    <w:rPr>
                      <w:rFonts w:hint="eastAsia" w:ascii="宋体" w:hAnsi="宋体" w:eastAsia="宋体" w:cs="宋体"/>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1996</w:t>
                  </w:r>
                </w:p>
              </w:tc>
            </w:tr>
            <w:tr w14:paraId="49C5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30" w:type="pct"/>
                  <w:noWrap w:val="0"/>
                  <w:vAlign w:val="center"/>
                </w:tcPr>
                <w:p w14:paraId="2353E94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BOD</w:t>
                  </w:r>
                  <w:r>
                    <w:rPr>
                      <w:rFonts w:hint="eastAsia" w:ascii="Times New Roman" w:hAnsi="Times New Roman" w:eastAsia="宋体" w:cs="Times New Roman"/>
                      <w:color w:val="auto"/>
                      <w:vertAlign w:val="subscript"/>
                      <w:lang w:val="en-US" w:eastAsia="zh-CN"/>
                    </w:rPr>
                    <w:t>5</w:t>
                  </w:r>
                </w:p>
              </w:tc>
              <w:tc>
                <w:tcPr>
                  <w:tcW w:w="1607" w:type="pct"/>
                  <w:noWrap w:val="0"/>
                  <w:vAlign w:val="center"/>
                </w:tcPr>
                <w:p w14:paraId="1D10CF43">
                  <w:pPr>
                    <w:keepNext w:val="0"/>
                    <w:keepLines w:val="0"/>
                    <w:suppressLineNumbers w:val="0"/>
                    <w:spacing w:before="0" w:beforeAutospacing="0" w:after="0" w:afterAutospacing="0"/>
                    <w:ind w:left="0" w:right="0"/>
                    <w:jc w:val="center"/>
                    <w:rPr>
                      <w:rFonts w:hint="default" w:cs="Times New Roman"/>
                      <w:color w:val="auto"/>
                      <w:lang w:val="en-US" w:eastAsia="zh-CN"/>
                    </w:rPr>
                  </w:pPr>
                  <w:r>
                    <w:rPr>
                      <w:rFonts w:hint="eastAsia" w:cs="Times New Roman"/>
                      <w:color w:val="auto"/>
                      <w:lang w:val="en-US" w:eastAsia="zh-CN"/>
                    </w:rPr>
                    <w:t>20</w:t>
                  </w:r>
                </w:p>
              </w:tc>
              <w:tc>
                <w:tcPr>
                  <w:tcW w:w="2061" w:type="pct"/>
                  <w:vMerge w:val="continue"/>
                  <w:noWrap w:val="0"/>
                  <w:vAlign w:val="center"/>
                </w:tcPr>
                <w:p w14:paraId="2405E5E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4"/>
                      <w:szCs w:val="24"/>
                      <w:highlight w:val="none"/>
                      <w:lang w:val="en-US" w:eastAsia="zh-CN"/>
                    </w:rPr>
                  </w:pPr>
                </w:p>
              </w:tc>
            </w:tr>
          </w:tbl>
          <w:p w14:paraId="4E39289B">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s="Times New Roman"/>
                <w:color w:val="auto"/>
                <w:kern w:val="0"/>
                <w:sz w:val="24"/>
                <w:szCs w:val="24"/>
                <w:lang w:bidi="ar"/>
              </w:rPr>
            </w:pPr>
            <w:r>
              <w:rPr>
                <w:rFonts w:hint="eastAsia" w:cs="Times New Roman"/>
                <w:color w:val="auto"/>
                <w:kern w:val="0"/>
                <w:sz w:val="24"/>
                <w:szCs w:val="24"/>
                <w:lang w:bidi="ar"/>
              </w:rPr>
              <w:t>④固体废物</w:t>
            </w:r>
          </w:p>
          <w:p w14:paraId="4D84A414">
            <w:pPr>
              <w:keepNext w:val="0"/>
              <w:keepLines w:val="0"/>
              <w:widowControl/>
              <w:numPr>
                <w:ilvl w:val="0"/>
                <w:numId w:val="0"/>
              </w:numPr>
              <w:suppressLineNumbers w:val="0"/>
              <w:adjustRightInd w:val="0"/>
              <w:snapToGrid w:val="0"/>
              <w:spacing w:before="0" w:beforeAutospacing="0" w:after="0" w:afterAutospacing="0" w:line="360" w:lineRule="auto"/>
              <w:ind w:left="0" w:right="0" w:firstLine="480" w:firstLineChars="200"/>
              <w:jc w:val="left"/>
              <w:rPr>
                <w:rFonts w:hint="default" w:ascii="宋体" w:hAnsi="宋体" w:cs="宋体"/>
                <w:color w:val="auto"/>
                <w:kern w:val="0"/>
                <w:sz w:val="24"/>
                <w:szCs w:val="24"/>
              </w:rPr>
            </w:pPr>
            <w:r>
              <w:rPr>
                <w:rFonts w:hint="eastAsia" w:ascii="Times New Roman" w:hAnsi="Times New Roman" w:eastAsia="宋体" w:cs="Times New Roman"/>
                <w:color w:val="auto"/>
                <w:sz w:val="24"/>
                <w:szCs w:val="24"/>
              </w:rPr>
              <w:t>一般工业固废</w:t>
            </w:r>
            <w:r>
              <w:rPr>
                <w:rFonts w:hint="eastAsia" w:ascii="Times New Roman" w:hAnsi="Times New Roman" w:eastAsia="宋体" w:cs="Times New Roman"/>
                <w:color w:val="auto"/>
                <w:sz w:val="24"/>
                <w:lang w:eastAsia="zh-CN"/>
              </w:rPr>
              <w:t>贮存过程应</w:t>
            </w:r>
            <w:r>
              <w:rPr>
                <w:rFonts w:hint="eastAsia" w:cs="Times New Roman"/>
                <w:color w:val="auto"/>
                <w:sz w:val="24"/>
              </w:rPr>
              <w:t>执行《中华人民共和国固体废物污染环境防治法》（2020年4月29日修订）</w:t>
            </w:r>
            <w:r>
              <w:rPr>
                <w:rFonts w:hint="eastAsia" w:cs="Times New Roman"/>
                <w:color w:val="auto"/>
                <w:sz w:val="24"/>
                <w:lang w:val="en-US" w:eastAsia="zh-CN"/>
              </w:rPr>
              <w:t>中的要求，参照</w:t>
            </w:r>
            <w:r>
              <w:rPr>
                <w:rFonts w:hint="eastAsia" w:cs="Times New Roman"/>
                <w:color w:val="auto"/>
                <w:sz w:val="24"/>
              </w:rPr>
              <w:t>《一般工业固体废物贮存和填埋污染控制标准》（GB 18599-2020）</w:t>
            </w:r>
            <w:r>
              <w:rPr>
                <w:rFonts w:hint="eastAsia" w:cs="Times New Roman"/>
                <w:color w:val="auto"/>
                <w:sz w:val="24"/>
                <w:lang w:val="en-US" w:eastAsia="zh-CN"/>
              </w:rPr>
              <w:t>中的相关</w:t>
            </w:r>
            <w:r>
              <w:rPr>
                <w:rFonts w:hint="eastAsia" w:cs="Times New Roman"/>
                <w:color w:val="auto"/>
                <w:sz w:val="24"/>
              </w:rPr>
              <w:t>要求</w:t>
            </w:r>
            <w:r>
              <w:rPr>
                <w:rFonts w:hint="eastAsia" w:ascii="Times New Roman" w:hAnsi="Times New Roman" w:eastAsia="宋体" w:cs="Times New Roman"/>
                <w:color w:val="auto"/>
                <w:sz w:val="24"/>
                <w:szCs w:val="24"/>
              </w:rPr>
              <w:t>。危险固废执行《危险废物贮存污染控制标准》（GB18597-20</w:t>
            </w:r>
            <w:r>
              <w:rPr>
                <w:rFonts w:hint="eastAsia" w:ascii="Times New Roman" w:hAnsi="Times New Roman" w:eastAsia="宋体" w:cs="Times New Roman"/>
                <w:color w:val="auto"/>
                <w:sz w:val="24"/>
                <w:szCs w:val="24"/>
                <w:lang w:val="en-US" w:eastAsia="zh-CN"/>
              </w:rPr>
              <w:t>23</w:t>
            </w:r>
            <w:r>
              <w:rPr>
                <w:rFonts w:hint="eastAsia" w:ascii="Times New Roman" w:hAnsi="Times New Roman" w:eastAsia="宋体" w:cs="Times New Roman"/>
                <w:color w:val="auto"/>
                <w:sz w:val="24"/>
                <w:szCs w:val="24"/>
              </w:rPr>
              <w:t>）。</w:t>
            </w:r>
          </w:p>
        </w:tc>
      </w:tr>
      <w:tr w14:paraId="616029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86" w:type="pct"/>
            <w:noWrap w:val="0"/>
            <w:vAlign w:val="center"/>
          </w:tcPr>
          <w:p w14:paraId="3CD8AB4E">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其他</w:t>
            </w:r>
          </w:p>
        </w:tc>
        <w:tc>
          <w:tcPr>
            <w:tcW w:w="4713" w:type="pct"/>
            <w:noWrap w:val="0"/>
            <w:vAlign w:val="center"/>
          </w:tcPr>
          <w:p w14:paraId="23B26212">
            <w:pPr>
              <w:pStyle w:val="89"/>
              <w:keepNext w:val="0"/>
              <w:keepLines w:val="0"/>
              <w:suppressLineNumbers w:val="0"/>
              <w:spacing w:before="0" w:beforeAutospacing="0" w:after="0" w:afterAutospacing="0"/>
              <w:ind w:left="0" w:right="0" w:firstLine="480"/>
              <w:rPr>
                <w:rFonts w:hint="eastAsia" w:cs="Times New Roman"/>
                <w:color w:val="auto"/>
              </w:rPr>
            </w:pPr>
            <w:r>
              <w:rPr>
                <w:rFonts w:hint="eastAsia" w:cs="Times New Roman"/>
                <w:color w:val="auto"/>
              </w:rPr>
              <w:t>根据安徽省人民政府《安徽省大气污染防治行动计划实施方案》（皖政</w:t>
            </w:r>
            <w:r>
              <w:rPr>
                <w:rFonts w:hint="eastAsia" w:cs="Times New Roman"/>
                <w:color w:val="auto"/>
                <w:lang w:eastAsia="zh-CN"/>
              </w:rPr>
              <w:t>〔2013〕89号</w:t>
            </w:r>
            <w:r>
              <w:rPr>
                <w:rFonts w:hint="eastAsia" w:cs="Times New Roman"/>
                <w:color w:val="auto"/>
              </w:rPr>
              <w:t>）中第（四）类19条和《关于进一步加强建设项目新增大气污染物总量控制指标工作的通知》（皖环发</w:t>
            </w:r>
            <w:r>
              <w:rPr>
                <w:rFonts w:hint="eastAsia" w:cs="Times New Roman"/>
                <w:color w:val="auto"/>
                <w:lang w:eastAsia="zh-CN"/>
              </w:rPr>
              <w:t>〔2017〕19号</w:t>
            </w:r>
            <w:r>
              <w:rPr>
                <w:rFonts w:hint="eastAsia" w:cs="Times New Roman"/>
                <w:color w:val="auto"/>
              </w:rPr>
              <w:t>）中的规定，严格实施主要污染物排放总量控制，水污染物总量控制指标为COD、氨氮，大气污染物总量指标在二氧化硫（SO</w:t>
            </w:r>
            <w:r>
              <w:rPr>
                <w:rFonts w:hint="eastAsia" w:cs="Times New Roman"/>
                <w:color w:val="auto"/>
                <w:vertAlign w:val="subscript"/>
              </w:rPr>
              <w:t>2</w:t>
            </w:r>
            <w:r>
              <w:rPr>
                <w:rFonts w:hint="eastAsia" w:cs="Times New Roman"/>
                <w:color w:val="auto"/>
              </w:rPr>
              <w:t>）、氮氧化物（NOx）的基础上增加烟（粉）尘、挥发性有机物（VOCs）两项指标。</w:t>
            </w:r>
          </w:p>
          <w:p w14:paraId="066124D9">
            <w:pPr>
              <w:pStyle w:val="89"/>
              <w:keepNext w:val="0"/>
              <w:keepLines w:val="0"/>
              <w:suppressLineNumbers w:val="0"/>
              <w:spacing w:before="0" w:beforeAutospacing="0" w:after="0" w:afterAutospacing="0"/>
              <w:ind w:left="0" w:right="0" w:firstLine="480"/>
              <w:jc w:val="both"/>
              <w:rPr>
                <w:rFonts w:hint="eastAsia" w:cs="Times New Roman"/>
                <w:color w:val="auto"/>
              </w:rPr>
            </w:pPr>
            <w:r>
              <w:rPr>
                <w:rFonts w:hint="eastAsia" w:cs="Times New Roman"/>
                <w:color w:val="auto"/>
              </w:rPr>
              <w:t>1、水污染物总量控制指标：根据工程分析可知本项目生产废水依托</w:t>
            </w:r>
            <w:r>
              <w:rPr>
                <w:rFonts w:hint="eastAsia" w:cs="Times New Roman"/>
                <w:color w:val="auto"/>
                <w:lang w:eastAsia="zh-CN"/>
              </w:rPr>
              <w:t>现有矿井水</w:t>
            </w:r>
            <w:r>
              <w:rPr>
                <w:rFonts w:hint="eastAsia" w:cs="Times New Roman"/>
                <w:color w:val="auto"/>
              </w:rPr>
              <w:t>处理站处理，因此本项目不需要单独申请COD、氨氮总量指标。</w:t>
            </w:r>
          </w:p>
          <w:p w14:paraId="5FA464F1">
            <w:pPr>
              <w:pStyle w:val="89"/>
              <w:keepNext w:val="0"/>
              <w:keepLines w:val="0"/>
              <w:suppressLineNumbers w:val="0"/>
              <w:spacing w:before="0" w:beforeAutospacing="0" w:after="0" w:afterAutospacing="0"/>
              <w:ind w:left="0" w:right="0" w:firstLine="480"/>
              <w:jc w:val="both"/>
              <w:rPr>
                <w:rFonts w:hint="eastAsia" w:cs="Times New Roman"/>
                <w:color w:val="auto"/>
              </w:rPr>
            </w:pPr>
            <w:r>
              <w:rPr>
                <w:rFonts w:hint="eastAsia" w:cs="Times New Roman"/>
                <w:color w:val="auto"/>
              </w:rPr>
              <w:t>2、大气污染物总量控制指标：</w:t>
            </w:r>
          </w:p>
          <w:p w14:paraId="2AC1A93F">
            <w:pPr>
              <w:pStyle w:val="10"/>
              <w:keepNext w:val="0"/>
              <w:keepLines w:val="0"/>
              <w:suppressLineNumbers w:val="0"/>
              <w:spacing w:beforeAutospacing="0" w:afterAutospacing="0"/>
              <w:ind w:left="0" w:firstLine="480" w:firstLineChars="200"/>
              <w:jc w:val="both"/>
              <w:rPr>
                <w:rFonts w:hint="eastAsia"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根据工程分析可知本项目不涉及废气总量控制指标。</w:t>
            </w:r>
          </w:p>
        </w:tc>
      </w:tr>
    </w:tbl>
    <w:p w14:paraId="2E9AA5B9">
      <w:pPr>
        <w:pStyle w:val="24"/>
        <w:jc w:val="center"/>
        <w:outlineLvl w:val="0"/>
        <w:rPr>
          <w:rFonts w:ascii="黑体" w:hAnsi="黑体" w:eastAsia="黑体"/>
          <w:snapToGrid w:val="0"/>
          <w:color w:val="auto"/>
          <w:sz w:val="30"/>
          <w:szCs w:val="30"/>
        </w:rPr>
      </w:pPr>
      <w:r>
        <w:rPr>
          <w:rFonts w:ascii="黑体" w:hAnsi="黑体" w:eastAsia="黑体"/>
          <w:snapToGrid w:val="0"/>
          <w:color w:val="auto"/>
          <w:kern w:val="2"/>
          <w:sz w:val="36"/>
          <w:szCs w:val="36"/>
        </w:rPr>
        <w:br w:type="page"/>
      </w:r>
      <w:r>
        <w:rPr>
          <w:rFonts w:hint="eastAsia" w:ascii="黑体" w:hAnsi="黑体" w:eastAsia="黑体"/>
          <w:snapToGrid w:val="0"/>
          <w:color w:val="auto"/>
          <w:sz w:val="30"/>
          <w:szCs w:val="30"/>
        </w:rPr>
        <w:t>四、生态环境影响分析</w:t>
      </w:r>
    </w:p>
    <w:tbl>
      <w:tblPr>
        <w:tblStyle w:val="28"/>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56"/>
        <w:gridCol w:w="8084"/>
      </w:tblGrid>
      <w:tr w14:paraId="523960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211" w:type="pct"/>
            <w:noWrap w:val="0"/>
            <w:tcMar>
              <w:left w:w="28" w:type="dxa"/>
              <w:right w:w="28" w:type="dxa"/>
            </w:tcMar>
            <w:vAlign w:val="center"/>
          </w:tcPr>
          <w:p w14:paraId="02D498C7">
            <w:pPr>
              <w:pStyle w:val="24"/>
              <w:keepNext w:val="0"/>
              <w:keepLines w:val="0"/>
              <w:suppressLineNumbers w:val="0"/>
              <w:adjustRightInd w:val="0"/>
              <w:snapToGrid w:val="0"/>
              <w:spacing w:before="0" w:beforeAutospacing="0" w:after="0" w:afterAutospacing="0"/>
              <w:ind w:left="0" w:right="0"/>
              <w:jc w:val="center"/>
              <w:rPr>
                <w:rFonts w:hint="default" w:cs="宋体"/>
                <w:bCs/>
                <w:color w:val="auto"/>
                <w:kern w:val="2"/>
                <w:sz w:val="21"/>
                <w:szCs w:val="21"/>
                <w:lang w:val="en-US" w:eastAsia="zh-CN"/>
              </w:rPr>
            </w:pPr>
            <w:bookmarkStart w:id="50" w:name="_Hlk49796138"/>
            <w:r>
              <w:rPr>
                <w:rFonts w:hint="eastAsia" w:cs="宋体"/>
                <w:bCs/>
                <w:color w:val="auto"/>
                <w:spacing w:val="10"/>
                <w:kern w:val="2"/>
                <w:sz w:val="22"/>
                <w:szCs w:val="22"/>
                <w:lang w:val="en-US" w:eastAsia="zh-CN"/>
              </w:rPr>
              <w:t>施工期生态环境影响分析</w:t>
            </w:r>
            <w:bookmarkEnd w:id="50"/>
          </w:p>
        </w:tc>
        <w:tc>
          <w:tcPr>
            <w:tcW w:w="4788" w:type="pct"/>
            <w:noWrap w:val="0"/>
            <w:vAlign w:val="top"/>
          </w:tcPr>
          <w:p w14:paraId="4AA01353">
            <w:pPr>
              <w:pStyle w:val="17"/>
              <w:keepNext w:val="0"/>
              <w:keepLines w:val="0"/>
              <w:pageBreakBefore w:val="0"/>
              <w:numPr>
                <w:ilvl w:val="0"/>
                <w:numId w:val="13"/>
              </w:numPr>
              <w:suppressLineNumbers w:val="0"/>
              <w:kinsoku/>
              <w:wordWrap/>
              <w:overflowPunct/>
              <w:topLinePunct w:val="0"/>
              <w:autoSpaceDE/>
              <w:autoSpaceDN/>
              <w:bidi w:val="0"/>
              <w:adjustRightInd w:val="0"/>
              <w:snapToGrid w:val="0"/>
              <w:spacing w:before="0" w:beforeAutospacing="0" w:after="0" w:afterAutospacing="0" w:line="360" w:lineRule="auto"/>
              <w:ind w:left="-60" w:leftChars="0" w:right="0" w:firstLine="480" w:firstLineChars="0"/>
              <w:textAlignment w:val="auto"/>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生态影响分析</w:t>
            </w:r>
          </w:p>
          <w:p w14:paraId="4871E1D9">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本项目是在工广内现有场地进行瓦斯泵房建设及站内管路搭建、设备新增和更换，施工工期约5个月。项目不涉及新增占地，现有占地类型为工业用地。场地现状场地为已硬化地面。项目施工过程中地面开挖会产生少量水土流失，但项目工程量小，项目施工对水土流失影响很小</w:t>
            </w:r>
            <w:r>
              <w:rPr>
                <w:rFonts w:hint="eastAsia" w:ascii="Times New Roman" w:hAnsi="Times New Roman" w:eastAsia="宋体" w:cs="Times New Roman"/>
                <w:color w:val="auto"/>
                <w:sz w:val="24"/>
                <w:lang w:eastAsia="zh-CN"/>
              </w:rPr>
              <w:t>，项目建设</w:t>
            </w:r>
            <w:r>
              <w:rPr>
                <w:rFonts w:hint="eastAsia" w:ascii="Times New Roman" w:hAnsi="Times New Roman" w:eastAsia="宋体" w:cs="Times New Roman"/>
                <w:color w:val="auto"/>
                <w:sz w:val="24"/>
                <w:lang w:val="en-US" w:eastAsia="zh-CN"/>
              </w:rPr>
              <w:t>对</w:t>
            </w:r>
            <w:r>
              <w:rPr>
                <w:rFonts w:hint="eastAsia" w:ascii="Times New Roman" w:hAnsi="Times New Roman" w:eastAsia="宋体" w:cs="Times New Roman"/>
                <w:color w:val="auto"/>
                <w:sz w:val="24"/>
                <w:lang w:eastAsia="zh-CN"/>
              </w:rPr>
              <w:t>生态环境影响很小。</w:t>
            </w:r>
          </w:p>
          <w:p w14:paraId="03067698">
            <w:pPr>
              <w:pStyle w:val="17"/>
              <w:keepNext w:val="0"/>
              <w:keepLines w:val="0"/>
              <w:pageBreakBefore w:val="0"/>
              <w:numPr>
                <w:ilvl w:val="0"/>
                <w:numId w:val="13"/>
              </w:numPr>
              <w:suppressLineNumbers w:val="0"/>
              <w:kinsoku/>
              <w:wordWrap/>
              <w:overflowPunct/>
              <w:topLinePunct w:val="0"/>
              <w:autoSpaceDE/>
              <w:autoSpaceDN/>
              <w:bidi w:val="0"/>
              <w:adjustRightInd w:val="0"/>
              <w:snapToGrid w:val="0"/>
              <w:spacing w:before="0" w:beforeAutospacing="0" w:after="0" w:afterAutospacing="0" w:line="360" w:lineRule="auto"/>
              <w:ind w:left="-60" w:leftChars="0" w:right="0" w:firstLine="48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污染影响分析</w:t>
            </w:r>
          </w:p>
          <w:p w14:paraId="63EC2D9D">
            <w:pPr>
              <w:keepNext w:val="0"/>
              <w:keepLines w:val="0"/>
              <w:suppressLineNumbers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项目施工过程中主要污染影响为施工扬尘、施工机械尾气、焊接烟气、施工人员生活污水、施工设备噪声、建筑垃圾及人员生活垃圾等。</w:t>
            </w:r>
          </w:p>
          <w:p w14:paraId="50F83389">
            <w:pPr>
              <w:pStyle w:val="2"/>
              <w:keepLines w:val="0"/>
              <w:pageBreakBefore w:val="0"/>
              <w:numPr>
                <w:ilvl w:val="0"/>
                <w:numId w:val="0"/>
              </w:numPr>
              <w:suppressLineNumbers w:val="0"/>
              <w:kinsoku/>
              <w:wordWrap/>
              <w:topLinePunct w:val="0"/>
              <w:autoSpaceDE/>
              <w:autoSpaceDN/>
              <w:bidi w:val="0"/>
              <w:adjustRightInd/>
              <w:spacing w:before="0" w:beforeAutospacing="0" w:after="0" w:afterAutospacing="0" w:line="360" w:lineRule="auto"/>
              <w:ind w:leftChars="-4" w:right="0" w:firstLine="480" w:firstLineChars="200"/>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一、施工期水环境影响</w:t>
            </w:r>
          </w:p>
          <w:p w14:paraId="13A3F710">
            <w:pPr>
              <w:pStyle w:val="2"/>
              <w:keepLines w:val="0"/>
              <w:pageBreakBefore w:val="0"/>
              <w:numPr>
                <w:ilvl w:val="0"/>
                <w:numId w:val="0"/>
              </w:numPr>
              <w:suppressLineNumbers w:val="0"/>
              <w:kinsoku/>
              <w:wordWrap/>
              <w:topLinePunct w:val="0"/>
              <w:autoSpaceDE/>
              <w:autoSpaceDN/>
              <w:bidi w:val="0"/>
              <w:adjustRightInd/>
              <w:spacing w:before="0" w:beforeAutospacing="0" w:after="0" w:afterAutospacing="0" w:line="360" w:lineRule="auto"/>
              <w:ind w:leftChars="-4" w:right="0" w:firstLine="480" w:firstLineChars="200"/>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施工人员生活污水：本项目施工期人员约</w:t>
            </w:r>
            <w:r>
              <w:rPr>
                <w:rFonts w:hint="default" w:ascii="Times New Roman" w:hAnsi="Times New Roman" w:eastAsia="宋体" w:cs="Times New Roman"/>
                <w:b w:val="0"/>
                <w:bCs w:val="0"/>
                <w:color w:val="auto"/>
                <w:kern w:val="2"/>
                <w:sz w:val="24"/>
                <w:szCs w:val="24"/>
                <w:lang w:val="en-US" w:eastAsia="zh-CN" w:bidi="ar-SA"/>
              </w:rPr>
              <w:t>10</w:t>
            </w:r>
            <w:r>
              <w:rPr>
                <w:rFonts w:hint="eastAsia" w:ascii="Times New Roman" w:hAnsi="Times New Roman" w:eastAsia="宋体" w:cs="Times New Roman"/>
                <w:b w:val="0"/>
                <w:bCs w:val="0"/>
                <w:color w:val="auto"/>
                <w:kern w:val="2"/>
                <w:sz w:val="24"/>
                <w:szCs w:val="24"/>
                <w:lang w:val="en-US" w:eastAsia="zh-CN" w:bidi="ar-SA"/>
              </w:rPr>
              <w:t>人，施工人员生活用水量以80</w:t>
            </w:r>
            <w:r>
              <w:rPr>
                <w:rFonts w:hint="default" w:ascii="Times New Roman" w:hAnsi="Times New Roman" w:eastAsia="宋体" w:cs="Times New Roman"/>
                <w:b w:val="0"/>
                <w:bCs w:val="0"/>
                <w:color w:val="auto"/>
                <w:kern w:val="2"/>
                <w:sz w:val="24"/>
                <w:szCs w:val="24"/>
                <w:lang w:val="en-US" w:eastAsia="zh-CN" w:bidi="ar-SA"/>
              </w:rPr>
              <w:t>L/</w:t>
            </w:r>
            <w:r>
              <w:rPr>
                <w:rFonts w:hint="eastAsia" w:ascii="Times New Roman" w:hAnsi="Times New Roman" w:eastAsia="宋体" w:cs="Times New Roman"/>
                <w:b w:val="0"/>
                <w:bCs w:val="0"/>
                <w:color w:val="auto"/>
                <w:kern w:val="2"/>
                <w:sz w:val="24"/>
                <w:szCs w:val="24"/>
                <w:lang w:val="en-US" w:eastAsia="zh-CN" w:bidi="ar-SA"/>
              </w:rPr>
              <w:t>人</w:t>
            </w:r>
            <w:r>
              <w:rPr>
                <w:rFonts w:hint="default" w:ascii="Times New Roman" w:hAnsi="Times New Roman" w:eastAsia="宋体" w:cs="Times New Roman"/>
                <w:b w:val="0"/>
                <w:bCs w:val="0"/>
                <w:color w:val="auto"/>
                <w:kern w:val="2"/>
                <w:sz w:val="24"/>
                <w:szCs w:val="24"/>
                <w:lang w:val="en-US" w:eastAsia="zh-CN" w:bidi="ar-SA"/>
              </w:rPr>
              <w:t xml:space="preserve">·d </w:t>
            </w:r>
            <w:r>
              <w:rPr>
                <w:rFonts w:hint="eastAsia" w:ascii="Times New Roman" w:hAnsi="Times New Roman" w:eastAsia="宋体" w:cs="Times New Roman"/>
                <w:b w:val="0"/>
                <w:bCs w:val="0"/>
                <w:color w:val="auto"/>
                <w:kern w:val="2"/>
                <w:sz w:val="24"/>
                <w:szCs w:val="24"/>
                <w:lang w:val="en-US" w:eastAsia="zh-CN" w:bidi="ar-SA"/>
              </w:rPr>
              <w:t>计，生活污水产生量以</w:t>
            </w:r>
            <w:r>
              <w:rPr>
                <w:rFonts w:hint="default" w:ascii="Times New Roman" w:hAnsi="Times New Roman" w:eastAsia="宋体" w:cs="Times New Roman"/>
                <w:b w:val="0"/>
                <w:bCs w:val="0"/>
                <w:color w:val="auto"/>
                <w:kern w:val="2"/>
                <w:sz w:val="24"/>
                <w:szCs w:val="24"/>
                <w:lang w:val="en-US" w:eastAsia="zh-CN" w:bidi="ar-SA"/>
              </w:rPr>
              <w:t>80%</w:t>
            </w:r>
            <w:r>
              <w:rPr>
                <w:rFonts w:hint="eastAsia" w:ascii="Times New Roman" w:hAnsi="Times New Roman" w:eastAsia="宋体" w:cs="Times New Roman"/>
                <w:b w:val="0"/>
                <w:bCs w:val="0"/>
                <w:color w:val="auto"/>
                <w:kern w:val="2"/>
                <w:sz w:val="24"/>
                <w:szCs w:val="24"/>
                <w:lang w:val="en-US" w:eastAsia="zh-CN" w:bidi="ar-SA"/>
              </w:rPr>
              <w:t>计，则施工人员生活污水产生量为</w:t>
            </w:r>
            <w:r>
              <w:rPr>
                <w:rFonts w:hint="default" w:ascii="Times New Roman" w:hAnsi="Times New Roman" w:eastAsia="宋体" w:cs="Times New Roman"/>
                <w:b w:val="0"/>
                <w:bCs w:val="0"/>
                <w:color w:val="auto"/>
                <w:kern w:val="2"/>
                <w:sz w:val="24"/>
                <w:szCs w:val="24"/>
                <w:lang w:val="en-US" w:eastAsia="zh-CN" w:bidi="ar-SA"/>
              </w:rPr>
              <w:t>0.</w:t>
            </w:r>
            <w:r>
              <w:rPr>
                <w:rFonts w:hint="eastAsia" w:ascii="Times New Roman" w:hAnsi="Times New Roman" w:eastAsia="宋体" w:cs="Times New Roman"/>
                <w:b w:val="0"/>
                <w:bCs w:val="0"/>
                <w:color w:val="auto"/>
                <w:kern w:val="2"/>
                <w:sz w:val="24"/>
                <w:szCs w:val="24"/>
                <w:lang w:val="en-US" w:eastAsia="zh-CN" w:bidi="ar-SA"/>
              </w:rPr>
              <w:t>64</w:t>
            </w:r>
            <w:r>
              <w:rPr>
                <w:rFonts w:hint="default" w:ascii="Times New Roman" w:hAnsi="Times New Roman" w:eastAsia="宋体" w:cs="Times New Roman"/>
                <w:b w:val="0"/>
                <w:bCs w:val="0"/>
                <w:color w:val="auto"/>
                <w:kern w:val="2"/>
                <w:sz w:val="24"/>
                <w:szCs w:val="24"/>
                <w:lang w:val="en-US" w:eastAsia="zh-CN" w:bidi="ar-SA"/>
              </w:rPr>
              <w:t>m3 /d</w:t>
            </w:r>
            <w:r>
              <w:rPr>
                <w:rFonts w:hint="eastAsia" w:ascii="Times New Roman" w:hAnsi="Times New Roman" w:eastAsia="宋体" w:cs="Times New Roman"/>
                <w:b w:val="0"/>
                <w:bCs w:val="0"/>
                <w:color w:val="auto"/>
                <w:kern w:val="2"/>
                <w:sz w:val="24"/>
                <w:szCs w:val="24"/>
                <w:lang w:val="en-US" w:eastAsia="zh-CN" w:bidi="ar-SA"/>
              </w:rPr>
              <w:t>。生活污水中主要污染物为SS、COD、BOD、氨氮，水质较为简单，经现有生活污水处理站处理后部分回用于生产，剩余部分通过废水总排口排放至永幸河。废水排放执行《煤炭工业污染物排放标准》</w:t>
            </w:r>
            <w:r>
              <w:rPr>
                <w:rFonts w:hint="default" w:ascii="Times New Roman" w:hAnsi="Times New Roman" w:eastAsia="宋体" w:cs="Times New Roman"/>
                <w:b w:val="0"/>
                <w:bCs w:val="0"/>
                <w:color w:val="auto"/>
                <w:kern w:val="2"/>
                <w:sz w:val="24"/>
                <w:szCs w:val="24"/>
                <w:lang w:val="en-US" w:eastAsia="zh-CN" w:bidi="ar-SA"/>
              </w:rPr>
              <w:t>(GB20426</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2006)</w:t>
            </w:r>
            <w:r>
              <w:rPr>
                <w:rFonts w:hint="eastAsia" w:ascii="Times New Roman" w:hAnsi="Times New Roman" w:eastAsia="宋体" w:cs="Times New Roman"/>
                <w:b w:val="0"/>
                <w:bCs w:val="0"/>
                <w:color w:val="auto"/>
                <w:kern w:val="2"/>
                <w:sz w:val="24"/>
                <w:szCs w:val="24"/>
                <w:lang w:val="en-US" w:eastAsia="zh-CN" w:bidi="ar-SA"/>
              </w:rPr>
              <w:t>新建</w:t>
            </w:r>
            <w:r>
              <w:rPr>
                <w:rFonts w:hint="default" w:ascii="Times New Roman" w:hAnsi="Times New Roman" w:eastAsia="宋体"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kern w:val="2"/>
                <w:sz w:val="24"/>
                <w:szCs w:val="24"/>
                <w:lang w:val="en-US" w:eastAsia="zh-CN" w:bidi="ar-SA"/>
              </w:rPr>
              <w:t>改、扩</w:t>
            </w:r>
            <w:r>
              <w:rPr>
                <w:rFonts w:hint="default" w:ascii="Times New Roman" w:hAnsi="Times New Roman" w:eastAsia="宋体"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kern w:val="2"/>
                <w:sz w:val="24"/>
                <w:szCs w:val="24"/>
                <w:lang w:val="en-US" w:eastAsia="zh-CN" w:bidi="ar-SA"/>
              </w:rPr>
              <w:t>生产线标准，氨氮、</w:t>
            </w:r>
            <w:r>
              <w:rPr>
                <w:rFonts w:hint="default" w:ascii="Times New Roman" w:hAnsi="Times New Roman" w:eastAsia="宋体" w:cs="Times New Roman"/>
                <w:b w:val="0"/>
                <w:bCs w:val="0"/>
                <w:color w:val="auto"/>
                <w:kern w:val="2"/>
                <w:sz w:val="24"/>
                <w:szCs w:val="24"/>
                <w:lang w:val="en-US" w:eastAsia="zh-CN" w:bidi="ar-SA"/>
              </w:rPr>
              <w:t>BOD5</w:t>
            </w:r>
            <w:r>
              <w:rPr>
                <w:rFonts w:hint="eastAsia" w:ascii="Times New Roman" w:hAnsi="Times New Roman" w:eastAsia="宋体" w:cs="Times New Roman"/>
                <w:b w:val="0"/>
                <w:bCs w:val="0"/>
                <w:color w:val="auto"/>
                <w:kern w:val="2"/>
                <w:sz w:val="24"/>
                <w:szCs w:val="24"/>
                <w:lang w:val="en-US" w:eastAsia="zh-CN" w:bidi="ar-SA"/>
              </w:rPr>
              <w:t>执行《污水综合排放标准》中的一级标准。</w:t>
            </w:r>
          </w:p>
          <w:p w14:paraId="7D8FD6F5">
            <w:pPr>
              <w:keepNext w:val="0"/>
              <w:keepLines w:val="0"/>
              <w:pageBreakBefore w:val="0"/>
              <w:widowControl/>
              <w:suppressLineNumbers w:val="0"/>
              <w:kinsoku/>
              <w:wordWrap/>
              <w:topLinePunct w:val="0"/>
              <w:autoSpaceDE/>
              <w:autoSpaceDN/>
              <w:bidi w:val="0"/>
              <w:adjustRightInd/>
              <w:spacing w:before="0" w:beforeAutospacing="0" w:after="0" w:afterAutospacing="0" w:line="360" w:lineRule="auto"/>
              <w:ind w:left="0" w:leftChars="0" w:right="0" w:firstLine="482" w:firstLineChars="200"/>
              <w:jc w:val="left"/>
              <w:textAlignment w:val="auto"/>
              <w:rPr>
                <w:rFonts w:hint="eastAsia" w:eastAsia="宋体" w:cs="Times New Roman"/>
                <w:color w:val="auto"/>
                <w:lang w:eastAsia="zh-CN"/>
              </w:rPr>
            </w:pPr>
            <w:r>
              <w:rPr>
                <w:rFonts w:hint="eastAsia" w:cs="Times New Roman"/>
                <w:b/>
                <w:color w:val="auto"/>
                <w:sz w:val="24"/>
              </w:rPr>
              <w:t>二、施工期大气</w:t>
            </w:r>
            <w:r>
              <w:rPr>
                <w:rFonts w:hint="eastAsia" w:cs="Times New Roman"/>
                <w:b/>
                <w:color w:val="auto"/>
                <w:sz w:val="24"/>
                <w:lang w:eastAsia="zh-CN"/>
              </w:rPr>
              <w:t>环境影响</w:t>
            </w:r>
          </w:p>
          <w:p w14:paraId="48668846">
            <w:pPr>
              <w:pStyle w:val="2"/>
              <w:keepLines w:val="0"/>
              <w:pageBreakBefore w:val="0"/>
              <w:numPr>
                <w:ilvl w:val="0"/>
                <w:numId w:val="0"/>
              </w:numPr>
              <w:suppressLineNumbers w:val="0"/>
              <w:kinsoku/>
              <w:wordWrap/>
              <w:topLinePunct w:val="0"/>
              <w:autoSpaceDE/>
              <w:autoSpaceDN/>
              <w:bidi w:val="0"/>
              <w:adjustRightInd/>
              <w:spacing w:before="0" w:beforeAutospacing="0" w:after="0" w:afterAutospacing="0" w:line="360" w:lineRule="auto"/>
              <w:ind w:leftChars="-4" w:right="0"/>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    1）施工扬尘：</w:t>
            </w:r>
          </w:p>
          <w:p w14:paraId="7732A0B4">
            <w:pPr>
              <w:keepNext w:val="0"/>
              <w:keepLines w:val="0"/>
              <w:widowControl w:val="0"/>
              <w:numPr>
                <w:ilvl w:val="0"/>
                <w:numId w:val="0"/>
              </w:numPr>
              <w:suppressLineNumbers w:val="0"/>
              <w:spacing w:before="0" w:beforeAutospacing="0" w:after="0" w:afterAutospacing="0" w:line="360" w:lineRule="auto"/>
              <w:ind w:left="0" w:right="0" w:firstLine="480" w:firstLineChars="200"/>
              <w:jc w:val="both"/>
              <w:rPr>
                <w:rFonts w:hint="default" w:cs="Times New Roman"/>
                <w:color w:val="auto"/>
                <w:lang w:val="en-US" w:eastAsia="zh-CN"/>
              </w:rPr>
            </w:pPr>
            <w:r>
              <w:rPr>
                <w:rFonts w:hint="eastAsia" w:ascii="Times New Roman" w:hAnsi="Times New Roman" w:eastAsia="宋体" w:cs="Times New Roman"/>
                <w:color w:val="auto"/>
                <w:sz w:val="24"/>
                <w:lang w:val="en-US" w:eastAsia="zh-CN"/>
              </w:rPr>
              <w:t>项目施工期扬尘主要来自于泵房建设、设备拆除及</w:t>
            </w:r>
            <w:r>
              <w:rPr>
                <w:rFonts w:hint="default" w:ascii="Times New Roman" w:hAnsi="Times New Roman" w:eastAsia="宋体" w:cs="Times New Roman"/>
                <w:color w:val="auto"/>
                <w:sz w:val="24"/>
                <w:lang w:val="en-US" w:eastAsia="zh-CN"/>
              </w:rPr>
              <w:t>抽采管路</w:t>
            </w:r>
            <w:r>
              <w:rPr>
                <w:rFonts w:hint="eastAsia" w:ascii="Times New Roman" w:hAnsi="Times New Roman" w:eastAsia="宋体" w:cs="Times New Roman"/>
                <w:color w:val="auto"/>
                <w:sz w:val="24"/>
                <w:lang w:val="en-US" w:eastAsia="zh-CN"/>
              </w:rPr>
              <w:t>施工等。</w:t>
            </w:r>
            <w:r>
              <w:rPr>
                <w:rFonts w:hint="eastAsia" w:ascii="Times New Roman" w:hAnsi="Times New Roman" w:eastAsia="宋体" w:cs="Times New Roman"/>
                <w:bCs/>
                <w:color w:val="auto"/>
                <w:sz w:val="24"/>
                <w:highlight w:val="none"/>
                <w:lang w:eastAsia="zh-CN"/>
              </w:rPr>
              <w:t>项目施工时在</w:t>
            </w:r>
            <w:r>
              <w:rPr>
                <w:rFonts w:hint="default" w:ascii="Times New Roman" w:hAnsi="Times New Roman" w:cs="Times New Roman"/>
                <w:bCs/>
                <w:color w:val="auto"/>
                <w:sz w:val="24"/>
                <w:highlight w:val="none"/>
              </w:rPr>
              <w:t>易产尘施工点采取湿式作业、</w:t>
            </w:r>
            <w:r>
              <w:rPr>
                <w:rFonts w:hint="eastAsia" w:ascii="Times New Roman" w:hAnsi="Times New Roman" w:cs="Times New Roman"/>
                <w:bCs/>
                <w:color w:val="auto"/>
                <w:sz w:val="24"/>
                <w:highlight w:val="none"/>
                <w:lang w:eastAsia="zh-CN"/>
              </w:rPr>
              <w:t>施工现场</w:t>
            </w:r>
            <w:r>
              <w:rPr>
                <w:rFonts w:hint="eastAsia" w:cs="Times New Roman"/>
                <w:bCs/>
                <w:color w:val="auto"/>
                <w:sz w:val="24"/>
                <w:highlight w:val="none"/>
                <w:lang w:eastAsia="zh-CN"/>
              </w:rPr>
              <w:t>定期</w:t>
            </w:r>
            <w:r>
              <w:rPr>
                <w:rFonts w:hint="default" w:ascii="Times New Roman" w:hAnsi="Times New Roman" w:cs="Times New Roman"/>
                <w:bCs/>
                <w:color w:val="auto"/>
                <w:sz w:val="24"/>
                <w:highlight w:val="none"/>
              </w:rPr>
              <w:t>洒水抑尘、</w:t>
            </w:r>
            <w:r>
              <w:rPr>
                <w:rFonts w:hint="eastAsia" w:ascii="Times New Roman" w:hAnsi="Times New Roman" w:cs="Times New Roman"/>
                <w:bCs/>
                <w:color w:val="auto"/>
                <w:sz w:val="24"/>
                <w:highlight w:val="none"/>
                <w:lang w:eastAsia="zh-CN"/>
              </w:rPr>
              <w:t>施工</w:t>
            </w:r>
            <w:r>
              <w:rPr>
                <w:rFonts w:hint="default" w:ascii="Times New Roman" w:hAnsi="Times New Roman" w:cs="Times New Roman"/>
                <w:bCs/>
                <w:color w:val="auto"/>
                <w:sz w:val="24"/>
                <w:highlight w:val="none"/>
              </w:rPr>
              <w:t>道路采取定点洒水等措施，可有效降低扬尘产生量，</w:t>
            </w:r>
            <w:r>
              <w:rPr>
                <w:rFonts w:hint="default" w:ascii="Times New Roman" w:hAnsi="Times New Roman" w:cs="Times New Roman"/>
                <w:bCs/>
                <w:color w:val="auto"/>
                <w:sz w:val="24"/>
                <w:highlight w:val="none"/>
                <w:lang w:eastAsia="zh-CN"/>
              </w:rPr>
              <w:t>项目施工结束后</w:t>
            </w:r>
            <w:r>
              <w:rPr>
                <w:rFonts w:hint="default" w:ascii="Times New Roman" w:hAnsi="Times New Roman" w:cs="Times New Roman"/>
                <w:bCs/>
                <w:color w:val="auto"/>
                <w:sz w:val="24"/>
                <w:highlight w:val="none"/>
              </w:rPr>
              <w:t>影响即可消失，无长期影响，</w:t>
            </w:r>
            <w:r>
              <w:rPr>
                <w:rFonts w:hint="eastAsia" w:ascii="Times New Roman" w:hAnsi="Times New Roman" w:eastAsia="宋体" w:cs="Times New Roman"/>
                <w:b w:val="0"/>
                <w:bCs w:val="0"/>
                <w:color w:val="auto"/>
                <w:kern w:val="2"/>
                <w:sz w:val="24"/>
                <w:szCs w:val="24"/>
                <w:lang w:val="en-US" w:eastAsia="zh-CN" w:bidi="ar-SA"/>
              </w:rPr>
              <w:t>施工扬尘</w:t>
            </w:r>
            <w:r>
              <w:rPr>
                <w:rFonts w:hint="default" w:ascii="Times New Roman" w:hAnsi="Times New Roman" w:cs="Times New Roman"/>
                <w:bCs/>
                <w:color w:val="auto"/>
                <w:sz w:val="24"/>
                <w:highlight w:val="none"/>
              </w:rPr>
              <w:t>对区域环境影响小。</w:t>
            </w:r>
          </w:p>
          <w:p w14:paraId="4EB52D39">
            <w:pPr>
              <w:keepNext w:val="0"/>
              <w:keepLines w:val="0"/>
              <w:suppressLineNumbers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2）施工机械燃油尾气</w:t>
            </w:r>
          </w:p>
          <w:p w14:paraId="7BF21371">
            <w:pPr>
              <w:pStyle w:val="48"/>
              <w:numPr>
                <w:ilvl w:val="0"/>
                <w:numId w:val="0"/>
              </w:numPr>
              <w:suppressLineNumbers w:val="0"/>
              <w:adjustRightInd/>
              <w:spacing w:beforeAutospacing="0" w:afterAutospacing="0" w:line="360" w:lineRule="auto"/>
              <w:ind w:left="0" w:right="0" w:firstLine="480" w:firstLineChars="200"/>
              <w:jc w:val="both"/>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项目施工过程中各类燃油动力机械</w:t>
            </w:r>
            <w:r>
              <w:rPr>
                <w:rFonts w:hint="eastAsia" w:ascii="Times New Roman" w:hAnsi="Times New Roman" w:eastAsia="宋体" w:cs="Times New Roman"/>
                <w:b w:val="0"/>
                <w:bCs w:val="0"/>
                <w:color w:val="auto"/>
                <w:sz w:val="24"/>
                <w:szCs w:val="24"/>
                <w:lang w:eastAsia="zh-CN"/>
              </w:rPr>
              <w:t>作业时</w:t>
            </w:r>
            <w:r>
              <w:rPr>
                <w:rFonts w:hint="default" w:ascii="Times New Roman" w:hAnsi="Times New Roman" w:eastAsia="宋体" w:cs="Times New Roman"/>
                <w:b w:val="0"/>
                <w:bCs w:val="0"/>
                <w:color w:val="auto"/>
                <w:sz w:val="24"/>
                <w:szCs w:val="24"/>
                <w:lang w:eastAsia="zh-CN"/>
              </w:rPr>
              <w:t>排放的废气中含CO</w:t>
            </w:r>
            <w:r>
              <w:rPr>
                <w:rFonts w:hint="eastAsia" w:ascii="Times New Roman" w:hAnsi="Times New Roman" w:eastAsia="宋体" w:cs="Times New Roman"/>
                <w:b w:val="0"/>
                <w:bCs w:val="0"/>
                <w:color w:val="auto"/>
                <w:sz w:val="24"/>
                <w:szCs w:val="24"/>
                <w:lang w:eastAsia="zh-CN"/>
              </w:rPr>
              <w:t>、</w:t>
            </w:r>
            <w:r>
              <w:rPr>
                <w:rFonts w:hint="eastAsia" w:ascii="Times New Roman" w:hAnsi="Times New Roman" w:eastAsia="宋体" w:cs="Times New Roman"/>
                <w:b w:val="0"/>
                <w:bCs w:val="0"/>
                <w:color w:val="auto"/>
                <w:sz w:val="24"/>
                <w:szCs w:val="24"/>
                <w:lang w:val="en-US" w:eastAsia="zh-CN"/>
              </w:rPr>
              <w:t>CH及</w:t>
            </w:r>
            <w:r>
              <w:rPr>
                <w:rFonts w:hint="default" w:ascii="Times New Roman" w:hAnsi="Times New Roman" w:eastAsia="宋体" w:cs="Times New Roman"/>
                <w:b w:val="0"/>
                <w:bCs w:val="0"/>
                <w:color w:val="auto"/>
                <w:sz w:val="24"/>
                <w:szCs w:val="24"/>
                <w:lang w:eastAsia="zh-CN"/>
              </w:rPr>
              <w:t>NOx等污染物</w:t>
            </w:r>
            <w:r>
              <w:rPr>
                <w:rFonts w:hint="eastAsia" w:ascii="Times New Roman" w:hAnsi="Times New Roman" w:eastAsia="宋体" w:cs="Times New Roman"/>
                <w:b w:val="0"/>
                <w:bCs w:val="0"/>
                <w:color w:val="auto"/>
                <w:sz w:val="24"/>
                <w:szCs w:val="24"/>
                <w:lang w:eastAsia="zh-CN"/>
              </w:rPr>
              <w:t>。本项目</w:t>
            </w:r>
            <w:r>
              <w:rPr>
                <w:rFonts w:hint="eastAsia" w:ascii="Times New Roman" w:hAnsi="Times New Roman" w:eastAsia="宋体" w:cs="Times New Roman"/>
                <w:b w:val="0"/>
                <w:bCs w:val="0"/>
                <w:color w:val="auto"/>
                <w:sz w:val="24"/>
                <w:szCs w:val="24"/>
                <w:lang w:val="en-US" w:eastAsia="zh-CN"/>
              </w:rPr>
              <w:t>工程量小，且</w:t>
            </w:r>
            <w:r>
              <w:rPr>
                <w:rFonts w:hint="default" w:ascii="Times New Roman" w:hAnsi="Times New Roman" w:eastAsia="宋体" w:cs="Times New Roman"/>
                <w:b w:val="0"/>
                <w:bCs w:val="0"/>
                <w:color w:val="auto"/>
                <w:sz w:val="24"/>
                <w:szCs w:val="24"/>
                <w:lang w:eastAsia="zh-CN"/>
              </w:rPr>
              <w:t>燃油机械</w:t>
            </w:r>
            <w:r>
              <w:rPr>
                <w:rFonts w:hint="eastAsia" w:ascii="Times New Roman" w:hAnsi="Times New Roman" w:eastAsia="宋体" w:cs="Times New Roman"/>
                <w:b w:val="0"/>
                <w:bCs w:val="0"/>
                <w:color w:val="auto"/>
                <w:sz w:val="24"/>
                <w:szCs w:val="24"/>
                <w:lang w:eastAsia="zh-CN"/>
              </w:rPr>
              <w:t>使用</w:t>
            </w:r>
            <w:r>
              <w:rPr>
                <w:rFonts w:hint="default" w:ascii="Times New Roman" w:hAnsi="Times New Roman" w:eastAsia="宋体" w:cs="Times New Roman"/>
                <w:b w:val="0"/>
                <w:bCs w:val="0"/>
                <w:color w:val="auto"/>
                <w:sz w:val="24"/>
                <w:szCs w:val="24"/>
                <w:lang w:eastAsia="zh-CN"/>
              </w:rPr>
              <w:t>为间断</w:t>
            </w:r>
            <w:r>
              <w:rPr>
                <w:rFonts w:hint="eastAsia" w:ascii="Times New Roman" w:hAnsi="Times New Roman" w:eastAsia="宋体" w:cs="Times New Roman"/>
                <w:b w:val="0"/>
                <w:bCs w:val="0"/>
                <w:color w:val="auto"/>
                <w:sz w:val="24"/>
                <w:szCs w:val="24"/>
                <w:lang w:eastAsia="zh-CN"/>
              </w:rPr>
              <w:t>使用</w:t>
            </w:r>
            <w:r>
              <w:rPr>
                <w:rFonts w:hint="eastAsia" w:ascii="Times New Roman" w:hAnsi="Times New Roman" w:eastAsia="宋体" w:cs="Times New Roman"/>
                <w:b w:val="0"/>
                <w:bCs w:val="0"/>
                <w:color w:val="auto"/>
                <w:sz w:val="24"/>
                <w:szCs w:val="24"/>
                <w:lang w:val="en-US" w:eastAsia="zh-CN"/>
              </w:rPr>
              <w:t>，施工场地处于较空旷的地点，污染物扩散条件好，因此机械燃油尾气</w:t>
            </w:r>
            <w:r>
              <w:rPr>
                <w:rFonts w:hint="default" w:ascii="Times New Roman" w:hAnsi="Times New Roman" w:eastAsia="宋体" w:cs="Times New Roman"/>
                <w:b w:val="0"/>
                <w:bCs w:val="0"/>
                <w:color w:val="auto"/>
                <w:sz w:val="24"/>
                <w:szCs w:val="24"/>
                <w:lang w:eastAsia="zh-CN"/>
              </w:rPr>
              <w:t>对环境空气的不利影响很小，</w:t>
            </w:r>
            <w:r>
              <w:rPr>
                <w:rFonts w:hint="eastAsia" w:ascii="Times New Roman" w:hAnsi="Times New Roman" w:eastAsia="宋体" w:cs="Times New Roman"/>
                <w:b w:val="0"/>
                <w:bCs w:val="0"/>
                <w:color w:val="auto"/>
                <w:sz w:val="24"/>
                <w:szCs w:val="24"/>
                <w:lang w:val="en-US" w:eastAsia="zh-CN"/>
              </w:rPr>
              <w:t>项目</w:t>
            </w:r>
            <w:r>
              <w:rPr>
                <w:rFonts w:hint="default" w:ascii="Times New Roman" w:hAnsi="Times New Roman" w:eastAsia="宋体" w:cs="Times New Roman"/>
                <w:b w:val="0"/>
                <w:bCs w:val="0"/>
                <w:color w:val="auto"/>
                <w:sz w:val="24"/>
                <w:szCs w:val="24"/>
                <w:lang w:eastAsia="zh-CN"/>
              </w:rPr>
              <w:t>施工结束后，影响将消失。</w:t>
            </w:r>
          </w:p>
          <w:p w14:paraId="059CD5DB">
            <w:pPr>
              <w:keepNext w:val="0"/>
              <w:keepLines w:val="0"/>
              <w:suppressLineNumbers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3）焊接烟尘</w:t>
            </w:r>
          </w:p>
          <w:p w14:paraId="2F1A35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管道安装及设备连接焊接时产生的少量烟尘，焊接烟尘是在焊接过程中金属及非金属物质在过热条件下产生的蒸汽经氧化和冷凝而形成的。本项目施工采用的焊接方法为电弧焊，焊材为焊条，主要污染物为</w:t>
            </w:r>
            <w:r>
              <w:rPr>
                <w:rFonts w:hint="default" w:ascii="Times New Roman" w:hAnsi="Times New Roman" w:eastAsia="宋体" w:cs="Times New Roman"/>
                <w:color w:val="auto"/>
                <w:sz w:val="24"/>
                <w:lang w:val="en-US" w:eastAsia="zh-CN"/>
              </w:rPr>
              <w:t>MnO</w:t>
            </w:r>
            <w:r>
              <w:rPr>
                <w:rFonts w:hint="default" w:ascii="Times New Roman" w:hAnsi="Times New Roman" w:eastAsia="宋体" w:cs="Times New Roman"/>
                <w:color w:val="auto"/>
                <w:sz w:val="24"/>
                <w:vertAlign w:val="subscript"/>
                <w:lang w:val="en-US" w:eastAsia="zh-CN"/>
              </w:rPr>
              <w:t>2</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Fe</w:t>
            </w:r>
            <w:r>
              <w:rPr>
                <w:rFonts w:hint="default" w:ascii="Times New Roman" w:hAnsi="Times New Roman" w:eastAsia="宋体" w:cs="Times New Roman"/>
                <w:color w:val="auto"/>
                <w:sz w:val="24"/>
                <w:vertAlign w:val="subscript"/>
                <w:lang w:val="en-US" w:eastAsia="zh-CN"/>
              </w:rPr>
              <w:t>2</w:t>
            </w:r>
            <w:r>
              <w:rPr>
                <w:rFonts w:hint="default" w:ascii="Times New Roman" w:hAnsi="Times New Roman" w:eastAsia="宋体" w:cs="Times New Roman"/>
                <w:color w:val="auto"/>
                <w:sz w:val="24"/>
                <w:lang w:val="en-US" w:eastAsia="zh-CN"/>
              </w:rPr>
              <w:t>O</w:t>
            </w:r>
            <w:r>
              <w:rPr>
                <w:rFonts w:hint="default" w:ascii="Times New Roman" w:hAnsi="Times New Roman" w:eastAsia="宋体" w:cs="Times New Roman"/>
                <w:color w:val="auto"/>
                <w:sz w:val="24"/>
                <w:vertAlign w:val="subscript"/>
                <w:lang w:val="en-US" w:eastAsia="zh-CN"/>
              </w:rPr>
              <w:t>3</w:t>
            </w:r>
            <w:r>
              <w:rPr>
                <w:rFonts w:hint="eastAsia" w:ascii="Times New Roman" w:hAnsi="Times New Roman" w:eastAsia="宋体" w:cs="Times New Roman"/>
                <w:color w:val="auto"/>
                <w:sz w:val="24"/>
                <w:lang w:val="en-US" w:eastAsia="zh-CN"/>
              </w:rPr>
              <w:t>及</w:t>
            </w:r>
            <w:r>
              <w:rPr>
                <w:rFonts w:hint="default" w:ascii="Times New Roman" w:hAnsi="Times New Roman" w:eastAsia="宋体" w:cs="Times New Roman"/>
                <w:color w:val="auto"/>
                <w:sz w:val="24"/>
                <w:lang w:val="en-US" w:eastAsia="zh-CN"/>
              </w:rPr>
              <w:t>SiO</w:t>
            </w:r>
            <w:r>
              <w:rPr>
                <w:rFonts w:hint="default" w:ascii="Times New Roman" w:hAnsi="Times New Roman" w:eastAsia="宋体" w:cs="Times New Roman"/>
                <w:color w:val="auto"/>
                <w:sz w:val="24"/>
                <w:vertAlign w:val="subscript"/>
                <w:lang w:val="en-US" w:eastAsia="zh-CN"/>
              </w:rPr>
              <w:t>2</w:t>
            </w:r>
            <w:r>
              <w:rPr>
                <w:rFonts w:hint="eastAsia" w:ascii="Times New Roman" w:hAnsi="Times New Roman" w:eastAsia="宋体" w:cs="Times New Roman"/>
                <w:color w:val="auto"/>
                <w:sz w:val="24"/>
                <w:lang w:val="en-US" w:eastAsia="zh-CN"/>
              </w:rPr>
              <w:t xml:space="preserve">等。本项目焊接在较空旷的地点进行，污染物扩散条件好；项目工程量小，且为间歇式排放。因此焊接烟尘对周边环境污染很小。为减少各种焊接废气排放对环境空气的影响，施工期间应使用符合要求的焊条，禁止使用不合格焊条。 </w:t>
            </w:r>
          </w:p>
          <w:p w14:paraId="5717F65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eastAsia="宋体" w:cs="Times New Roman"/>
                <w:b/>
                <w:color w:val="auto"/>
                <w:sz w:val="24"/>
                <w:lang w:eastAsia="zh-CN"/>
              </w:rPr>
            </w:pPr>
            <w:r>
              <w:rPr>
                <w:rFonts w:hint="eastAsia" w:cs="Times New Roman"/>
                <w:b/>
                <w:color w:val="auto"/>
                <w:sz w:val="24"/>
              </w:rPr>
              <w:t>三、施工期声环境</w:t>
            </w:r>
            <w:r>
              <w:rPr>
                <w:rFonts w:hint="eastAsia" w:cs="Times New Roman"/>
                <w:b/>
                <w:color w:val="auto"/>
                <w:sz w:val="24"/>
                <w:lang w:eastAsia="zh-CN"/>
              </w:rPr>
              <w:t>影响</w:t>
            </w:r>
          </w:p>
          <w:p w14:paraId="788F93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本项目</w:t>
            </w:r>
            <w:r>
              <w:rPr>
                <w:rFonts w:hint="default" w:ascii="Times New Roman" w:hAnsi="Times New Roman" w:eastAsia="宋体" w:cs="Times New Roman"/>
                <w:color w:val="auto"/>
                <w:kern w:val="0"/>
                <w:sz w:val="24"/>
                <w:szCs w:val="24"/>
                <w:lang w:val="en-US" w:eastAsia="zh-CN" w:bidi="ar"/>
              </w:rPr>
              <w:t>施工噪声主要是各类</w:t>
            </w:r>
            <w:r>
              <w:rPr>
                <w:rFonts w:hint="eastAsia" w:ascii="Times New Roman" w:hAnsi="Times New Roman" w:eastAsia="宋体" w:cs="Times New Roman"/>
                <w:color w:val="auto"/>
                <w:kern w:val="0"/>
                <w:sz w:val="24"/>
                <w:szCs w:val="24"/>
                <w:lang w:val="en-US" w:eastAsia="zh-CN" w:bidi="ar"/>
              </w:rPr>
              <w:t>施工</w:t>
            </w:r>
            <w:r>
              <w:rPr>
                <w:rFonts w:hint="default" w:ascii="Times New Roman" w:hAnsi="Times New Roman" w:eastAsia="宋体" w:cs="Times New Roman"/>
                <w:color w:val="auto"/>
                <w:kern w:val="0"/>
                <w:sz w:val="24"/>
                <w:szCs w:val="24"/>
                <w:lang w:val="en-US" w:eastAsia="zh-CN" w:bidi="ar"/>
              </w:rPr>
              <w:t>机械作业噪声</w:t>
            </w:r>
            <w:r>
              <w:rPr>
                <w:rFonts w:hint="eastAsia" w:ascii="Times New Roman" w:hAnsi="Times New Roman" w:eastAsia="宋体" w:cs="Times New Roman"/>
                <w:color w:val="auto"/>
                <w:kern w:val="0"/>
                <w:sz w:val="24"/>
                <w:szCs w:val="24"/>
                <w:lang w:val="en-US" w:eastAsia="zh-CN" w:bidi="ar"/>
              </w:rPr>
              <w:t>，为</w:t>
            </w:r>
            <w:r>
              <w:rPr>
                <w:rFonts w:hint="default" w:ascii="Times New Roman" w:hAnsi="Times New Roman" w:eastAsia="宋体" w:cs="Times New Roman"/>
                <w:color w:val="auto"/>
                <w:kern w:val="0"/>
                <w:sz w:val="24"/>
                <w:szCs w:val="24"/>
                <w:lang w:val="en-US" w:eastAsia="zh-CN" w:bidi="ar"/>
              </w:rPr>
              <w:t>间歇性、临时性噪声，无持续性固定噪声源</w:t>
            </w:r>
            <w:r>
              <w:rPr>
                <w:rFonts w:hint="eastAsia" w:ascii="Times New Roman" w:hAnsi="Times New Roman" w:eastAsia="宋体" w:cs="Times New Roman"/>
                <w:color w:val="auto"/>
                <w:kern w:val="0"/>
                <w:sz w:val="24"/>
                <w:szCs w:val="24"/>
                <w:lang w:val="en-US" w:eastAsia="zh-CN" w:bidi="ar"/>
              </w:rPr>
              <w:t>，项目</w:t>
            </w:r>
            <w:r>
              <w:rPr>
                <w:rFonts w:hint="default" w:ascii="Times New Roman" w:hAnsi="Times New Roman" w:eastAsia="宋体" w:cs="Times New Roman"/>
                <w:color w:val="auto"/>
                <w:kern w:val="0"/>
                <w:sz w:val="24"/>
                <w:szCs w:val="24"/>
                <w:lang w:val="en-US" w:eastAsia="zh-CN" w:bidi="ar"/>
              </w:rPr>
              <w:t>短期施工</w:t>
            </w:r>
            <w:r>
              <w:rPr>
                <w:rFonts w:hint="eastAsia" w:ascii="Times New Roman" w:hAnsi="Times New Roman" w:eastAsia="宋体" w:cs="Times New Roman"/>
                <w:color w:val="auto"/>
                <w:kern w:val="0"/>
                <w:sz w:val="24"/>
                <w:szCs w:val="24"/>
                <w:lang w:val="en-US" w:eastAsia="zh-CN" w:bidi="ar"/>
              </w:rPr>
              <w:t>，随着</w:t>
            </w:r>
            <w:r>
              <w:rPr>
                <w:rFonts w:hint="default" w:ascii="Times New Roman" w:hAnsi="Times New Roman" w:eastAsia="宋体" w:cs="Times New Roman"/>
                <w:color w:val="auto"/>
                <w:kern w:val="0"/>
                <w:sz w:val="24"/>
                <w:szCs w:val="24"/>
                <w:lang w:val="en-US" w:eastAsia="zh-CN" w:bidi="ar"/>
              </w:rPr>
              <w:t>施工结束，</w:t>
            </w:r>
            <w:r>
              <w:rPr>
                <w:rFonts w:hint="eastAsia" w:ascii="Times New Roman" w:hAnsi="Times New Roman" w:eastAsia="宋体" w:cs="Times New Roman"/>
                <w:color w:val="auto"/>
                <w:kern w:val="0"/>
                <w:sz w:val="24"/>
                <w:szCs w:val="24"/>
                <w:lang w:val="en-US" w:eastAsia="zh-CN" w:bidi="ar"/>
              </w:rPr>
              <w:t>噪声</w:t>
            </w:r>
            <w:r>
              <w:rPr>
                <w:rFonts w:hint="default" w:ascii="Times New Roman" w:hAnsi="Times New Roman" w:eastAsia="宋体" w:cs="Times New Roman"/>
                <w:color w:val="auto"/>
                <w:kern w:val="0"/>
                <w:sz w:val="24"/>
                <w:szCs w:val="24"/>
                <w:lang w:val="en-US" w:eastAsia="zh-CN" w:bidi="ar"/>
              </w:rPr>
              <w:t>影响</w:t>
            </w:r>
            <w:r>
              <w:rPr>
                <w:rFonts w:hint="eastAsia" w:ascii="Times New Roman" w:hAnsi="Times New Roman" w:eastAsia="宋体" w:cs="Times New Roman"/>
                <w:color w:val="auto"/>
                <w:kern w:val="0"/>
                <w:sz w:val="24"/>
                <w:szCs w:val="24"/>
                <w:lang w:val="en-US" w:eastAsia="zh-CN" w:bidi="ar"/>
              </w:rPr>
              <w:t>也随之</w:t>
            </w:r>
            <w:r>
              <w:rPr>
                <w:rFonts w:hint="default" w:ascii="Times New Roman" w:hAnsi="Times New Roman" w:eastAsia="宋体" w:cs="Times New Roman"/>
                <w:color w:val="auto"/>
                <w:kern w:val="0"/>
                <w:sz w:val="24"/>
                <w:szCs w:val="24"/>
                <w:lang w:val="en-US" w:eastAsia="zh-CN" w:bidi="ar"/>
              </w:rPr>
              <w:t>消失</w:t>
            </w:r>
            <w:r>
              <w:rPr>
                <w:rFonts w:hint="eastAsia" w:ascii="Times New Roman" w:hAnsi="Times New Roman" w:eastAsia="宋体" w:cs="Times New Roman"/>
                <w:color w:val="auto"/>
                <w:kern w:val="0"/>
                <w:sz w:val="24"/>
                <w:szCs w:val="24"/>
                <w:lang w:val="en-US" w:eastAsia="zh-CN" w:bidi="ar"/>
              </w:rPr>
              <w:t>，因此施工噪声对周边环境影响很小。</w:t>
            </w:r>
          </w:p>
          <w:p w14:paraId="037BA6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eastAsia="宋体" w:cs="Times New Roman"/>
                <w:b/>
                <w:color w:val="auto"/>
                <w:sz w:val="24"/>
                <w:lang w:eastAsia="zh-CN"/>
              </w:rPr>
            </w:pPr>
            <w:r>
              <w:rPr>
                <w:rFonts w:hint="eastAsia" w:cs="Times New Roman"/>
                <w:b/>
                <w:color w:val="auto"/>
                <w:sz w:val="24"/>
              </w:rPr>
              <w:t>四、施工期固废环境</w:t>
            </w:r>
            <w:r>
              <w:rPr>
                <w:rFonts w:hint="eastAsia" w:cs="Times New Roman"/>
                <w:b/>
                <w:color w:val="auto"/>
                <w:sz w:val="24"/>
                <w:lang w:eastAsia="zh-CN"/>
              </w:rPr>
              <w:t>影响</w:t>
            </w:r>
          </w:p>
          <w:p w14:paraId="4E863C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施工期固体废物主要为员工生活垃圾</w:t>
            </w:r>
            <w:r>
              <w:rPr>
                <w:rFonts w:hint="eastAsia" w:ascii="Times New Roman" w:hAnsi="Times New Roman" w:cs="Times New Roman"/>
                <w:color w:val="auto"/>
                <w:kern w:val="0"/>
                <w:sz w:val="24"/>
                <w:szCs w:val="24"/>
                <w:lang w:val="en-US" w:eastAsia="zh-CN" w:bidi="ar"/>
              </w:rPr>
              <w:t>和少量建筑垃圾</w:t>
            </w:r>
            <w:r>
              <w:rPr>
                <w:rFonts w:hint="default" w:ascii="Times New Roman" w:hAnsi="Times New Roman" w:cs="Times New Roman"/>
                <w:color w:val="auto"/>
                <w:kern w:val="0"/>
                <w:sz w:val="24"/>
                <w:szCs w:val="24"/>
                <w:lang w:val="en-US" w:eastAsia="zh-CN" w:bidi="ar"/>
              </w:rPr>
              <w:t>。</w:t>
            </w:r>
          </w:p>
          <w:p w14:paraId="00C494F2">
            <w:pPr>
              <w:keepNext w:val="0"/>
              <w:keepLines w:val="0"/>
              <w:pageBreakBefore w:val="0"/>
              <w:suppressLineNumbers w:val="0"/>
              <w:kinsoku/>
              <w:wordWrap/>
              <w:overflowPunct/>
              <w:topLinePunct w:val="0"/>
              <w:bidi w:val="0"/>
              <w:adjustRightInd w:val="0"/>
              <w:snapToGrid w:val="0"/>
              <w:spacing w:before="0" w:beforeAutospacing="0" w:after="0" w:afterAutospacing="0" w:line="372" w:lineRule="auto"/>
              <w:ind w:left="0" w:right="0" w:firstLine="480"/>
              <w:textAlignment w:val="auto"/>
              <w:rPr>
                <w:rFonts w:hint="eastAsia" w:ascii="Times New Roman" w:hAnsi="Times New Roman" w:eastAsia="宋体" w:cs="Times New Roman"/>
                <w:b w:val="0"/>
                <w:bCs w:val="0"/>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
              </w:rPr>
              <w:t>本项目</w:t>
            </w:r>
            <w:r>
              <w:rPr>
                <w:rFonts w:hint="eastAsia" w:ascii="宋体" w:hAnsi="Courier New" w:eastAsia="宋体" w:cs="Times New Roman"/>
                <w:color w:val="auto"/>
                <w:kern w:val="0"/>
                <w:sz w:val="24"/>
                <w:szCs w:val="21"/>
                <w:lang w:val="en-US" w:eastAsia="zh-CN" w:bidi="ar-SA"/>
              </w:rPr>
              <w:t>施工期人员约</w:t>
            </w:r>
            <w:r>
              <w:rPr>
                <w:rFonts w:hint="default" w:ascii="宋体" w:hAnsi="Courier New" w:eastAsia="宋体" w:cs="Times New Roman"/>
                <w:color w:val="auto"/>
                <w:kern w:val="0"/>
                <w:sz w:val="24"/>
                <w:szCs w:val="21"/>
                <w:lang w:val="en-US" w:eastAsia="zh-CN" w:bidi="ar-SA"/>
              </w:rPr>
              <w:t xml:space="preserve">10 </w:t>
            </w:r>
            <w:r>
              <w:rPr>
                <w:rFonts w:hint="eastAsia" w:ascii="宋体" w:hAnsi="Courier New" w:eastAsia="宋体" w:cs="Times New Roman"/>
                <w:color w:val="auto"/>
                <w:kern w:val="0"/>
                <w:sz w:val="24"/>
                <w:szCs w:val="21"/>
                <w:lang w:val="en-US" w:eastAsia="zh-CN" w:bidi="ar-SA"/>
              </w:rPr>
              <w:t>人</w:t>
            </w:r>
            <w:r>
              <w:rPr>
                <w:rFonts w:hint="default" w:ascii="Times New Roman" w:hAnsi="Times New Roman" w:cs="Times New Roman"/>
                <w:color w:val="auto"/>
                <w:kern w:val="0"/>
                <w:sz w:val="24"/>
                <w:szCs w:val="24"/>
                <w:lang w:val="en-US" w:eastAsia="zh-CN" w:bidi="ar"/>
              </w:rPr>
              <w:t>，</w:t>
            </w:r>
            <w:r>
              <w:rPr>
                <w:rFonts w:hint="default" w:ascii="Times New Roman" w:hAnsi="Times New Roman" w:cs="Times New Roman"/>
                <w:color w:val="auto"/>
                <w:kern w:val="0"/>
                <w:sz w:val="24"/>
                <w:szCs w:val="24"/>
                <w:lang w:bidi="ar"/>
              </w:rPr>
              <w:t>每人每天生活垃圾产生量</w:t>
            </w:r>
            <w:r>
              <w:rPr>
                <w:rFonts w:hint="default" w:ascii="Times New Roman" w:hAnsi="Times New Roman" w:cs="Times New Roman"/>
                <w:color w:val="auto"/>
                <w:kern w:val="0"/>
                <w:sz w:val="24"/>
                <w:szCs w:val="24"/>
                <w:lang w:eastAsia="zh-CN" w:bidi="ar"/>
              </w:rPr>
              <w:t>按</w:t>
            </w:r>
            <w:r>
              <w:rPr>
                <w:rFonts w:hint="default" w:ascii="Times New Roman" w:hAnsi="Times New Roman" w:cs="Times New Roman"/>
                <w:color w:val="auto"/>
                <w:kern w:val="0"/>
                <w:sz w:val="24"/>
                <w:szCs w:val="24"/>
                <w:lang w:bidi="ar"/>
              </w:rPr>
              <w:t>0.</w:t>
            </w:r>
            <w:r>
              <w:rPr>
                <w:rFonts w:hint="eastAsia" w:cs="Times New Roman"/>
                <w:color w:val="auto"/>
                <w:kern w:val="0"/>
                <w:sz w:val="24"/>
                <w:szCs w:val="24"/>
                <w:lang w:val="en-US" w:eastAsia="zh-CN" w:bidi="ar"/>
              </w:rPr>
              <w:t>5</w:t>
            </w:r>
            <w:r>
              <w:rPr>
                <w:rFonts w:hint="default" w:ascii="Times New Roman" w:hAnsi="Times New Roman" w:cs="Times New Roman"/>
                <w:color w:val="auto"/>
                <w:kern w:val="0"/>
                <w:sz w:val="24"/>
                <w:szCs w:val="24"/>
                <w:lang w:bidi="ar"/>
              </w:rPr>
              <w:t>kg</w:t>
            </w:r>
            <w:r>
              <w:rPr>
                <w:rFonts w:hint="default" w:ascii="Times New Roman" w:hAnsi="Times New Roman" w:cs="Times New Roman"/>
                <w:color w:val="auto"/>
                <w:kern w:val="0"/>
                <w:sz w:val="24"/>
                <w:szCs w:val="24"/>
                <w:lang w:eastAsia="zh-CN" w:bidi="ar"/>
              </w:rPr>
              <w:t>计算</w:t>
            </w:r>
            <w:r>
              <w:rPr>
                <w:rFonts w:hint="default" w:ascii="Times New Roman" w:hAnsi="Times New Roman" w:cs="Times New Roman"/>
                <w:color w:val="auto"/>
                <w:kern w:val="0"/>
                <w:sz w:val="24"/>
                <w:szCs w:val="24"/>
                <w:lang w:bidi="ar"/>
              </w:rPr>
              <w:t>，</w:t>
            </w:r>
            <w:r>
              <w:rPr>
                <w:rFonts w:hint="eastAsia" w:cs="Times New Roman"/>
                <w:color w:val="auto"/>
                <w:kern w:val="0"/>
                <w:sz w:val="24"/>
                <w:szCs w:val="24"/>
                <w:lang w:eastAsia="zh-CN" w:bidi="ar"/>
              </w:rPr>
              <w:t>项目</w:t>
            </w:r>
            <w:r>
              <w:rPr>
                <w:rFonts w:hint="eastAsia" w:ascii="Times New Roman" w:hAnsi="Times New Roman" w:cs="Times New Roman"/>
                <w:color w:val="auto"/>
                <w:kern w:val="0"/>
                <w:sz w:val="24"/>
                <w:szCs w:val="24"/>
                <w:lang w:eastAsia="zh-CN" w:bidi="ar"/>
              </w:rPr>
              <w:t>每天</w:t>
            </w:r>
            <w:r>
              <w:rPr>
                <w:rFonts w:hint="default" w:ascii="Times New Roman" w:hAnsi="Times New Roman" w:cs="Times New Roman"/>
                <w:color w:val="auto"/>
                <w:kern w:val="0"/>
                <w:sz w:val="24"/>
                <w:szCs w:val="24"/>
                <w:lang w:bidi="ar"/>
              </w:rPr>
              <w:t>生活垃圾产生量为</w:t>
            </w:r>
            <w:r>
              <w:rPr>
                <w:rFonts w:hint="eastAsia" w:cs="Times New Roman"/>
                <w:color w:val="auto"/>
                <w:kern w:val="0"/>
                <w:sz w:val="24"/>
                <w:szCs w:val="24"/>
                <w:lang w:val="en-US" w:eastAsia="zh-CN" w:bidi="ar"/>
              </w:rPr>
              <w:t>5</w:t>
            </w:r>
            <w:r>
              <w:rPr>
                <w:rFonts w:hint="default" w:ascii="Times New Roman" w:hAnsi="Times New Roman" w:cs="Times New Roman"/>
                <w:color w:val="auto"/>
                <w:kern w:val="0"/>
                <w:sz w:val="24"/>
                <w:szCs w:val="24"/>
                <w:lang w:bidi="ar"/>
              </w:rPr>
              <w:t>kg/d</w:t>
            </w:r>
            <w:r>
              <w:rPr>
                <w:rFonts w:hint="eastAsia" w:ascii="Times New Roman" w:hAnsi="Times New Roman" w:cs="Times New Roman"/>
                <w:color w:val="auto"/>
                <w:kern w:val="0"/>
                <w:sz w:val="24"/>
                <w:szCs w:val="24"/>
                <w:lang w:val="en-US" w:eastAsia="zh-CN" w:bidi="ar"/>
              </w:rPr>
              <w:t>。</w:t>
            </w:r>
            <w:r>
              <w:rPr>
                <w:rFonts w:hint="default" w:ascii="Times New Roman" w:hAnsi="Times New Roman" w:cs="Times New Roman"/>
                <w:color w:val="auto"/>
                <w:kern w:val="0"/>
                <w:sz w:val="24"/>
                <w:szCs w:val="24"/>
                <w:lang w:bidi="ar"/>
              </w:rPr>
              <w:t>生活</w:t>
            </w:r>
            <w:r>
              <w:rPr>
                <w:rFonts w:hint="default" w:ascii="Times New Roman" w:hAnsi="Times New Roman" w:eastAsia="宋体" w:cs="Times New Roman"/>
                <w:b w:val="0"/>
                <w:bCs w:val="0"/>
                <w:color w:val="auto"/>
                <w:kern w:val="0"/>
                <w:sz w:val="24"/>
                <w:szCs w:val="24"/>
                <w:lang w:val="en-US" w:eastAsia="zh-CN" w:bidi="ar-SA"/>
              </w:rPr>
              <w:t>垃圾集中收集后交由当地环卫部门</w:t>
            </w:r>
            <w:r>
              <w:rPr>
                <w:rFonts w:hint="eastAsia" w:ascii="Times New Roman" w:hAnsi="Times New Roman" w:eastAsia="宋体" w:cs="Times New Roman"/>
                <w:b w:val="0"/>
                <w:bCs w:val="0"/>
                <w:color w:val="auto"/>
                <w:kern w:val="0"/>
                <w:sz w:val="24"/>
                <w:szCs w:val="24"/>
                <w:lang w:val="en-US" w:eastAsia="zh-CN" w:bidi="ar-SA"/>
              </w:rPr>
              <w:t>统一清运处理。</w:t>
            </w:r>
          </w:p>
          <w:p w14:paraId="3B3ED6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施工建筑垃圾主要是废渣土、废混凝土、废沙石、钢筋头、废木料等，其中废钢筋头、废木料等</w:t>
            </w:r>
            <w:r>
              <w:rPr>
                <w:rFonts w:hint="eastAsia" w:ascii="Times New Roman" w:hAnsi="Times New Roman" w:eastAsia="宋体" w:cs="Times New Roman"/>
                <w:color w:val="auto"/>
                <w:kern w:val="0"/>
                <w:sz w:val="24"/>
                <w:szCs w:val="24"/>
                <w:lang w:val="en-US" w:eastAsia="zh-CN" w:bidi="ar"/>
              </w:rPr>
              <w:t>可利用的</w:t>
            </w:r>
            <w:r>
              <w:rPr>
                <w:rFonts w:hint="default" w:ascii="Times New Roman" w:hAnsi="Times New Roman" w:eastAsia="宋体" w:cs="Times New Roman"/>
                <w:color w:val="auto"/>
                <w:kern w:val="0"/>
                <w:sz w:val="24"/>
                <w:szCs w:val="24"/>
                <w:lang w:val="en-US" w:eastAsia="zh-CN" w:bidi="ar"/>
              </w:rPr>
              <w:t>全部回收</w:t>
            </w:r>
            <w:r>
              <w:rPr>
                <w:rFonts w:hint="eastAsia" w:ascii="Times New Roman" w:hAnsi="Times New Roman" w:eastAsia="宋体" w:cs="Times New Roman"/>
                <w:color w:val="auto"/>
                <w:kern w:val="0"/>
                <w:sz w:val="24"/>
                <w:szCs w:val="24"/>
                <w:lang w:val="en-US" w:eastAsia="zh-CN" w:bidi="ar"/>
              </w:rPr>
              <w:t>再</w:t>
            </w:r>
            <w:r>
              <w:rPr>
                <w:rFonts w:hint="default" w:ascii="Times New Roman" w:hAnsi="Times New Roman" w:eastAsia="宋体" w:cs="Times New Roman"/>
                <w:color w:val="auto"/>
                <w:kern w:val="0"/>
                <w:sz w:val="24"/>
                <w:szCs w:val="24"/>
                <w:lang w:val="en-US" w:eastAsia="zh-CN" w:bidi="ar"/>
              </w:rPr>
              <w:t>利用，剩余</w:t>
            </w:r>
            <w:r>
              <w:rPr>
                <w:rFonts w:hint="eastAsia" w:ascii="Times New Roman" w:hAnsi="Times New Roman" w:eastAsia="宋体" w:cs="Times New Roman"/>
                <w:color w:val="auto"/>
                <w:kern w:val="0"/>
                <w:sz w:val="24"/>
                <w:szCs w:val="24"/>
                <w:lang w:val="en-US" w:eastAsia="zh-CN" w:bidi="ar"/>
              </w:rPr>
              <w:t>不可利用</w:t>
            </w:r>
            <w:r>
              <w:rPr>
                <w:rFonts w:hint="default" w:ascii="Times New Roman" w:hAnsi="Times New Roman" w:eastAsia="宋体" w:cs="Times New Roman"/>
                <w:color w:val="auto"/>
                <w:kern w:val="0"/>
                <w:sz w:val="24"/>
                <w:szCs w:val="24"/>
                <w:lang w:val="en-US" w:eastAsia="zh-CN" w:bidi="ar"/>
              </w:rPr>
              <w:t>建筑垃圾按照</w:t>
            </w:r>
            <w:r>
              <w:rPr>
                <w:rFonts w:hint="eastAsia" w:ascii="Times New Roman" w:hAnsi="Times New Roman" w:eastAsia="宋体" w:cs="Times New Roman"/>
                <w:color w:val="auto"/>
                <w:kern w:val="0"/>
                <w:sz w:val="24"/>
                <w:szCs w:val="24"/>
                <w:lang w:val="en-US" w:eastAsia="zh-CN" w:bidi="ar"/>
              </w:rPr>
              <w:t>当地主管部门要求</w:t>
            </w:r>
            <w:r>
              <w:rPr>
                <w:rFonts w:hint="default" w:ascii="Times New Roman" w:hAnsi="Times New Roman" w:eastAsia="宋体" w:cs="Times New Roman"/>
                <w:color w:val="auto"/>
                <w:kern w:val="0"/>
                <w:sz w:val="24"/>
                <w:szCs w:val="24"/>
                <w:lang w:val="en-US" w:eastAsia="zh-CN" w:bidi="ar"/>
              </w:rPr>
              <w:t>运至市政指定地点</w:t>
            </w:r>
            <w:r>
              <w:rPr>
                <w:rFonts w:hint="eastAsia" w:ascii="Times New Roman" w:hAnsi="Times New Roman" w:eastAsia="宋体" w:cs="Times New Roman"/>
                <w:color w:val="auto"/>
                <w:kern w:val="0"/>
                <w:sz w:val="24"/>
                <w:szCs w:val="24"/>
                <w:lang w:val="en-US" w:eastAsia="zh-CN" w:bidi="ar"/>
              </w:rPr>
              <w:t>。</w:t>
            </w:r>
          </w:p>
          <w:p w14:paraId="7DF162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eastAsia="宋体" w:cs="Times New Roman"/>
                <w:lang w:val="en-US" w:eastAsia="zh-CN"/>
              </w:rPr>
            </w:pPr>
            <w:r>
              <w:rPr>
                <w:rFonts w:hint="eastAsia" w:ascii="Times New Roman" w:hAnsi="Times New Roman" w:eastAsia="宋体" w:cs="Times New Roman"/>
                <w:color w:val="auto"/>
                <w:kern w:val="0"/>
                <w:sz w:val="24"/>
                <w:szCs w:val="24"/>
                <w:lang w:val="en-US" w:eastAsia="zh-CN" w:bidi="ar"/>
              </w:rPr>
              <w:t>施工期固体废物进行了合理的处置，对周边环境影响很小。</w:t>
            </w:r>
          </w:p>
        </w:tc>
      </w:tr>
      <w:tr w14:paraId="6E6195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586" w:hRule="atLeast"/>
          <w:jc w:val="center"/>
        </w:trPr>
        <w:tc>
          <w:tcPr>
            <w:tcW w:w="211" w:type="pct"/>
            <w:noWrap w:val="0"/>
            <w:tcMar>
              <w:left w:w="28" w:type="dxa"/>
              <w:right w:w="28" w:type="dxa"/>
            </w:tcMar>
            <w:vAlign w:val="center"/>
          </w:tcPr>
          <w:p w14:paraId="27069649">
            <w:pPr>
              <w:pStyle w:val="24"/>
              <w:keepNext w:val="0"/>
              <w:keepLines w:val="0"/>
              <w:suppressLineNumbers w:val="0"/>
              <w:adjustRightInd w:val="0"/>
              <w:snapToGrid w:val="0"/>
              <w:spacing w:before="0" w:beforeAutospacing="0" w:after="0" w:afterAutospacing="0"/>
              <w:ind w:left="0" w:right="0"/>
              <w:jc w:val="center"/>
              <w:rPr>
                <w:rFonts w:hint="default" w:cs="宋体"/>
                <w:bCs/>
                <w:color w:val="auto"/>
                <w:kern w:val="2"/>
                <w:sz w:val="21"/>
                <w:szCs w:val="21"/>
                <w:lang w:val="en-US" w:eastAsia="zh-CN"/>
              </w:rPr>
            </w:pPr>
            <w:r>
              <w:rPr>
                <w:rFonts w:hint="eastAsia" w:cs="宋体"/>
                <w:bCs/>
                <w:color w:val="auto"/>
                <w:spacing w:val="10"/>
                <w:kern w:val="2"/>
                <w:sz w:val="21"/>
                <w:szCs w:val="21"/>
                <w:lang w:val="en-US" w:eastAsia="zh-CN"/>
              </w:rPr>
              <w:t>运营期生态环境影响分析</w:t>
            </w:r>
          </w:p>
        </w:tc>
        <w:tc>
          <w:tcPr>
            <w:tcW w:w="4788" w:type="pct"/>
            <w:noWrap w:val="0"/>
            <w:vAlign w:val="top"/>
          </w:tcPr>
          <w:p w14:paraId="5E198044">
            <w:pPr>
              <w:keepNext w:val="0"/>
              <w:keepLines w:val="0"/>
              <w:widowControl/>
              <w:suppressLineNumbers w:val="0"/>
              <w:spacing w:before="0" w:beforeAutospacing="0" w:after="0" w:afterAutospacing="0" w:line="360" w:lineRule="auto"/>
              <w:ind w:left="0" w:right="0" w:firstLine="480" w:firstLineChars="200"/>
              <w:jc w:val="left"/>
              <w:rPr>
                <w:rFonts w:hint="default" w:cs="Times New Roman"/>
                <w:color w:val="auto"/>
              </w:rPr>
            </w:pPr>
            <w:r>
              <w:rPr>
                <w:rFonts w:hint="eastAsia" w:ascii="宋体" w:hAnsi="宋体" w:cs="宋体"/>
                <w:color w:val="auto"/>
                <w:kern w:val="0"/>
                <w:sz w:val="24"/>
                <w:szCs w:val="24"/>
                <w:lang w:eastAsia="zh-CN" w:bidi="ar"/>
              </w:rPr>
              <w:t>本项目主要进行瓦斯抽采工作，</w:t>
            </w:r>
            <w:r>
              <w:rPr>
                <w:rFonts w:hint="eastAsia" w:ascii="宋体" w:hAnsi="宋体" w:cs="宋体"/>
                <w:color w:val="auto"/>
                <w:kern w:val="0"/>
                <w:sz w:val="24"/>
                <w:szCs w:val="24"/>
                <w:lang w:val="en-US" w:eastAsia="zh-CN" w:bidi="ar"/>
              </w:rPr>
              <w:t>抽采后的瓦斯进行综合利用，</w:t>
            </w:r>
            <w:r>
              <w:rPr>
                <w:rFonts w:hint="eastAsia" w:ascii="宋体" w:hAnsi="宋体" w:eastAsia="宋体" w:cs="宋体"/>
                <w:color w:val="auto"/>
                <w:kern w:val="0"/>
                <w:sz w:val="24"/>
                <w:szCs w:val="24"/>
                <w:lang w:val="en-US" w:eastAsia="zh-CN" w:bidi="ar"/>
              </w:rPr>
              <w:t>生态环境的影响主要表现在施工期，</w:t>
            </w:r>
            <w:r>
              <w:rPr>
                <w:rFonts w:hint="eastAsia" w:ascii="宋体" w:hAnsi="宋体" w:cs="宋体"/>
                <w:color w:val="auto"/>
                <w:kern w:val="0"/>
                <w:sz w:val="24"/>
                <w:szCs w:val="24"/>
                <w:lang w:val="en-US" w:eastAsia="zh-CN" w:bidi="ar"/>
              </w:rPr>
              <w:t>施工完成后</w:t>
            </w:r>
            <w:r>
              <w:rPr>
                <w:rFonts w:hint="eastAsia" w:ascii="宋体" w:hAnsi="宋体" w:eastAsia="宋体" w:cs="宋体"/>
                <w:color w:val="auto"/>
                <w:kern w:val="0"/>
                <w:sz w:val="24"/>
                <w:szCs w:val="24"/>
                <w:lang w:val="en-US" w:eastAsia="zh-CN" w:bidi="ar"/>
              </w:rPr>
              <w:t>运营期</w:t>
            </w:r>
            <w:r>
              <w:rPr>
                <w:rFonts w:hint="eastAsia" w:ascii="宋体" w:hAnsi="宋体" w:cs="宋体"/>
                <w:color w:val="auto"/>
                <w:kern w:val="0"/>
                <w:sz w:val="24"/>
                <w:szCs w:val="24"/>
                <w:lang w:val="en-US" w:eastAsia="zh-CN" w:bidi="ar"/>
              </w:rPr>
              <w:t>无</w:t>
            </w:r>
            <w:r>
              <w:rPr>
                <w:rFonts w:hint="eastAsia" w:ascii="宋体" w:hAnsi="宋体" w:eastAsia="宋体" w:cs="宋体"/>
                <w:color w:val="auto"/>
                <w:kern w:val="0"/>
                <w:sz w:val="24"/>
                <w:szCs w:val="24"/>
                <w:lang w:val="en-US" w:eastAsia="zh-CN" w:bidi="ar"/>
              </w:rPr>
              <w:t>生态环境影响。</w:t>
            </w:r>
          </w:p>
          <w:p w14:paraId="7D3F237D">
            <w:pPr>
              <w:keepNext w:val="0"/>
              <w:keepLines w:val="0"/>
              <w:widowControl/>
              <w:suppressLineNumbers w:val="0"/>
              <w:spacing w:before="0" w:beforeAutospacing="0" w:after="0" w:afterAutospacing="0" w:line="360" w:lineRule="auto"/>
              <w:ind w:left="0" w:right="0" w:firstLine="420" w:firstLineChars="200"/>
              <w:jc w:val="left"/>
              <w:rPr>
                <w:rFonts w:hint="eastAsia" w:ascii="宋体" w:hAnsi="宋体" w:eastAsia="宋体" w:cs="宋体"/>
                <w:bCs/>
                <w:color w:val="auto"/>
                <w:szCs w:val="21"/>
                <w:lang w:eastAsia="zh-CN"/>
              </w:rPr>
            </w:pPr>
          </w:p>
        </w:tc>
      </w:tr>
      <w:tr w14:paraId="08AC6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11" w:type="pct"/>
            <w:noWrap w:val="0"/>
            <w:vAlign w:val="center"/>
          </w:tcPr>
          <w:p w14:paraId="53983BB1">
            <w:pPr>
              <w:pStyle w:val="24"/>
              <w:keepNext w:val="0"/>
              <w:keepLines w:val="0"/>
              <w:suppressLineNumbers w:val="0"/>
              <w:adjustRightInd w:val="0"/>
              <w:snapToGrid w:val="0"/>
              <w:spacing w:before="0" w:beforeAutospacing="0" w:after="0" w:afterAutospacing="0"/>
              <w:ind w:left="0" w:right="0"/>
              <w:jc w:val="center"/>
              <w:rPr>
                <w:rFonts w:hint="default" w:cs="宋体"/>
                <w:bCs/>
                <w:color w:val="auto"/>
                <w:kern w:val="2"/>
                <w:sz w:val="21"/>
                <w:szCs w:val="21"/>
                <w:highlight w:val="yellow"/>
                <w:lang w:val="en-US" w:eastAsia="zh-CN"/>
              </w:rPr>
            </w:pPr>
            <w:r>
              <w:rPr>
                <w:rFonts w:hint="eastAsia" w:cs="宋体"/>
                <w:bCs/>
                <w:color w:val="auto"/>
                <w:kern w:val="2"/>
                <w:sz w:val="21"/>
                <w:szCs w:val="21"/>
                <w:highlight w:val="none"/>
                <w:lang w:val="en-US" w:eastAsia="zh-CN"/>
              </w:rPr>
              <w:t>选址选线环境合理性分析</w:t>
            </w:r>
          </w:p>
        </w:tc>
        <w:tc>
          <w:tcPr>
            <w:tcW w:w="4788" w:type="pct"/>
            <w:noWrap w:val="0"/>
            <w:vAlign w:val="top"/>
          </w:tcPr>
          <w:p w14:paraId="1C9F2167">
            <w:pPr>
              <w:pStyle w:val="52"/>
              <w:keepNext w:val="0"/>
              <w:keepLines w:val="0"/>
              <w:suppressLineNumbers w:val="0"/>
              <w:adjustRightInd/>
              <w:spacing w:before="0" w:beforeAutospacing="0" w:after="0" w:afterAutospacing="0" w:line="360" w:lineRule="auto"/>
              <w:ind w:left="0" w:right="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本项目用地权属人为淮浙煤电有限责任公司，用地性质为工业用地，项目建设单位为淮浙煤电有限责任公司顾北煤矿，项目选址位于顾北煤矿现有瓦斯抽采泵站内，在现有泵房西侧新建一间瓦斯泵房，对泵站内现有设备进行更换，输送管路为泵站内管路，不涉及站外管路，项目用地范围内不涉及自然保护区、文物保护单位等特殊敏感区，</w:t>
            </w:r>
            <w:r>
              <w:rPr>
                <w:rFonts w:hint="eastAsia" w:ascii="Times New Roman" w:hAnsi="Times New Roman" w:eastAsia="宋体" w:cs="Times New Roman"/>
                <w:color w:val="auto"/>
                <w:sz w:val="24"/>
                <w:szCs w:val="24"/>
                <w:highlight w:val="none"/>
                <w:lang w:val="en-US" w:eastAsia="zh-CN"/>
              </w:rPr>
              <w:t>生态环境总体不敏感。</w:t>
            </w:r>
          </w:p>
          <w:p w14:paraId="2896F8CE">
            <w:pPr>
              <w:pStyle w:val="52"/>
              <w:keepNext w:val="0"/>
              <w:keepLines w:val="0"/>
              <w:suppressLineNumbers w:val="0"/>
              <w:adjustRightInd/>
              <w:spacing w:before="0" w:beforeAutospacing="0" w:after="0" w:afterAutospacing="0" w:line="360" w:lineRule="auto"/>
              <w:ind w:left="0" w:right="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施工过程及运行过程产生的少量生态破坏、废气、废水、噪声及固体废物均采取了有效可行的防治措施，项目建设对周边环境影响很小，项目建设不会改变区域环境功能，对周边居民的影响小，环境影响可接受，因此本项目从环境保护角度分析项目选址是合理可行的。</w:t>
            </w:r>
          </w:p>
          <w:p w14:paraId="28B7CA0F">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00B28B58">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19004340">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1D6707F5">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00AE5623">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3F2BBC33">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09B609B3">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2B435F7D">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26B97C2A">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0F39F4F9">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19C4C74D">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24000C82">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0C0A2755">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179E5BA9">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5DD5B0EC">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3441AF2C">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03667921">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35B99B77">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6ABDB919">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3A16BF1E">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307F4FA3">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79C05911">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049770FE">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p w14:paraId="42A1E4F7">
            <w:pPr>
              <w:pStyle w:val="52"/>
              <w:keepNext w:val="0"/>
              <w:keepLines w:val="0"/>
              <w:suppressLineNumbers w:val="0"/>
              <w:adjustRightInd/>
              <w:spacing w:before="0" w:beforeAutospacing="0" w:after="0" w:afterAutospacing="0" w:line="360" w:lineRule="auto"/>
              <w:ind w:left="0" w:leftChars="0" w:right="0" w:firstLine="0" w:firstLineChars="0"/>
              <w:rPr>
                <w:rFonts w:hint="eastAsia" w:ascii="Times New Roman" w:hAnsi="Times New Roman" w:eastAsia="宋体" w:cs="Times New Roman"/>
                <w:color w:val="auto"/>
                <w:sz w:val="24"/>
                <w:szCs w:val="24"/>
                <w:lang w:val="en-US" w:eastAsia="zh-CN"/>
              </w:rPr>
            </w:pPr>
          </w:p>
        </w:tc>
      </w:tr>
    </w:tbl>
    <w:p w14:paraId="64C11D17">
      <w:pPr>
        <w:pStyle w:val="24"/>
        <w:jc w:val="center"/>
        <w:rPr>
          <w:rFonts w:ascii="黑体" w:hAnsi="黑体" w:eastAsia="黑体"/>
          <w:snapToGrid w:val="0"/>
          <w:color w:val="auto"/>
          <w:sz w:val="36"/>
          <w:szCs w:val="36"/>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3909BF74">
      <w:pPr>
        <w:pStyle w:val="24"/>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五、主要生态环境保护措施</w:t>
      </w:r>
    </w:p>
    <w:tbl>
      <w:tblPr>
        <w:tblStyle w:val="28"/>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78"/>
        <w:gridCol w:w="8069"/>
      </w:tblGrid>
      <w:tr w14:paraId="042E84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224" w:type="pct"/>
            <w:noWrap w:val="0"/>
            <w:tcMar>
              <w:left w:w="28" w:type="dxa"/>
              <w:right w:w="28" w:type="dxa"/>
            </w:tcMar>
            <w:vAlign w:val="center"/>
          </w:tcPr>
          <w:p w14:paraId="38B144E8">
            <w:pPr>
              <w:keepNext w:val="0"/>
              <w:keepLines w:val="0"/>
              <w:suppressLineNumbers w:val="0"/>
              <w:adjustRightInd w:val="0"/>
              <w:snapToGrid w:val="0"/>
              <w:spacing w:before="0" w:beforeAutospacing="0" w:after="0" w:afterAutospacing="0"/>
              <w:ind w:left="0" w:right="0"/>
              <w:jc w:val="center"/>
              <w:rPr>
                <w:rFonts w:hint="default" w:ascii="宋体" w:hAnsi="宋体" w:cs="Times New Roman"/>
                <w:bCs/>
                <w:color w:val="auto"/>
                <w:szCs w:val="21"/>
              </w:rPr>
            </w:pPr>
            <w:r>
              <w:rPr>
                <w:rFonts w:hint="eastAsia" w:ascii="宋体" w:hAnsi="宋体" w:cs="宋体"/>
                <w:bCs/>
                <w:color w:val="auto"/>
                <w:spacing w:val="10"/>
                <w:sz w:val="24"/>
                <w:szCs w:val="24"/>
              </w:rPr>
              <w:t>施工期生态环境保护措施</w:t>
            </w:r>
          </w:p>
        </w:tc>
        <w:tc>
          <w:tcPr>
            <w:tcW w:w="4775" w:type="pct"/>
            <w:noWrap w:val="0"/>
            <w:vAlign w:val="top"/>
          </w:tcPr>
          <w:p w14:paraId="19E75BB9">
            <w:pPr>
              <w:keepNext w:val="0"/>
              <w:keepLines w:val="0"/>
              <w:widowControl/>
              <w:suppressLineNumbers w:val="0"/>
              <w:spacing w:before="0" w:beforeAutospacing="0" w:after="0" w:afterAutospacing="0" w:line="360" w:lineRule="auto"/>
              <w:ind w:left="0" w:right="0" w:firstLine="480" w:firstLineChars="200"/>
              <w:jc w:val="left"/>
              <w:rPr>
                <w:rFonts w:hint="default" w:cs="Times New Roman"/>
                <w:color w:val="auto"/>
              </w:rPr>
            </w:pPr>
            <w:r>
              <w:rPr>
                <w:rFonts w:hint="eastAsia" w:ascii="宋体" w:hAnsi="宋体" w:cs="宋体"/>
                <w:color w:val="auto"/>
                <w:kern w:val="0"/>
                <w:sz w:val="24"/>
                <w:szCs w:val="24"/>
                <w:lang w:val="en-US" w:eastAsia="zh-CN" w:bidi="ar"/>
              </w:rPr>
              <w:t>本</w:t>
            </w:r>
            <w:r>
              <w:rPr>
                <w:rFonts w:hint="eastAsia" w:ascii="宋体" w:hAnsi="宋体" w:eastAsia="宋体" w:cs="宋体"/>
                <w:color w:val="auto"/>
                <w:kern w:val="0"/>
                <w:sz w:val="24"/>
                <w:szCs w:val="24"/>
                <w:lang w:val="en-US" w:eastAsia="zh-CN" w:bidi="ar"/>
              </w:rPr>
              <w:t>项目建设</w:t>
            </w:r>
            <w:r>
              <w:rPr>
                <w:rFonts w:hint="eastAsia" w:ascii="宋体" w:hAnsi="宋体" w:cs="宋体"/>
                <w:color w:val="auto"/>
                <w:kern w:val="0"/>
                <w:sz w:val="24"/>
                <w:szCs w:val="24"/>
                <w:lang w:val="en-US" w:eastAsia="zh-CN" w:bidi="ar"/>
              </w:rPr>
              <w:t>是在</w:t>
            </w:r>
            <w:r>
              <w:rPr>
                <w:rFonts w:hint="eastAsia" w:ascii="宋体" w:hAnsi="宋体" w:eastAsia="宋体" w:cs="宋体"/>
                <w:color w:val="auto"/>
                <w:kern w:val="0"/>
                <w:sz w:val="24"/>
                <w:szCs w:val="24"/>
                <w:lang w:val="en-US" w:eastAsia="zh-CN" w:bidi="ar"/>
              </w:rPr>
              <w:t>现有工业场地内进行，</w:t>
            </w:r>
            <w:r>
              <w:rPr>
                <w:rFonts w:hint="eastAsia" w:ascii="宋体" w:hAnsi="宋体" w:cs="宋体"/>
                <w:color w:val="auto"/>
                <w:kern w:val="0"/>
                <w:sz w:val="24"/>
                <w:szCs w:val="24"/>
                <w:lang w:val="en-US" w:eastAsia="zh-CN" w:bidi="ar"/>
              </w:rPr>
              <w:t>现状场地为已硬化地面，项目施工对生态环境的</w:t>
            </w:r>
            <w:r>
              <w:rPr>
                <w:rFonts w:hint="eastAsia" w:ascii="宋体" w:hAnsi="宋体" w:eastAsia="宋体" w:cs="宋体"/>
                <w:color w:val="auto"/>
                <w:kern w:val="0"/>
                <w:sz w:val="24"/>
                <w:szCs w:val="24"/>
                <w:lang w:val="en-US" w:eastAsia="zh-CN" w:bidi="ar"/>
              </w:rPr>
              <w:t>主要影响为</w:t>
            </w:r>
            <w:r>
              <w:rPr>
                <w:rFonts w:hint="eastAsia" w:ascii="Times New Roman" w:hAnsi="Times New Roman" w:eastAsia="宋体" w:cs="Times New Roman"/>
                <w:color w:val="auto"/>
                <w:sz w:val="24"/>
                <w:lang w:val="en-US" w:eastAsia="zh-CN"/>
              </w:rPr>
              <w:t>泵房</w:t>
            </w:r>
            <w:r>
              <w:rPr>
                <w:rFonts w:hint="eastAsia" w:ascii="Times New Roman" w:hAnsi="Times New Roman" w:eastAsia="宋体" w:cs="Times New Roman"/>
                <w:color w:val="auto"/>
                <w:sz w:val="24"/>
                <w:lang w:eastAsia="zh-CN"/>
              </w:rPr>
              <w:t>施工过程会</w:t>
            </w:r>
            <w:r>
              <w:rPr>
                <w:rFonts w:hint="eastAsia" w:ascii="Times New Roman" w:hAnsi="Times New Roman" w:eastAsia="宋体" w:cs="Times New Roman"/>
                <w:color w:val="auto"/>
                <w:sz w:val="24"/>
                <w:lang w:val="en-US" w:eastAsia="zh-CN"/>
              </w:rPr>
              <w:t>破坏现有地表结构，会产生少量水土流失，但项目工程量小，施工时间短，因此项目施工对水土流失影响很小</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建设单位在施工过程中应做好以下防护措施。</w:t>
            </w:r>
          </w:p>
          <w:p w14:paraId="39F2B90A">
            <w:pPr>
              <w:pStyle w:val="8"/>
              <w:keepNext w:val="0"/>
              <w:keepLines w:val="0"/>
              <w:suppressLineNumbers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①尽量避开雨季进行涉土工序的施工，提高工程施工效率，减小项目施工对水土流失的影响。</w:t>
            </w:r>
          </w:p>
          <w:p w14:paraId="75CBBD0C">
            <w:pPr>
              <w:pStyle w:val="8"/>
              <w:keepNext w:val="0"/>
              <w:keepLines w:val="0"/>
              <w:suppressLineNumbers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②划定施工作业范围线，不随意扩大。</w:t>
            </w:r>
          </w:p>
          <w:p w14:paraId="4CE94045">
            <w:pPr>
              <w:pStyle w:val="8"/>
              <w:keepNext w:val="0"/>
              <w:keepLines w:val="0"/>
              <w:suppressLineNumbers w:val="0"/>
              <w:spacing w:before="0" w:beforeAutospacing="0" w:after="0" w:afterAutospacing="0" w:line="360" w:lineRule="auto"/>
              <w:ind w:left="0" w:right="0" w:firstLine="480" w:firstLineChars="200"/>
              <w:jc w:val="both"/>
              <w:rPr>
                <w:rFonts w:hint="eastAsia" w:ascii="宋体" w:hAnsi="宋体" w:cs="宋体"/>
                <w:color w:val="auto"/>
                <w:kern w:val="0"/>
                <w:szCs w:val="21"/>
                <w:lang w:eastAsia="zh-CN" w:bidi="ar"/>
              </w:rPr>
            </w:pPr>
            <w:r>
              <w:rPr>
                <w:rFonts w:hint="default" w:ascii="Times New Roman" w:hAnsi="Times New Roman" w:eastAsia="宋体" w:cs="Times New Roman"/>
                <w:color w:val="auto"/>
                <w:kern w:val="2"/>
                <w:sz w:val="24"/>
                <w:szCs w:val="24"/>
                <w:lang w:val="en-US" w:eastAsia="zh-CN" w:bidi="ar-SA"/>
              </w:rPr>
              <w:t>③</w:t>
            </w:r>
            <w:r>
              <w:rPr>
                <w:rFonts w:hint="eastAsia" w:cs="Times New Roman"/>
                <w:color w:val="auto"/>
                <w:lang w:val="en-US" w:eastAsia="zh-CN"/>
              </w:rPr>
              <w:t>施工过程中土方裸露区域</w:t>
            </w:r>
            <w:r>
              <w:rPr>
                <w:rFonts w:hint="eastAsia" w:ascii="Times New Roman" w:hAnsi="Times New Roman" w:eastAsia="宋体" w:cs="Times New Roman"/>
                <w:color w:val="auto"/>
                <w:kern w:val="2"/>
                <w:sz w:val="24"/>
                <w:szCs w:val="24"/>
                <w:lang w:val="en-US" w:eastAsia="zh-CN" w:bidi="ar-SA"/>
              </w:rPr>
              <w:t>采用彩条布遮挡、采取构筑截、排水沟等水保措施，防止水土流失。施工结束后及时进行场地恢复，减小水土流失。</w:t>
            </w:r>
          </w:p>
        </w:tc>
      </w:tr>
      <w:tr w14:paraId="2C239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4" w:type="pct"/>
            <w:noWrap w:val="0"/>
            <w:tcMar>
              <w:left w:w="28" w:type="dxa"/>
              <w:right w:w="28" w:type="dxa"/>
            </w:tcMar>
            <w:vAlign w:val="center"/>
          </w:tcPr>
          <w:p w14:paraId="2F02F79C">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spacing w:val="10"/>
                <w:szCs w:val="21"/>
              </w:rPr>
            </w:pPr>
            <w:r>
              <w:rPr>
                <w:rFonts w:hint="eastAsia" w:ascii="宋体" w:hAnsi="宋体" w:cs="宋体"/>
                <w:bCs/>
                <w:color w:val="auto"/>
                <w:spacing w:val="10"/>
                <w:sz w:val="24"/>
                <w:szCs w:val="24"/>
              </w:rPr>
              <w:t>运营期生态环境保护措施</w:t>
            </w:r>
          </w:p>
        </w:tc>
        <w:tc>
          <w:tcPr>
            <w:tcW w:w="4775" w:type="pct"/>
            <w:noWrap w:val="0"/>
            <w:vAlign w:val="top"/>
          </w:tcPr>
          <w:p w14:paraId="6B279447">
            <w:pPr>
              <w:keepNext w:val="0"/>
              <w:keepLines w:val="0"/>
              <w:suppressLineNumbers w:val="0"/>
              <w:adjustRightInd w:val="0"/>
              <w:snapToGrid w:val="0"/>
              <w:spacing w:before="0" w:beforeAutospacing="0" w:after="0" w:afterAutospacing="0"/>
              <w:ind w:left="0" w:right="0"/>
              <w:rPr>
                <w:rFonts w:hint="eastAsia" w:ascii="宋体" w:hAnsi="宋体" w:eastAsia="宋体" w:cs="宋体"/>
                <w:bCs/>
                <w:color w:val="auto"/>
                <w:spacing w:val="10"/>
                <w:szCs w:val="21"/>
                <w:lang w:eastAsia="zh-CN"/>
              </w:rPr>
            </w:pPr>
            <w:r>
              <w:rPr>
                <w:rFonts w:hint="eastAsia" w:ascii="Times New Roman" w:hAnsi="Times New Roman" w:eastAsia="宋体" w:cs="Times New Roman"/>
                <w:color w:val="auto"/>
                <w:kern w:val="2"/>
                <w:sz w:val="24"/>
                <w:szCs w:val="24"/>
                <w:lang w:val="en-US" w:eastAsia="zh-CN" w:bidi="ar-SA"/>
              </w:rPr>
              <w:t>本项目</w:t>
            </w:r>
            <w:r>
              <w:rPr>
                <w:rFonts w:hint="eastAsia" w:ascii="宋体" w:hAnsi="宋体" w:cs="宋体"/>
                <w:bCs/>
                <w:color w:val="auto"/>
                <w:spacing w:val="10"/>
                <w:sz w:val="24"/>
                <w:szCs w:val="24"/>
              </w:rPr>
              <w:t>生态环境</w:t>
            </w:r>
            <w:r>
              <w:rPr>
                <w:rFonts w:hint="eastAsia" w:ascii="宋体" w:hAnsi="宋体" w:cs="宋体"/>
                <w:bCs/>
                <w:color w:val="auto"/>
                <w:spacing w:val="10"/>
                <w:sz w:val="24"/>
                <w:szCs w:val="24"/>
                <w:lang w:eastAsia="zh-CN"/>
              </w:rPr>
              <w:t>影响主要在施工期，运营期不涉及生态环境影响</w:t>
            </w:r>
            <w:r>
              <w:rPr>
                <w:rFonts w:hint="eastAsia" w:ascii="Times New Roman" w:hAnsi="Times New Roman" w:eastAsia="宋体" w:cs="Times New Roman"/>
                <w:color w:val="auto"/>
                <w:kern w:val="2"/>
                <w:sz w:val="24"/>
                <w:szCs w:val="24"/>
                <w:lang w:val="en-US" w:eastAsia="zh-CN" w:bidi="ar-SA"/>
              </w:rPr>
              <w:t>。</w:t>
            </w:r>
          </w:p>
        </w:tc>
      </w:tr>
      <w:tr w14:paraId="16A0B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4" w:type="pct"/>
            <w:noWrap w:val="0"/>
            <w:vAlign w:val="center"/>
          </w:tcPr>
          <w:p w14:paraId="1039502A">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spacing w:val="10"/>
                <w:szCs w:val="21"/>
              </w:rPr>
            </w:pPr>
            <w:r>
              <w:rPr>
                <w:rFonts w:hint="eastAsia" w:ascii="宋体" w:hAnsi="宋体" w:cs="Times New Roman"/>
                <w:bCs/>
                <w:color w:val="auto"/>
                <w:szCs w:val="21"/>
              </w:rPr>
              <w:t>其他</w:t>
            </w:r>
          </w:p>
        </w:tc>
        <w:tc>
          <w:tcPr>
            <w:tcW w:w="4775" w:type="pct"/>
            <w:noWrap w:val="0"/>
            <w:vAlign w:val="top"/>
          </w:tcPr>
          <w:p w14:paraId="03B7B5E9">
            <w:pPr>
              <w:keepNext w:val="0"/>
              <w:keepLines w:val="0"/>
              <w:suppressLineNumbers w:val="0"/>
              <w:spacing w:before="0" w:beforeAutospacing="0" w:after="0" w:afterAutospacing="0" w:line="360" w:lineRule="auto"/>
              <w:ind w:left="0" w:right="0" w:firstLine="482" w:firstLineChars="200"/>
              <w:rPr>
                <w:rFonts w:hint="default" w:cs="Times New Roman"/>
                <w:b/>
                <w:color w:val="auto"/>
                <w:sz w:val="24"/>
                <w:highlight w:val="none"/>
              </w:rPr>
            </w:pPr>
            <w:r>
              <w:rPr>
                <w:rFonts w:hint="eastAsia" w:cs="Times New Roman"/>
                <w:b/>
                <w:color w:val="auto"/>
                <w:sz w:val="24"/>
                <w:highlight w:val="none"/>
              </w:rPr>
              <w:t>一、运营期</w:t>
            </w:r>
            <w:r>
              <w:rPr>
                <w:rFonts w:hint="default" w:cs="Times New Roman"/>
                <w:b/>
                <w:color w:val="auto"/>
                <w:sz w:val="24"/>
                <w:highlight w:val="none"/>
              </w:rPr>
              <w:t>水</w:t>
            </w:r>
            <w:r>
              <w:rPr>
                <w:rFonts w:hint="eastAsia" w:cs="Times New Roman"/>
                <w:b/>
                <w:color w:val="auto"/>
                <w:sz w:val="24"/>
                <w:highlight w:val="none"/>
              </w:rPr>
              <w:t>环境影响和保护措施</w:t>
            </w:r>
          </w:p>
          <w:p w14:paraId="364E4E57">
            <w:pPr>
              <w:keepNext w:val="0"/>
              <w:keepLines w:val="0"/>
              <w:suppressLineNumbers w:val="0"/>
              <w:snapToGrid w:val="0"/>
              <w:spacing w:before="0" w:beforeAutospacing="0" w:after="0" w:afterAutospacing="0" w:line="360" w:lineRule="auto"/>
              <w:ind w:left="0" w:right="0" w:firstLine="480" w:firstLineChars="200"/>
              <w:jc w:val="left"/>
              <w:rPr>
                <w:rFonts w:hint="eastAsia" w:cs="Times New Roman"/>
                <w:color w:val="auto"/>
                <w:sz w:val="24"/>
                <w:highlight w:val="none"/>
              </w:rPr>
            </w:pPr>
            <w:r>
              <w:rPr>
                <w:rFonts w:hint="eastAsia" w:cs="Times New Roman"/>
                <w:color w:val="auto"/>
                <w:sz w:val="24"/>
                <w:highlight w:val="none"/>
              </w:rPr>
              <w:t>1、废水污染源强分析</w:t>
            </w:r>
          </w:p>
          <w:p w14:paraId="1519DFF3">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sz w:val="24"/>
                <w:highlight w:val="none"/>
              </w:rPr>
            </w:pPr>
            <w:r>
              <w:rPr>
                <w:rFonts w:hint="eastAsia" w:cs="Times New Roman"/>
                <w:color w:val="auto"/>
                <w:sz w:val="24"/>
                <w:highlight w:val="none"/>
              </w:rPr>
              <w:t>本项目运营期</w:t>
            </w:r>
            <w:r>
              <w:rPr>
                <w:rFonts w:hint="eastAsia" w:cs="Times New Roman"/>
                <w:color w:val="auto"/>
                <w:sz w:val="24"/>
                <w:highlight w:val="none"/>
                <w:lang w:eastAsia="zh-CN"/>
              </w:rPr>
              <w:t>不新增职工，因此无生活污水产生。项目</w:t>
            </w:r>
            <w:r>
              <w:rPr>
                <w:rFonts w:hint="default" w:cs="Times New Roman"/>
                <w:color w:val="auto"/>
                <w:sz w:val="24"/>
                <w:highlight w:val="none"/>
              </w:rPr>
              <w:t>生产废水主要</w:t>
            </w:r>
            <w:r>
              <w:rPr>
                <w:rFonts w:hint="eastAsia" w:ascii="Times New Roman" w:hAnsi="Times New Roman" w:eastAsia="宋体" w:cs="Times New Roman"/>
                <w:color w:val="auto"/>
                <w:sz w:val="24"/>
                <w:highlight w:val="none"/>
                <w:lang w:val="en-US" w:eastAsia="zh-CN"/>
              </w:rPr>
              <w:t>循环水系统定期排污水</w:t>
            </w:r>
            <w:r>
              <w:rPr>
                <w:rFonts w:hint="eastAsia" w:cs="Times New Roman"/>
                <w:color w:val="auto"/>
                <w:sz w:val="24"/>
                <w:highlight w:val="none"/>
              </w:rPr>
              <w:t>。</w:t>
            </w:r>
          </w:p>
          <w:p w14:paraId="09121404">
            <w:pPr>
              <w:pStyle w:val="95"/>
              <w:keepNext w:val="0"/>
              <w:keepLines w:val="0"/>
              <w:suppressLineNumbers w:val="0"/>
              <w:spacing w:before="0" w:beforeAutospacing="0" w:after="0" w:afterAutospacing="0" w:line="360" w:lineRule="auto"/>
              <w:ind w:left="0" w:right="0" w:firstLine="480" w:firstLineChars="200"/>
              <w:rPr>
                <w:rFonts w:hint="eastAsia"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循环水系统定期排污，</w:t>
            </w:r>
            <w:r>
              <w:rPr>
                <w:rFonts w:hint="eastAsia" w:cs="Times New Roman"/>
                <w:color w:val="auto"/>
                <w:sz w:val="24"/>
                <w:highlight w:val="none"/>
                <w:lang w:val="en-US" w:eastAsia="zh-CN"/>
              </w:rPr>
              <w:t>扩建后全厂</w:t>
            </w:r>
            <w:r>
              <w:rPr>
                <w:rFonts w:hint="eastAsia" w:ascii="Times New Roman" w:hAnsi="Times New Roman" w:eastAsia="宋体" w:cs="Times New Roman"/>
                <w:color w:val="auto"/>
                <w:sz w:val="24"/>
                <w:highlight w:val="none"/>
                <w:lang w:val="en-US" w:eastAsia="zh-CN"/>
              </w:rPr>
              <w:t>约3个月排放1次，每</w:t>
            </w:r>
            <w:r>
              <w:rPr>
                <w:rFonts w:hint="eastAsia" w:ascii="Times New Roman" w:hAnsi="Times New Roman" w:eastAsia="宋体" w:cs="Times New Roman"/>
                <w:color w:val="auto"/>
                <w:sz w:val="24"/>
                <w:szCs w:val="24"/>
                <w:highlight w:val="none"/>
                <w:lang w:val="en-US" w:eastAsia="zh-CN"/>
              </w:rPr>
              <w:t>次排放量约200</w:t>
            </w:r>
            <w:r>
              <w:rPr>
                <w:rFonts w:hint="eastAsia" w:ascii="Times New Roman" w:hAnsi="Times New Roman" w:eastAsia="宋体" w:cs="Times New Roman"/>
                <w:b w:val="0"/>
                <w:bCs w:val="0"/>
                <w:color w:val="auto"/>
                <w:kern w:val="2"/>
                <w:sz w:val="24"/>
                <w:szCs w:val="24"/>
                <w:highlight w:val="none"/>
                <w:lang w:val="en-US" w:eastAsia="zh-CN" w:bidi="ar-SA"/>
              </w:rPr>
              <w:t>m</w:t>
            </w:r>
            <w:r>
              <w:rPr>
                <w:rFonts w:hint="eastAsia" w:ascii="Times New Roman" w:hAnsi="Times New Roman" w:eastAsia="宋体" w:cs="Times New Roman"/>
                <w:b w:val="0"/>
                <w:bCs w:val="0"/>
                <w:color w:val="auto"/>
                <w:kern w:val="2"/>
                <w:sz w:val="24"/>
                <w:szCs w:val="24"/>
                <w:highlight w:val="none"/>
                <w:vertAlign w:val="superscript"/>
                <w:lang w:val="en-US" w:eastAsia="zh-CN" w:bidi="ar-SA"/>
              </w:rPr>
              <w:t>3</w:t>
            </w:r>
            <w:r>
              <w:rPr>
                <w:rFonts w:hint="eastAsia" w:ascii="Times New Roman" w:hAnsi="Times New Roman" w:eastAsia="宋体" w:cs="Times New Roman"/>
                <w:b w:val="0"/>
                <w:bCs w:val="0"/>
                <w:color w:val="auto"/>
                <w:kern w:val="2"/>
                <w:sz w:val="24"/>
                <w:szCs w:val="24"/>
                <w:highlight w:val="none"/>
                <w:vertAlign w:val="baseline"/>
                <w:lang w:val="en-US" w:eastAsia="zh-CN" w:bidi="ar-SA"/>
              </w:rPr>
              <w:t>，</w:t>
            </w:r>
            <w:r>
              <w:rPr>
                <w:rFonts w:hint="eastAsia" w:cs="Times New Roman"/>
                <w:b w:val="0"/>
                <w:bCs w:val="0"/>
                <w:color w:val="auto"/>
                <w:kern w:val="2"/>
                <w:sz w:val="24"/>
                <w:szCs w:val="24"/>
                <w:highlight w:val="none"/>
                <w:vertAlign w:val="baseline"/>
                <w:lang w:val="en-US" w:eastAsia="zh-CN" w:bidi="ar-SA"/>
              </w:rPr>
              <w:t>扩建项目排放量</w:t>
            </w:r>
            <w:r>
              <w:rPr>
                <w:rFonts w:hint="eastAsia" w:ascii="Times New Roman" w:hAnsi="Times New Roman" w:eastAsia="宋体" w:cs="Times New Roman"/>
                <w:b w:val="0"/>
                <w:bCs w:val="0"/>
                <w:color w:val="auto"/>
                <w:kern w:val="2"/>
                <w:sz w:val="24"/>
                <w:szCs w:val="24"/>
                <w:vertAlign w:val="baseline"/>
                <w:lang w:val="en-US" w:eastAsia="zh-CN" w:bidi="ar-SA"/>
              </w:rPr>
              <w:t>约</w:t>
            </w:r>
            <w:r>
              <w:rPr>
                <w:rFonts w:hint="eastAsia" w:cs="Times New Roman"/>
                <w:b w:val="0"/>
                <w:bCs w:val="0"/>
                <w:color w:val="auto"/>
                <w:kern w:val="2"/>
                <w:sz w:val="24"/>
                <w:szCs w:val="24"/>
                <w:vertAlign w:val="baseline"/>
                <w:lang w:val="en-US" w:eastAsia="zh-CN" w:bidi="ar-SA"/>
              </w:rPr>
              <w:t>0.53</w:t>
            </w:r>
            <w:r>
              <w:rPr>
                <w:rFonts w:hint="eastAsia" w:ascii="Times New Roman" w:hAnsi="Times New Roman" w:eastAsia="宋体" w:cs="Times New Roman"/>
                <w:b w:val="0"/>
                <w:bCs w:val="0"/>
                <w:color w:val="auto"/>
                <w:kern w:val="2"/>
                <w:sz w:val="24"/>
                <w:szCs w:val="24"/>
                <w:lang w:val="en-US" w:eastAsia="zh-CN" w:bidi="ar-SA"/>
              </w:rPr>
              <w:t>m</w:t>
            </w:r>
            <w:r>
              <w:rPr>
                <w:rFonts w:hint="eastAsia"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lang w:val="en-US" w:eastAsia="zh-CN" w:bidi="ar-SA"/>
              </w:rPr>
              <w:t>/d</w:t>
            </w:r>
            <w:r>
              <w:rPr>
                <w:rFonts w:hint="eastAsia" w:ascii="Times New Roman" w:hAnsi="Times New Roman" w:eastAsia="宋体" w:cs="Times New Roman"/>
                <w:b w:val="0"/>
                <w:bCs w:val="0"/>
                <w:color w:val="auto"/>
                <w:kern w:val="2"/>
                <w:sz w:val="21"/>
                <w:szCs w:val="21"/>
                <w:lang w:val="en-US" w:eastAsia="zh-CN" w:bidi="ar-SA"/>
              </w:rPr>
              <w:t>。</w:t>
            </w:r>
            <w:r>
              <w:rPr>
                <w:rFonts w:hint="eastAsia" w:ascii="Times New Roman" w:hAnsi="Times New Roman" w:eastAsia="宋体" w:cs="Times New Roman"/>
                <w:b w:val="0"/>
                <w:bCs w:val="0"/>
                <w:color w:val="auto"/>
                <w:kern w:val="2"/>
                <w:sz w:val="24"/>
                <w:szCs w:val="24"/>
                <w:lang w:val="en-US" w:eastAsia="zh-CN" w:bidi="ar-SA"/>
              </w:rPr>
              <w:t>废水主要污染物为SS、</w:t>
            </w:r>
            <w:r>
              <w:rPr>
                <w:rFonts w:hint="eastAsia" w:cs="Times New Roman"/>
                <w:color w:val="auto"/>
                <w:sz w:val="24"/>
                <w:szCs w:val="24"/>
              </w:rPr>
              <w:t>TDS</w:t>
            </w:r>
            <w:r>
              <w:rPr>
                <w:rFonts w:hint="eastAsia" w:cs="Times New Roman"/>
                <w:color w:val="auto"/>
                <w:sz w:val="24"/>
                <w:szCs w:val="24"/>
                <w:lang w:eastAsia="zh-CN"/>
              </w:rPr>
              <w:t>。</w:t>
            </w:r>
          </w:p>
          <w:p w14:paraId="53AC535E">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970" w:firstLineChars="0"/>
              <w:jc w:val="both"/>
              <w:rPr>
                <w:rFonts w:hint="eastAsia" w:cs="Times New Roman"/>
                <w:b/>
                <w:bCs/>
                <w:color w:val="auto"/>
                <w:highlight w:val="none"/>
              </w:rPr>
            </w:pPr>
            <w:r>
              <w:rPr>
                <w:rFonts w:hint="eastAsia" w:cs="Times New Roman"/>
                <w:b/>
                <w:bCs/>
                <w:color w:val="auto"/>
                <w:highlight w:val="none"/>
              </w:rPr>
              <w:t xml:space="preserve"> </w:t>
            </w:r>
            <w:r>
              <w:rPr>
                <w:rFonts w:hint="eastAsia" w:cs="Times New Roman"/>
                <w:b w:val="0"/>
                <w:bCs w:val="0"/>
                <w:color w:val="auto"/>
                <w:sz w:val="24"/>
                <w:szCs w:val="24"/>
                <w:highlight w:val="none"/>
              </w:rPr>
              <w:t>废水</w:t>
            </w:r>
            <w:r>
              <w:rPr>
                <w:rFonts w:hint="eastAsia" w:cs="Times New Roman"/>
                <w:b w:val="0"/>
                <w:bCs w:val="0"/>
                <w:color w:val="auto"/>
                <w:sz w:val="24"/>
                <w:szCs w:val="24"/>
                <w:highlight w:val="none"/>
                <w:lang w:eastAsia="zh-CN"/>
              </w:rPr>
              <w:t>产</w:t>
            </w:r>
            <w:r>
              <w:rPr>
                <w:rFonts w:hint="eastAsia" w:cs="Times New Roman"/>
                <w:b w:val="0"/>
                <w:bCs w:val="0"/>
                <w:color w:val="auto"/>
                <w:sz w:val="24"/>
                <w:szCs w:val="24"/>
                <w:highlight w:val="none"/>
                <w:lang w:val="en-US" w:eastAsia="zh-CN"/>
              </w:rPr>
              <w:t>排</w:t>
            </w:r>
            <w:r>
              <w:rPr>
                <w:rFonts w:hint="eastAsia" w:cs="Times New Roman"/>
                <w:b w:val="0"/>
                <w:bCs w:val="0"/>
                <w:color w:val="auto"/>
                <w:sz w:val="24"/>
                <w:szCs w:val="24"/>
                <w:highlight w:val="none"/>
                <w:lang w:eastAsia="zh-CN"/>
              </w:rPr>
              <w:t>情况</w:t>
            </w:r>
            <w:r>
              <w:rPr>
                <w:rFonts w:hint="eastAsia" w:cs="Times New Roman"/>
                <w:b w:val="0"/>
                <w:bCs w:val="0"/>
                <w:color w:val="auto"/>
                <w:sz w:val="24"/>
                <w:szCs w:val="24"/>
                <w:highlight w:val="none"/>
              </w:rPr>
              <w:t>表</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2086"/>
              <w:gridCol w:w="2075"/>
              <w:gridCol w:w="2182"/>
            </w:tblGrid>
            <w:tr w14:paraId="2706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955" w:type="pct"/>
                  <w:noWrap w:val="0"/>
                  <w:vAlign w:val="center"/>
                </w:tcPr>
                <w:p w14:paraId="1171AB4C">
                  <w:pPr>
                    <w:keepNext w:val="0"/>
                    <w:keepLines w:val="0"/>
                    <w:widowControl/>
                    <w:suppressLineNumbers w:val="0"/>
                    <w:spacing w:before="0" w:beforeAutospacing="0" w:after="0" w:afterAutospacing="0"/>
                    <w:ind w:left="0" w:right="0"/>
                    <w:jc w:val="center"/>
                    <w:rPr>
                      <w:rFonts w:hint="default" w:cs="Times New Roman"/>
                      <w:color w:val="auto"/>
                      <w:szCs w:val="21"/>
                      <w:highlight w:val="none"/>
                    </w:rPr>
                  </w:pPr>
                  <w:r>
                    <w:rPr>
                      <w:rFonts w:hint="default" w:cs="Times New Roman"/>
                      <w:color w:val="auto"/>
                      <w:szCs w:val="21"/>
                      <w:highlight w:val="none"/>
                    </w:rPr>
                    <w:t>污染物指标</w:t>
                  </w:r>
                </w:p>
              </w:tc>
              <w:tc>
                <w:tcPr>
                  <w:tcW w:w="1330" w:type="pct"/>
                  <w:noWrap w:val="0"/>
                  <w:vAlign w:val="center"/>
                </w:tcPr>
                <w:p w14:paraId="4FA73CC2">
                  <w:pPr>
                    <w:keepNext w:val="0"/>
                    <w:keepLines w:val="0"/>
                    <w:widowControl/>
                    <w:suppressLineNumbers w:val="0"/>
                    <w:spacing w:before="0" w:beforeAutospacing="0" w:after="0" w:afterAutospacing="0"/>
                    <w:ind w:left="0" w:right="0"/>
                    <w:jc w:val="center"/>
                    <w:rPr>
                      <w:rFonts w:hint="default" w:cs="Times New Roman"/>
                      <w:color w:val="auto"/>
                      <w:szCs w:val="21"/>
                      <w:highlight w:val="none"/>
                    </w:rPr>
                  </w:pPr>
                  <w:r>
                    <w:rPr>
                      <w:rFonts w:hint="default" w:cs="Times New Roman"/>
                      <w:color w:val="auto"/>
                      <w:szCs w:val="21"/>
                      <w:highlight w:val="none"/>
                    </w:rPr>
                    <w:t>产污系数</w:t>
                  </w:r>
                  <w:r>
                    <w:rPr>
                      <w:rFonts w:hint="eastAsia" w:cs="Times New Roman"/>
                      <w:color w:val="auto"/>
                      <w:szCs w:val="21"/>
                      <w:highlight w:val="none"/>
                    </w:rPr>
                    <w:t>/产生浓度</w:t>
                  </w:r>
                </w:p>
              </w:tc>
              <w:tc>
                <w:tcPr>
                  <w:tcW w:w="1323" w:type="pct"/>
                  <w:noWrap w:val="0"/>
                  <w:vAlign w:val="center"/>
                </w:tcPr>
                <w:p w14:paraId="2A6C3060">
                  <w:pPr>
                    <w:keepNext w:val="0"/>
                    <w:keepLines w:val="0"/>
                    <w:widowControl/>
                    <w:suppressLineNumbers w:val="0"/>
                    <w:spacing w:before="0" w:beforeAutospacing="0" w:after="0" w:afterAutospacing="0"/>
                    <w:ind w:left="0" w:right="0"/>
                    <w:jc w:val="center"/>
                    <w:rPr>
                      <w:rFonts w:hint="eastAsia" w:eastAsia="宋体" w:cs="Times New Roman"/>
                      <w:color w:val="auto"/>
                      <w:szCs w:val="21"/>
                      <w:highlight w:val="none"/>
                      <w:lang w:eastAsia="zh-CN"/>
                    </w:rPr>
                  </w:pPr>
                  <w:r>
                    <w:rPr>
                      <w:rFonts w:hint="eastAsia" w:cs="Times New Roman"/>
                      <w:color w:val="auto"/>
                      <w:szCs w:val="21"/>
                      <w:highlight w:val="none"/>
                      <w:lang w:eastAsia="zh-CN"/>
                    </w:rPr>
                    <w:t>本项目产生量</w:t>
                  </w:r>
                </w:p>
              </w:tc>
              <w:tc>
                <w:tcPr>
                  <w:tcW w:w="1391" w:type="pct"/>
                  <w:noWrap w:val="0"/>
                  <w:vAlign w:val="center"/>
                </w:tcPr>
                <w:p w14:paraId="083943A1">
                  <w:pPr>
                    <w:keepNext w:val="0"/>
                    <w:keepLines w:val="0"/>
                    <w:widowControl/>
                    <w:suppressLineNumbers w:val="0"/>
                    <w:spacing w:before="0" w:beforeAutospacing="0" w:after="0" w:afterAutospacing="0"/>
                    <w:ind w:left="0" w:right="0"/>
                    <w:jc w:val="center"/>
                    <w:rPr>
                      <w:rFonts w:hint="eastAsia" w:cs="Times New Roman"/>
                      <w:color w:val="auto"/>
                      <w:szCs w:val="21"/>
                      <w:highlight w:val="none"/>
                      <w:lang w:eastAsia="zh-CN"/>
                    </w:rPr>
                  </w:pPr>
                  <w:r>
                    <w:rPr>
                      <w:rFonts w:hint="eastAsia" w:cs="Times New Roman"/>
                      <w:color w:val="auto"/>
                      <w:szCs w:val="21"/>
                      <w:highlight w:val="none"/>
                      <w:lang w:eastAsia="zh-CN"/>
                    </w:rPr>
                    <w:t>本项目排放量</w:t>
                  </w:r>
                </w:p>
              </w:tc>
            </w:tr>
            <w:tr w14:paraId="18DB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55" w:type="pct"/>
                  <w:noWrap w:val="0"/>
                  <w:vAlign w:val="center"/>
                </w:tcPr>
                <w:p w14:paraId="6CA46128">
                  <w:pPr>
                    <w:keepNext w:val="0"/>
                    <w:keepLines w:val="0"/>
                    <w:widowControl/>
                    <w:suppressLineNumbers w:val="0"/>
                    <w:spacing w:before="0" w:beforeAutospacing="0" w:after="0" w:afterAutospacing="0"/>
                    <w:ind w:left="0" w:right="0"/>
                    <w:jc w:val="center"/>
                    <w:rPr>
                      <w:rFonts w:hint="eastAsia" w:eastAsia="宋体" w:cs="Times New Roman"/>
                      <w:color w:val="auto"/>
                      <w:szCs w:val="21"/>
                      <w:highlight w:val="none"/>
                      <w:lang w:eastAsia="zh-CN"/>
                    </w:rPr>
                  </w:pPr>
                  <w:r>
                    <w:rPr>
                      <w:rFonts w:hint="eastAsia" w:cs="Times New Roman"/>
                      <w:color w:val="auto"/>
                      <w:szCs w:val="21"/>
                      <w:highlight w:val="none"/>
                      <w:lang w:eastAsia="zh-CN"/>
                    </w:rPr>
                    <w:t>废水量</w:t>
                  </w:r>
                </w:p>
              </w:tc>
              <w:tc>
                <w:tcPr>
                  <w:tcW w:w="1330" w:type="pct"/>
                  <w:noWrap w:val="0"/>
                  <w:vAlign w:val="center"/>
                </w:tcPr>
                <w:p w14:paraId="2A008817">
                  <w:pPr>
                    <w:keepNext w:val="0"/>
                    <w:keepLines w:val="0"/>
                    <w:widowControl/>
                    <w:suppressLineNumbers w:val="0"/>
                    <w:spacing w:before="0" w:beforeAutospacing="0" w:after="0" w:afterAutospacing="0"/>
                    <w:ind w:left="0" w:right="0"/>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w:t>
                  </w:r>
                </w:p>
              </w:tc>
              <w:tc>
                <w:tcPr>
                  <w:tcW w:w="1323" w:type="pct"/>
                  <w:noWrap w:val="0"/>
                  <w:vAlign w:val="center"/>
                </w:tcPr>
                <w:p w14:paraId="3CC8562E">
                  <w:pPr>
                    <w:keepNext w:val="0"/>
                    <w:keepLines w:val="0"/>
                    <w:widowControl/>
                    <w:suppressLineNumbers w:val="0"/>
                    <w:spacing w:before="0" w:beforeAutospacing="0" w:after="0" w:afterAutospacing="0"/>
                    <w:ind w:left="0" w:right="0"/>
                    <w:jc w:val="center"/>
                    <w:rPr>
                      <w:rFonts w:hint="default" w:eastAsia="宋体" w:cs="Times New Roman"/>
                      <w:color w:val="auto"/>
                      <w:sz w:val="21"/>
                      <w:szCs w:val="21"/>
                      <w:highlight w:val="none"/>
                      <w:lang w:val="en-US" w:eastAsia="zh-CN"/>
                    </w:rPr>
                  </w:pPr>
                  <w:r>
                    <w:rPr>
                      <w:rFonts w:hint="eastAsia" w:cs="Times New Roman"/>
                      <w:b w:val="0"/>
                      <w:bCs w:val="0"/>
                      <w:color w:val="auto"/>
                      <w:kern w:val="2"/>
                      <w:sz w:val="21"/>
                      <w:szCs w:val="21"/>
                      <w:vertAlign w:val="baseline"/>
                      <w:lang w:val="en-US" w:eastAsia="zh-CN" w:bidi="ar-SA"/>
                    </w:rPr>
                    <w:t>0.53</w:t>
                  </w:r>
                  <w:r>
                    <w:rPr>
                      <w:rFonts w:hint="eastAsia" w:ascii="Times New Roman" w:hAnsi="Times New Roman" w:eastAsia="宋体" w:cs="Times New Roman"/>
                      <w:b w:val="0"/>
                      <w:bCs w:val="0"/>
                      <w:color w:val="auto"/>
                      <w:kern w:val="2"/>
                      <w:sz w:val="21"/>
                      <w:szCs w:val="21"/>
                      <w:lang w:val="en-US" w:eastAsia="zh-CN" w:bidi="ar-SA"/>
                    </w:rPr>
                    <w:t>m</w:t>
                  </w:r>
                  <w:r>
                    <w:rPr>
                      <w:rFonts w:hint="eastAsia" w:ascii="Times New Roman" w:hAnsi="Times New Roman" w:eastAsia="宋体" w:cs="Times New Roman"/>
                      <w:b w:val="0"/>
                      <w:bCs w:val="0"/>
                      <w:color w:val="auto"/>
                      <w:kern w:val="2"/>
                      <w:sz w:val="21"/>
                      <w:szCs w:val="21"/>
                      <w:vertAlign w:val="superscript"/>
                      <w:lang w:val="en-US" w:eastAsia="zh-CN" w:bidi="ar-SA"/>
                    </w:rPr>
                    <w:t>3</w:t>
                  </w:r>
                  <w:r>
                    <w:rPr>
                      <w:rFonts w:hint="eastAsia" w:ascii="Times New Roman" w:hAnsi="Times New Roman" w:eastAsia="宋体" w:cs="Times New Roman"/>
                      <w:b w:val="0"/>
                      <w:bCs w:val="0"/>
                      <w:color w:val="auto"/>
                      <w:kern w:val="2"/>
                      <w:sz w:val="21"/>
                      <w:szCs w:val="21"/>
                      <w:lang w:val="en-US" w:eastAsia="zh-CN" w:bidi="ar-SA"/>
                    </w:rPr>
                    <w:t>/d，</w:t>
                  </w:r>
                  <w:r>
                    <w:rPr>
                      <w:rFonts w:hint="eastAsia" w:cs="Times New Roman"/>
                      <w:b w:val="0"/>
                      <w:bCs w:val="0"/>
                      <w:color w:val="auto"/>
                      <w:kern w:val="2"/>
                      <w:sz w:val="21"/>
                      <w:szCs w:val="21"/>
                      <w:lang w:val="en-US" w:eastAsia="zh-CN" w:bidi="ar-SA"/>
                    </w:rPr>
                    <w:t>193.45</w:t>
                  </w:r>
                  <w:r>
                    <w:rPr>
                      <w:rFonts w:hint="eastAsia" w:ascii="Times New Roman" w:hAnsi="Times New Roman" w:eastAsia="宋体" w:cs="Times New Roman"/>
                      <w:b w:val="0"/>
                      <w:bCs w:val="0"/>
                      <w:color w:val="auto"/>
                      <w:kern w:val="2"/>
                      <w:sz w:val="21"/>
                      <w:szCs w:val="21"/>
                      <w:lang w:val="en-US" w:eastAsia="zh-CN" w:bidi="ar-SA"/>
                    </w:rPr>
                    <w:t>m</w:t>
                  </w:r>
                  <w:r>
                    <w:rPr>
                      <w:rFonts w:hint="eastAsia" w:ascii="Times New Roman" w:hAnsi="Times New Roman" w:eastAsia="宋体" w:cs="Times New Roman"/>
                      <w:b w:val="0"/>
                      <w:bCs w:val="0"/>
                      <w:color w:val="auto"/>
                      <w:kern w:val="2"/>
                      <w:sz w:val="21"/>
                      <w:szCs w:val="21"/>
                      <w:vertAlign w:val="superscript"/>
                      <w:lang w:val="en-US" w:eastAsia="zh-CN" w:bidi="ar-SA"/>
                    </w:rPr>
                    <w:t>3</w:t>
                  </w:r>
                  <w:r>
                    <w:rPr>
                      <w:rFonts w:hint="eastAsia" w:ascii="Times New Roman" w:hAnsi="Times New Roman" w:eastAsia="宋体" w:cs="Times New Roman"/>
                      <w:b w:val="0"/>
                      <w:bCs w:val="0"/>
                      <w:color w:val="auto"/>
                      <w:kern w:val="2"/>
                      <w:sz w:val="21"/>
                      <w:szCs w:val="21"/>
                      <w:lang w:val="en-US" w:eastAsia="zh-CN" w:bidi="ar-SA"/>
                    </w:rPr>
                    <w:t>/a</w:t>
                  </w:r>
                </w:p>
              </w:tc>
              <w:tc>
                <w:tcPr>
                  <w:tcW w:w="1391" w:type="pct"/>
                  <w:noWrap w:val="0"/>
                  <w:vAlign w:val="center"/>
                </w:tcPr>
                <w:p w14:paraId="56E81681">
                  <w:pPr>
                    <w:keepNext w:val="0"/>
                    <w:keepLines w:val="0"/>
                    <w:widowControl/>
                    <w:suppressLineNumbers w:val="0"/>
                    <w:spacing w:before="0" w:beforeAutospacing="0" w:after="0" w:afterAutospacing="0"/>
                    <w:ind w:left="0" w:right="0"/>
                    <w:jc w:val="center"/>
                    <w:rPr>
                      <w:rFonts w:hint="eastAsia" w:cs="Times New Roman"/>
                      <w:color w:val="auto"/>
                      <w:sz w:val="21"/>
                      <w:szCs w:val="21"/>
                      <w:highlight w:val="none"/>
                      <w:lang w:val="en-US" w:eastAsia="zh-CN"/>
                    </w:rPr>
                  </w:pPr>
                  <w:r>
                    <w:rPr>
                      <w:rFonts w:hint="eastAsia" w:cs="Times New Roman"/>
                      <w:b w:val="0"/>
                      <w:bCs w:val="0"/>
                      <w:color w:val="auto"/>
                      <w:kern w:val="2"/>
                      <w:sz w:val="21"/>
                      <w:szCs w:val="21"/>
                      <w:vertAlign w:val="baseline"/>
                      <w:lang w:val="en-US" w:eastAsia="zh-CN" w:bidi="ar-SA"/>
                    </w:rPr>
                    <w:t>0.53</w:t>
                  </w:r>
                  <w:r>
                    <w:rPr>
                      <w:rFonts w:hint="eastAsia" w:ascii="Times New Roman" w:hAnsi="Times New Roman" w:eastAsia="宋体" w:cs="Times New Roman"/>
                      <w:b w:val="0"/>
                      <w:bCs w:val="0"/>
                      <w:color w:val="auto"/>
                      <w:kern w:val="2"/>
                      <w:sz w:val="21"/>
                      <w:szCs w:val="21"/>
                      <w:lang w:val="en-US" w:eastAsia="zh-CN" w:bidi="ar-SA"/>
                    </w:rPr>
                    <w:t>m</w:t>
                  </w:r>
                  <w:r>
                    <w:rPr>
                      <w:rFonts w:hint="eastAsia" w:ascii="Times New Roman" w:hAnsi="Times New Roman" w:eastAsia="宋体" w:cs="Times New Roman"/>
                      <w:b w:val="0"/>
                      <w:bCs w:val="0"/>
                      <w:color w:val="auto"/>
                      <w:kern w:val="2"/>
                      <w:sz w:val="21"/>
                      <w:szCs w:val="21"/>
                      <w:vertAlign w:val="superscript"/>
                      <w:lang w:val="en-US" w:eastAsia="zh-CN" w:bidi="ar-SA"/>
                    </w:rPr>
                    <w:t>3</w:t>
                  </w:r>
                  <w:r>
                    <w:rPr>
                      <w:rFonts w:hint="eastAsia" w:ascii="Times New Roman" w:hAnsi="Times New Roman" w:eastAsia="宋体" w:cs="Times New Roman"/>
                      <w:b w:val="0"/>
                      <w:bCs w:val="0"/>
                      <w:color w:val="auto"/>
                      <w:kern w:val="2"/>
                      <w:sz w:val="21"/>
                      <w:szCs w:val="21"/>
                      <w:lang w:val="en-US" w:eastAsia="zh-CN" w:bidi="ar-SA"/>
                    </w:rPr>
                    <w:t>/d，</w:t>
                  </w:r>
                  <w:r>
                    <w:rPr>
                      <w:rFonts w:hint="eastAsia" w:cs="Times New Roman"/>
                      <w:b w:val="0"/>
                      <w:bCs w:val="0"/>
                      <w:color w:val="auto"/>
                      <w:kern w:val="2"/>
                      <w:sz w:val="21"/>
                      <w:szCs w:val="21"/>
                      <w:lang w:val="en-US" w:eastAsia="zh-CN" w:bidi="ar-SA"/>
                    </w:rPr>
                    <w:t>193.45</w:t>
                  </w:r>
                  <w:r>
                    <w:rPr>
                      <w:rFonts w:hint="eastAsia" w:ascii="Times New Roman" w:hAnsi="Times New Roman" w:eastAsia="宋体" w:cs="Times New Roman"/>
                      <w:b w:val="0"/>
                      <w:bCs w:val="0"/>
                      <w:color w:val="auto"/>
                      <w:kern w:val="2"/>
                      <w:sz w:val="21"/>
                      <w:szCs w:val="21"/>
                      <w:lang w:val="en-US" w:eastAsia="zh-CN" w:bidi="ar-SA"/>
                    </w:rPr>
                    <w:t>m</w:t>
                  </w:r>
                  <w:r>
                    <w:rPr>
                      <w:rFonts w:hint="eastAsia" w:ascii="Times New Roman" w:hAnsi="Times New Roman" w:eastAsia="宋体" w:cs="Times New Roman"/>
                      <w:b w:val="0"/>
                      <w:bCs w:val="0"/>
                      <w:color w:val="auto"/>
                      <w:kern w:val="2"/>
                      <w:sz w:val="21"/>
                      <w:szCs w:val="21"/>
                      <w:vertAlign w:val="superscript"/>
                      <w:lang w:val="en-US" w:eastAsia="zh-CN" w:bidi="ar-SA"/>
                    </w:rPr>
                    <w:t>3</w:t>
                  </w:r>
                  <w:r>
                    <w:rPr>
                      <w:rFonts w:hint="eastAsia" w:ascii="Times New Roman" w:hAnsi="Times New Roman" w:eastAsia="宋体" w:cs="Times New Roman"/>
                      <w:b w:val="0"/>
                      <w:bCs w:val="0"/>
                      <w:color w:val="auto"/>
                      <w:kern w:val="2"/>
                      <w:sz w:val="21"/>
                      <w:szCs w:val="21"/>
                      <w:lang w:val="en-US" w:eastAsia="zh-CN" w:bidi="ar-SA"/>
                    </w:rPr>
                    <w:t>/a</w:t>
                  </w:r>
                </w:p>
              </w:tc>
            </w:tr>
            <w:tr w14:paraId="6729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55" w:type="pct"/>
                  <w:noWrap w:val="0"/>
                  <w:vAlign w:val="center"/>
                </w:tcPr>
                <w:p w14:paraId="277249F0">
                  <w:pPr>
                    <w:keepNext w:val="0"/>
                    <w:keepLines w:val="0"/>
                    <w:widowControl/>
                    <w:suppressLineNumbers w:val="0"/>
                    <w:spacing w:before="0" w:beforeAutospacing="0" w:after="0" w:afterAutospacing="0"/>
                    <w:ind w:left="0" w:right="0"/>
                    <w:jc w:val="center"/>
                    <w:rPr>
                      <w:rFonts w:hint="eastAsia" w:cs="Times New Roman"/>
                      <w:color w:val="auto"/>
                      <w:szCs w:val="21"/>
                    </w:rPr>
                  </w:pPr>
                  <w:r>
                    <w:rPr>
                      <w:rFonts w:hint="eastAsia" w:cs="Times New Roman"/>
                      <w:color w:val="auto"/>
                      <w:szCs w:val="21"/>
                    </w:rPr>
                    <w:t>悬浮物</w:t>
                  </w:r>
                </w:p>
              </w:tc>
              <w:tc>
                <w:tcPr>
                  <w:tcW w:w="1330" w:type="pct"/>
                  <w:noWrap w:val="0"/>
                  <w:vAlign w:val="center"/>
                </w:tcPr>
                <w:p w14:paraId="4B0EB8D3">
                  <w:pPr>
                    <w:keepNext w:val="0"/>
                    <w:keepLines w:val="0"/>
                    <w:widowControl/>
                    <w:suppressLineNumbers w:val="0"/>
                    <w:spacing w:before="0" w:beforeAutospacing="0" w:after="0" w:afterAutospacing="0"/>
                    <w:ind w:left="0" w:right="0"/>
                    <w:jc w:val="center"/>
                    <w:rPr>
                      <w:rFonts w:hint="eastAsia" w:cs="Times New Roman"/>
                      <w:color w:val="auto"/>
                      <w:szCs w:val="21"/>
                    </w:rPr>
                  </w:pPr>
                  <w:r>
                    <w:rPr>
                      <w:rFonts w:hint="eastAsia" w:cs="Times New Roman"/>
                      <w:color w:val="auto"/>
                      <w:szCs w:val="21"/>
                      <w:lang w:val="en-US" w:eastAsia="zh-CN"/>
                    </w:rPr>
                    <w:t>50</w:t>
                  </w:r>
                  <w:r>
                    <w:rPr>
                      <w:rFonts w:hint="eastAsia" w:cs="Times New Roman"/>
                      <w:color w:val="auto"/>
                      <w:szCs w:val="21"/>
                    </w:rPr>
                    <w:t>mg/L</w:t>
                  </w:r>
                </w:p>
              </w:tc>
              <w:tc>
                <w:tcPr>
                  <w:tcW w:w="1323" w:type="pct"/>
                  <w:noWrap w:val="0"/>
                  <w:vAlign w:val="center"/>
                </w:tcPr>
                <w:p w14:paraId="28F84D5B">
                  <w:pPr>
                    <w:keepNext w:val="0"/>
                    <w:keepLines w:val="0"/>
                    <w:widowControl/>
                    <w:suppressLineNumbers w:val="0"/>
                    <w:spacing w:before="0" w:beforeAutospacing="0" w:after="0" w:afterAutospacing="0"/>
                    <w:ind w:left="0" w:right="0"/>
                    <w:jc w:val="center"/>
                    <w:rPr>
                      <w:rFonts w:hint="default" w:eastAsia="宋体" w:cs="Times New Roman"/>
                      <w:color w:val="auto"/>
                      <w:sz w:val="21"/>
                      <w:szCs w:val="21"/>
                      <w:lang w:val="en-US" w:eastAsia="zh-CN"/>
                    </w:rPr>
                  </w:pPr>
                  <w:r>
                    <w:rPr>
                      <w:rFonts w:hint="eastAsia" w:cs="Times New Roman"/>
                      <w:color w:val="auto"/>
                      <w:sz w:val="21"/>
                      <w:szCs w:val="21"/>
                      <w:lang w:val="en-US" w:eastAsia="zh-CN"/>
                    </w:rPr>
                    <w:t>0.026kg/d，0.0096</w:t>
                  </w:r>
                  <w:r>
                    <w:rPr>
                      <w:rFonts w:hint="eastAsia" w:ascii="Times New Roman" w:hAnsi="Times New Roman" w:eastAsia="宋体" w:cs="Times New Roman"/>
                      <w:color w:val="auto"/>
                      <w:sz w:val="21"/>
                      <w:szCs w:val="21"/>
                      <w:lang w:val="en-US" w:eastAsia="zh-CN"/>
                    </w:rPr>
                    <w:t>t/a</w:t>
                  </w:r>
                </w:p>
              </w:tc>
              <w:tc>
                <w:tcPr>
                  <w:tcW w:w="1391" w:type="pct"/>
                  <w:noWrap w:val="0"/>
                  <w:vAlign w:val="center"/>
                </w:tcPr>
                <w:p w14:paraId="02211653">
                  <w:pPr>
                    <w:keepNext w:val="0"/>
                    <w:keepLines w:val="0"/>
                    <w:widowControl/>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cs="Times New Roman"/>
                      <w:color w:val="auto"/>
                      <w:sz w:val="21"/>
                      <w:szCs w:val="21"/>
                      <w:lang w:val="en-US" w:eastAsia="zh-CN"/>
                    </w:rPr>
                    <w:t>0.026kg/d，0.0096</w:t>
                  </w:r>
                  <w:r>
                    <w:rPr>
                      <w:rFonts w:hint="eastAsia" w:ascii="Times New Roman" w:hAnsi="Times New Roman" w:eastAsia="宋体" w:cs="Times New Roman"/>
                      <w:color w:val="auto"/>
                      <w:sz w:val="21"/>
                      <w:szCs w:val="21"/>
                      <w:lang w:val="en-US" w:eastAsia="zh-CN"/>
                    </w:rPr>
                    <w:t>t/a</w:t>
                  </w:r>
                </w:p>
              </w:tc>
            </w:tr>
            <w:tr w14:paraId="623E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5" w:type="pct"/>
                  <w:noWrap w:val="0"/>
                  <w:vAlign w:val="center"/>
                </w:tcPr>
                <w:p w14:paraId="2E2C9EA9">
                  <w:pPr>
                    <w:keepNext w:val="0"/>
                    <w:keepLines w:val="0"/>
                    <w:widowControl/>
                    <w:suppressLineNumbers w:val="0"/>
                    <w:spacing w:before="0" w:beforeAutospacing="0" w:after="0" w:afterAutospacing="0"/>
                    <w:ind w:left="0" w:right="0"/>
                    <w:jc w:val="center"/>
                    <w:rPr>
                      <w:rFonts w:hint="eastAsia" w:cs="Times New Roman"/>
                      <w:color w:val="auto"/>
                      <w:szCs w:val="21"/>
                    </w:rPr>
                  </w:pPr>
                  <w:r>
                    <w:rPr>
                      <w:rFonts w:hint="eastAsia" w:cs="Times New Roman"/>
                      <w:color w:val="auto"/>
                      <w:szCs w:val="21"/>
                    </w:rPr>
                    <w:t>TDS</w:t>
                  </w:r>
                </w:p>
              </w:tc>
              <w:tc>
                <w:tcPr>
                  <w:tcW w:w="1330" w:type="pct"/>
                  <w:noWrap w:val="0"/>
                  <w:vAlign w:val="center"/>
                </w:tcPr>
                <w:p w14:paraId="0EA652D4">
                  <w:pPr>
                    <w:keepNext w:val="0"/>
                    <w:keepLines w:val="0"/>
                    <w:widowControl/>
                    <w:suppressLineNumbers w:val="0"/>
                    <w:spacing w:before="0" w:beforeAutospacing="0" w:after="0" w:afterAutospacing="0"/>
                    <w:ind w:left="0" w:right="0"/>
                    <w:jc w:val="center"/>
                    <w:rPr>
                      <w:rFonts w:hint="eastAsia" w:cs="Times New Roman"/>
                      <w:color w:val="auto"/>
                      <w:szCs w:val="21"/>
                    </w:rPr>
                  </w:pPr>
                  <w:r>
                    <w:rPr>
                      <w:rFonts w:hint="eastAsia" w:cs="Times New Roman"/>
                      <w:color w:val="auto"/>
                      <w:szCs w:val="21"/>
                    </w:rPr>
                    <w:t>1200 mg/L</w:t>
                  </w:r>
                </w:p>
              </w:tc>
              <w:tc>
                <w:tcPr>
                  <w:tcW w:w="1323" w:type="pct"/>
                  <w:noWrap w:val="0"/>
                  <w:vAlign w:val="center"/>
                </w:tcPr>
                <w:p w14:paraId="225EEA5B">
                  <w:pPr>
                    <w:keepNext w:val="0"/>
                    <w:keepLines w:val="0"/>
                    <w:widowControl/>
                    <w:suppressLineNumbers w:val="0"/>
                    <w:spacing w:before="0" w:beforeAutospacing="0" w:after="0" w:afterAutospacing="0"/>
                    <w:ind w:left="0" w:right="0"/>
                    <w:jc w:val="center"/>
                    <w:rPr>
                      <w:rFonts w:hint="default" w:cs="Times New Roman"/>
                      <w:color w:val="auto"/>
                      <w:sz w:val="21"/>
                      <w:szCs w:val="21"/>
                      <w:lang w:val="en-US"/>
                    </w:rPr>
                  </w:pPr>
                  <w:r>
                    <w:rPr>
                      <w:rFonts w:hint="eastAsia" w:cs="Times New Roman"/>
                      <w:color w:val="auto"/>
                      <w:sz w:val="21"/>
                      <w:szCs w:val="21"/>
                      <w:lang w:val="en-US" w:eastAsia="zh-CN"/>
                    </w:rPr>
                    <w:t>0.63kg/d，0.23</w:t>
                  </w:r>
                  <w:r>
                    <w:rPr>
                      <w:rFonts w:hint="eastAsia" w:ascii="Times New Roman" w:hAnsi="Times New Roman" w:eastAsia="宋体" w:cs="Times New Roman"/>
                      <w:color w:val="auto"/>
                      <w:sz w:val="21"/>
                      <w:szCs w:val="21"/>
                      <w:lang w:val="en-US" w:eastAsia="zh-CN"/>
                    </w:rPr>
                    <w:t>t/a</w:t>
                  </w:r>
                </w:p>
              </w:tc>
              <w:tc>
                <w:tcPr>
                  <w:tcW w:w="1391" w:type="pct"/>
                  <w:noWrap w:val="0"/>
                  <w:vAlign w:val="center"/>
                </w:tcPr>
                <w:p w14:paraId="2F1BE414">
                  <w:pPr>
                    <w:keepNext w:val="0"/>
                    <w:keepLines w:val="0"/>
                    <w:widowControl/>
                    <w:suppressLineNumbers w:val="0"/>
                    <w:spacing w:before="0" w:beforeAutospacing="0" w:after="0" w:afterAutospacing="0"/>
                    <w:ind w:left="0" w:right="0"/>
                    <w:jc w:val="center"/>
                    <w:rPr>
                      <w:rFonts w:hint="eastAsia" w:cs="Times New Roman"/>
                      <w:color w:val="auto"/>
                      <w:sz w:val="21"/>
                      <w:szCs w:val="21"/>
                      <w:lang w:val="en-US" w:eastAsia="zh-CN"/>
                    </w:rPr>
                  </w:pPr>
                  <w:r>
                    <w:rPr>
                      <w:rFonts w:hint="eastAsia" w:cs="Times New Roman"/>
                      <w:color w:val="auto"/>
                      <w:sz w:val="21"/>
                      <w:szCs w:val="21"/>
                      <w:lang w:val="en-US" w:eastAsia="zh-CN"/>
                    </w:rPr>
                    <w:t>0.63kg/d，0.23</w:t>
                  </w:r>
                  <w:r>
                    <w:rPr>
                      <w:rFonts w:hint="eastAsia" w:ascii="Times New Roman" w:hAnsi="Times New Roman" w:eastAsia="宋体" w:cs="Times New Roman"/>
                      <w:color w:val="auto"/>
                      <w:sz w:val="21"/>
                      <w:szCs w:val="21"/>
                      <w:lang w:val="en-US" w:eastAsia="zh-CN"/>
                    </w:rPr>
                    <w:t>t/a</w:t>
                  </w:r>
                </w:p>
              </w:tc>
            </w:tr>
          </w:tbl>
          <w:p w14:paraId="2F90F9C5">
            <w:pPr>
              <w:keepNext w:val="0"/>
              <w:keepLines w:val="0"/>
              <w:suppressLineNumbers w:val="0"/>
              <w:adjustRightInd w:val="0"/>
              <w:snapToGrid w:val="0"/>
              <w:spacing w:before="0" w:beforeAutospacing="0" w:after="0" w:afterAutospacing="0" w:line="360" w:lineRule="auto"/>
              <w:ind w:left="0" w:right="0" w:firstLine="480" w:firstLineChars="200"/>
              <w:jc w:val="left"/>
              <w:rPr>
                <w:rFonts w:hint="eastAsia" w:cs="Times New Roman"/>
                <w:color w:val="auto"/>
                <w:sz w:val="24"/>
                <w:highlight w:val="none"/>
              </w:rPr>
            </w:pPr>
            <w:r>
              <w:rPr>
                <w:rFonts w:hint="eastAsia" w:cs="Times New Roman"/>
                <w:color w:val="auto"/>
                <w:sz w:val="24"/>
                <w:highlight w:val="none"/>
              </w:rPr>
              <w:t>2、污水依托处理的可行性分析</w:t>
            </w:r>
          </w:p>
          <w:p w14:paraId="13C883F5">
            <w:pPr>
              <w:keepNext w:val="0"/>
              <w:keepLines w:val="0"/>
              <w:suppressLineNumbers w:val="0"/>
              <w:spacing w:before="0" w:beforeAutospacing="0" w:after="0" w:afterAutospacing="0" w:line="360" w:lineRule="auto"/>
              <w:ind w:left="0" w:right="0" w:firstLine="480"/>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rPr>
              <w:t>本项目位于工业场地</w:t>
            </w:r>
            <w:r>
              <w:rPr>
                <w:rFonts w:hint="eastAsia" w:cs="Times New Roman"/>
                <w:color w:val="auto"/>
                <w:sz w:val="24"/>
                <w:highlight w:val="none"/>
                <w:lang w:eastAsia="zh-CN"/>
              </w:rPr>
              <w:t>内</w:t>
            </w:r>
            <w:r>
              <w:rPr>
                <w:rFonts w:hint="eastAsia" w:cs="Times New Roman"/>
                <w:color w:val="auto"/>
                <w:sz w:val="24"/>
                <w:highlight w:val="none"/>
                <w:lang w:val="en-US" w:eastAsia="zh-CN"/>
              </w:rPr>
              <w:t>西北</w:t>
            </w:r>
            <w:r>
              <w:rPr>
                <w:rFonts w:hint="eastAsia" w:cs="Times New Roman"/>
                <w:color w:val="auto"/>
                <w:sz w:val="24"/>
                <w:highlight w:val="none"/>
                <w:lang w:eastAsia="zh-CN"/>
              </w:rPr>
              <w:t>侧</w:t>
            </w:r>
            <w:r>
              <w:rPr>
                <w:rFonts w:hint="eastAsia" w:cs="Times New Roman"/>
                <w:b w:val="0"/>
                <w:bCs w:val="0"/>
                <w:color w:val="auto"/>
                <w:sz w:val="24"/>
                <w:highlight w:val="none"/>
              </w:rPr>
              <w:t>，</w:t>
            </w:r>
            <w:r>
              <w:rPr>
                <w:rFonts w:hint="eastAsia" w:cs="Times New Roman"/>
                <w:b w:val="0"/>
                <w:bCs w:val="0"/>
                <w:color w:val="auto"/>
                <w:sz w:val="24"/>
                <w:highlight w:val="none"/>
                <w:lang w:eastAsia="zh-CN"/>
              </w:rPr>
              <w:t>为改扩建项目，项目周边</w:t>
            </w:r>
            <w:r>
              <w:rPr>
                <w:rFonts w:hint="eastAsia" w:cs="Times New Roman"/>
                <w:b w:val="0"/>
                <w:bCs w:val="0"/>
                <w:color w:val="auto"/>
                <w:sz w:val="24"/>
                <w:highlight w:val="none"/>
              </w:rPr>
              <w:t>已布置有污水管网，本项目污水可通过管网进入</w:t>
            </w:r>
            <w:r>
              <w:rPr>
                <w:rFonts w:hint="eastAsia" w:ascii="Times New Roman" w:hAnsi="Times New Roman" w:eastAsia="宋体" w:cs="Times New Roman"/>
                <w:color w:val="auto"/>
                <w:sz w:val="24"/>
                <w:highlight w:val="none"/>
                <w:lang w:eastAsia="zh-CN"/>
              </w:rPr>
              <w:t>矿井水处理站。</w:t>
            </w:r>
          </w:p>
          <w:p w14:paraId="4D892293">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sz w:val="24"/>
                <w:highlight w:val="none"/>
                <w:lang w:val="en-US" w:eastAsia="zh-CN"/>
              </w:rPr>
              <w:t>顾北煤矿工</w:t>
            </w:r>
            <w:r>
              <w:rPr>
                <w:rFonts w:hint="eastAsia" w:ascii="宋体" w:hAnsi="宋体" w:eastAsia="宋体" w:cs="宋体"/>
                <w:color w:val="auto"/>
                <w:kern w:val="0"/>
                <w:sz w:val="24"/>
                <w:szCs w:val="24"/>
                <w:highlight w:val="none"/>
                <w:lang w:val="en-US" w:eastAsia="zh-CN" w:bidi="ar"/>
              </w:rPr>
              <w:t>业场地建设</w:t>
            </w:r>
            <w:r>
              <w:rPr>
                <w:rFonts w:hint="default" w:ascii="Times New Roman" w:hAnsi="Times New Roman" w:eastAsia="宋体" w:cs="Times New Roman"/>
                <w:color w:val="auto"/>
                <w:kern w:val="0"/>
                <w:sz w:val="24"/>
                <w:szCs w:val="24"/>
                <w:highlight w:val="none"/>
                <w:lang w:val="en-US" w:eastAsia="zh-CN" w:bidi="ar"/>
              </w:rPr>
              <w:t>有矿井水处理站一座，矿井水处理站位于顾北矿井铁路线北侧，选煤厂南侧，设计处理能力12</w:t>
            </w:r>
            <w:r>
              <w:rPr>
                <w:rFonts w:hint="eastAsia" w:ascii="Times New Roman" w:hAnsi="Times New Roman" w:eastAsia="宋体"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val="en-US" w:eastAsia="zh-CN" w:bidi="ar"/>
              </w:rPr>
              <w:t>00m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 xml:space="preserve"> /d，采用混凝</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澄清</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过滤</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消毒处理工艺，处理后的矿井水大部分回用于矿井生产，剩余少量排放至</w:t>
            </w:r>
            <w:r>
              <w:rPr>
                <w:rFonts w:hint="eastAsia" w:ascii="Times New Roman" w:hAnsi="Times New Roman" w:eastAsia="宋体" w:cs="Times New Roman"/>
                <w:color w:val="auto"/>
                <w:kern w:val="0"/>
                <w:sz w:val="24"/>
                <w:szCs w:val="24"/>
                <w:highlight w:val="none"/>
                <w:lang w:val="en-US" w:eastAsia="zh-CN" w:bidi="ar"/>
              </w:rPr>
              <w:t>永幸河</w:t>
            </w:r>
            <w:r>
              <w:rPr>
                <w:rFonts w:hint="default" w:ascii="Times New Roman" w:hAnsi="Times New Roman" w:eastAsia="宋体" w:cs="Times New Roman"/>
                <w:color w:val="auto"/>
                <w:kern w:val="0"/>
                <w:sz w:val="24"/>
                <w:szCs w:val="24"/>
                <w:highlight w:val="none"/>
                <w:lang w:val="en-US" w:eastAsia="zh-CN" w:bidi="ar"/>
              </w:rPr>
              <w:t>，废水排放执行《煤炭工业污染物排放标准》(GB20426－2006)新建(改、扩)生产线标准限值要求。废水排放口设有流量计和1套水质在线监测仪，监测指标有流量、pH、COD 和 NH3-N。</w:t>
            </w:r>
          </w:p>
          <w:p w14:paraId="4CDCFC3A">
            <w:pPr>
              <w:keepNext w:val="0"/>
              <w:keepLines w:val="0"/>
              <w:suppressLineNumbers w:val="0"/>
              <w:spacing w:before="0" w:beforeAutospacing="0" w:after="0" w:afterAutospacing="0" w:line="360" w:lineRule="auto"/>
              <w:ind w:left="0" w:right="0" w:firstLine="480"/>
              <w:rPr>
                <w:rFonts w:hint="default" w:eastAsia="宋体" w:cs="Times New Roman"/>
                <w:color w:val="auto"/>
                <w:lang w:val="en-US" w:eastAsia="zh-CN"/>
              </w:rPr>
            </w:pPr>
            <w:r>
              <w:rPr>
                <w:rFonts w:hint="eastAsia" w:ascii="Times New Roman" w:hAnsi="Times New Roman" w:eastAsia="宋体" w:cs="Times New Roman"/>
                <w:color w:val="auto"/>
                <w:kern w:val="0"/>
                <w:sz w:val="24"/>
                <w:szCs w:val="24"/>
                <w:highlight w:val="none"/>
                <w:lang w:val="en-US" w:eastAsia="zh-CN" w:bidi="ar"/>
              </w:rPr>
              <w:t>根据在线数据显示，目前顾北煤矿工</w:t>
            </w:r>
            <w:r>
              <w:rPr>
                <w:rFonts w:hint="eastAsia" w:ascii="Times New Roman" w:hAnsi="Times New Roman" w:eastAsia="宋体" w:cs="Times New Roman"/>
                <w:color w:val="auto"/>
                <w:kern w:val="0"/>
                <w:sz w:val="24"/>
                <w:szCs w:val="24"/>
                <w:lang w:val="en-US" w:eastAsia="zh-CN" w:bidi="ar"/>
              </w:rPr>
              <w:t>业广场矿井水处理站日处理规模 6168t/d，</w:t>
            </w:r>
            <w:r>
              <w:rPr>
                <w:rFonts w:hint="default" w:ascii="Times New Roman" w:hAnsi="Times New Roman" w:cs="Times New Roman"/>
                <w:b w:val="0"/>
                <w:bCs w:val="0"/>
                <w:color w:val="auto"/>
                <w:sz w:val="24"/>
                <w:lang w:eastAsia="zh-CN"/>
              </w:rPr>
              <w:t>处理能力还有较大富余</w:t>
            </w:r>
            <w:r>
              <w:rPr>
                <w:rFonts w:hint="eastAsia" w:ascii="Times New Roman" w:hAnsi="Times New Roman" w:cs="Times New Roman"/>
                <w:b w:val="0"/>
                <w:bCs w:val="0"/>
                <w:color w:val="auto"/>
                <w:sz w:val="24"/>
                <w:lang w:eastAsia="zh-CN"/>
              </w:rPr>
              <w:t>，</w:t>
            </w:r>
            <w:r>
              <w:rPr>
                <w:rFonts w:hint="eastAsia" w:ascii="Times New Roman" w:hAnsi="Times New Roman" w:eastAsia="宋体" w:cs="Times New Roman"/>
                <w:color w:val="auto"/>
                <w:kern w:val="0"/>
                <w:sz w:val="24"/>
                <w:szCs w:val="24"/>
                <w:lang w:val="en-US" w:eastAsia="zh-CN" w:bidi="ar"/>
              </w:rPr>
              <w:t>剩余处理负荷能够容纳本项目废水处理。本</w:t>
            </w:r>
            <w:r>
              <w:rPr>
                <w:rFonts w:hint="eastAsia" w:cs="Times New Roman"/>
                <w:color w:val="auto"/>
                <w:sz w:val="24"/>
                <w:lang w:eastAsia="zh-CN"/>
              </w:rPr>
              <w:t>项目污水依托处理是可行的。</w:t>
            </w:r>
          </w:p>
          <w:p w14:paraId="6096BB8F">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rPr>
            </w:pPr>
            <w:r>
              <w:rPr>
                <w:rFonts w:hint="eastAsia" w:cs="Times New Roman"/>
                <w:color w:val="auto"/>
                <w:sz w:val="24"/>
                <w:lang w:eastAsia="zh-CN"/>
              </w:rPr>
              <w:t>矿井水</w:t>
            </w:r>
            <w:r>
              <w:rPr>
                <w:rFonts w:hint="eastAsia" w:cs="Times New Roman"/>
                <w:color w:val="auto"/>
                <w:sz w:val="24"/>
              </w:rPr>
              <w:t>处理工艺流程</w:t>
            </w:r>
            <w:r>
              <w:rPr>
                <w:rFonts w:hint="default" w:cs="Times New Roman"/>
                <w:color w:val="auto"/>
                <w:sz w:val="24"/>
              </w:rPr>
              <w:t>见下图</w:t>
            </w:r>
            <w:r>
              <w:rPr>
                <w:rFonts w:hint="eastAsia" w:cs="Times New Roman"/>
                <w:color w:val="auto"/>
                <w:sz w:val="24"/>
              </w:rPr>
              <w:t>。</w:t>
            </w:r>
          </w:p>
          <w:p w14:paraId="29586F68">
            <w:pPr>
              <w:keepNext w:val="0"/>
              <w:keepLines w:val="0"/>
              <w:suppressLineNumbers w:val="0"/>
              <w:spacing w:before="0" w:beforeAutospacing="0" w:after="0" w:afterAutospacing="0" w:line="360" w:lineRule="auto"/>
              <w:ind w:left="0" w:right="0" w:firstLine="420" w:firstLineChars="200"/>
              <w:rPr>
                <w:rFonts w:hint="eastAsia" w:cs="Times New Roman"/>
                <w:color w:val="auto"/>
                <w:sz w:val="24"/>
              </w:rPr>
            </w:pPr>
            <w:r>
              <w:rPr>
                <w:rFonts w:hint="default" w:cs="Times New Roman"/>
              </w:rPr>
              <w:drawing>
                <wp:inline distT="0" distB="0" distL="114300" distR="114300">
                  <wp:extent cx="4660900" cy="4731385"/>
                  <wp:effectExtent l="0" t="0" r="6350" b="12065"/>
                  <wp:docPr id="8"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34"/>
                          <pic:cNvPicPr>
                            <a:picLocks noChangeAspect="1"/>
                          </pic:cNvPicPr>
                        </pic:nvPicPr>
                        <pic:blipFill>
                          <a:blip r:embed="rId18"/>
                          <a:stretch>
                            <a:fillRect/>
                          </a:stretch>
                        </pic:blipFill>
                        <pic:spPr>
                          <a:xfrm>
                            <a:off x="0" y="0"/>
                            <a:ext cx="4660900" cy="4731385"/>
                          </a:xfrm>
                          <a:prstGeom prst="rect">
                            <a:avLst/>
                          </a:prstGeom>
                          <a:noFill/>
                          <a:ln>
                            <a:noFill/>
                          </a:ln>
                        </pic:spPr>
                      </pic:pic>
                    </a:graphicData>
                  </a:graphic>
                </wp:inline>
              </w:drawing>
            </w:r>
          </w:p>
          <w:p w14:paraId="31FAEA0D">
            <w:pPr>
              <w:keepNext w:val="0"/>
              <w:keepLines w:val="0"/>
              <w:numPr>
                <w:ilvl w:val="0"/>
                <w:numId w:val="9"/>
              </w:numPr>
              <w:suppressLineNumbers w:val="0"/>
              <w:spacing w:before="0" w:beforeAutospacing="0" w:after="0" w:afterAutospacing="0" w:line="360" w:lineRule="auto"/>
              <w:ind w:left="0" w:leftChars="0" w:right="0" w:firstLine="560" w:firstLineChars="0"/>
              <w:jc w:val="center"/>
              <w:rPr>
                <w:rFonts w:hint="eastAsia" w:ascii="Times New Roman" w:hAnsi="Times New Roman" w:eastAsia="宋体" w:cs="Times New Roman"/>
                <w:b w:val="0"/>
                <w:color w:val="auto"/>
                <w:kern w:val="2"/>
                <w:sz w:val="24"/>
                <w:szCs w:val="24"/>
                <w:lang w:val="en-US" w:eastAsia="zh-CN" w:bidi="ar-SA"/>
              </w:rPr>
            </w:pPr>
            <w:r>
              <w:rPr>
                <w:rFonts w:hint="eastAsia" w:cs="Times New Roman"/>
                <w:color w:val="auto"/>
                <w:lang w:val="en-US" w:eastAsia="zh-CN"/>
              </w:rPr>
              <w:t xml:space="preserve"> </w:t>
            </w:r>
            <w:r>
              <w:rPr>
                <w:rFonts w:hint="eastAsia" w:cs="Times New Roman"/>
                <w:color w:val="auto"/>
              </w:rPr>
              <w:t xml:space="preserve"> </w:t>
            </w:r>
            <w:r>
              <w:rPr>
                <w:rFonts w:hint="eastAsia" w:ascii="Times New Roman" w:hAnsi="Times New Roman" w:eastAsia="宋体" w:cs="Times New Roman"/>
                <w:b w:val="0"/>
                <w:color w:val="auto"/>
                <w:kern w:val="2"/>
                <w:sz w:val="24"/>
                <w:szCs w:val="24"/>
                <w:lang w:val="en-US" w:eastAsia="zh-CN" w:bidi="ar-SA"/>
              </w:rPr>
              <w:t>矿井水处理工艺流程图</w:t>
            </w:r>
          </w:p>
          <w:p w14:paraId="03C27C5A">
            <w:pPr>
              <w:keepNext w:val="0"/>
              <w:keepLines w:val="0"/>
              <w:numPr>
                <w:ilvl w:val="0"/>
                <w:numId w:val="0"/>
              </w:numPr>
              <w:suppressLineNumbers w:val="0"/>
              <w:spacing w:before="0" w:beforeAutospacing="0" w:after="0" w:afterAutospacing="0" w:line="360" w:lineRule="auto"/>
              <w:ind w:left="368" w:leftChars="175" w:right="0"/>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3、环境监测</w:t>
            </w:r>
          </w:p>
          <w:p w14:paraId="39886AE9">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本项目生产废水进入</w:t>
            </w:r>
            <w:r>
              <w:rPr>
                <w:rFonts w:hint="default" w:ascii="Times New Roman" w:hAnsi="Times New Roman" w:eastAsia="宋体" w:cs="Times New Roman"/>
                <w:color w:val="auto"/>
                <w:kern w:val="0"/>
                <w:sz w:val="24"/>
                <w:szCs w:val="24"/>
                <w:lang w:val="en-US" w:eastAsia="zh-CN" w:bidi="ar"/>
              </w:rPr>
              <w:t>矿井水处</w:t>
            </w:r>
            <w:r>
              <w:rPr>
                <w:rFonts w:hint="eastAsia" w:ascii="Times New Roman" w:hAnsi="Times New Roman" w:eastAsia="宋体" w:cs="Times New Roman"/>
                <w:color w:val="auto"/>
                <w:kern w:val="0"/>
                <w:sz w:val="24"/>
                <w:szCs w:val="24"/>
                <w:lang w:val="en-US" w:eastAsia="zh-CN" w:bidi="ar"/>
              </w:rPr>
              <w:t>理站进行处理，顾北煤矿根据已根据申领的排污许可证自行监测要求对废水排放进行日常监测，本项目废水无需单独进行监测。</w:t>
            </w:r>
          </w:p>
          <w:p w14:paraId="5E1BD20A">
            <w:pPr>
              <w:keepNext w:val="0"/>
              <w:keepLines w:val="0"/>
              <w:suppressLineNumbers w:val="0"/>
              <w:spacing w:before="0" w:beforeAutospacing="0" w:after="0" w:afterAutospacing="0" w:line="360" w:lineRule="auto"/>
              <w:ind w:left="0" w:right="0" w:firstLine="482" w:firstLineChars="200"/>
              <w:rPr>
                <w:rFonts w:hint="default" w:cs="Times New Roman"/>
                <w:b/>
                <w:color w:val="auto"/>
                <w:sz w:val="24"/>
              </w:rPr>
            </w:pPr>
            <w:r>
              <w:rPr>
                <w:rFonts w:hint="eastAsia" w:cs="Times New Roman"/>
                <w:b/>
                <w:color w:val="auto"/>
                <w:sz w:val="24"/>
              </w:rPr>
              <w:t>二、运营期大气环境影响和保护措施</w:t>
            </w:r>
          </w:p>
          <w:p w14:paraId="755B987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本项目主要为瓦斯抽采系统进行瓦斯抽采，抽采的低浓度瓦斯输送至顾北煤矿超低浓度瓦斯清洁高效综合利用示范项目进行综合利用（用于发电）。本项目无瓦斯外排，项目运营期不会对大气环境产生影响。</w:t>
            </w:r>
          </w:p>
          <w:p w14:paraId="69AAC8BF">
            <w:pPr>
              <w:keepNext w:val="0"/>
              <w:keepLines w:val="0"/>
              <w:suppressLineNumbers w:val="0"/>
              <w:spacing w:before="0" w:beforeAutospacing="0" w:after="0" w:afterAutospacing="0" w:line="360" w:lineRule="auto"/>
              <w:ind w:left="0" w:right="0" w:firstLine="482" w:firstLineChars="200"/>
              <w:rPr>
                <w:rFonts w:hint="default" w:cs="Times New Roman"/>
                <w:b/>
                <w:color w:val="auto"/>
                <w:sz w:val="24"/>
              </w:rPr>
            </w:pPr>
            <w:r>
              <w:rPr>
                <w:rFonts w:hint="eastAsia" w:cs="Times New Roman"/>
                <w:b/>
                <w:color w:val="auto"/>
                <w:sz w:val="24"/>
              </w:rPr>
              <w:t>三、运营期声环境影响和保护措施</w:t>
            </w:r>
          </w:p>
          <w:p w14:paraId="6CEF1447">
            <w:pPr>
              <w:pStyle w:val="89"/>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1</w:t>
            </w:r>
            <w:r>
              <w:rPr>
                <w:rFonts w:hint="default" w:cs="Times New Roman"/>
                <w:color w:val="auto"/>
              </w:rPr>
              <w:t>、噪声污染源强</w:t>
            </w:r>
          </w:p>
          <w:p w14:paraId="15E7FEC5">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highlight w:val="none"/>
              </w:rPr>
            </w:pPr>
            <w:r>
              <w:rPr>
                <w:rFonts w:hint="default" w:cs="Times New Roman"/>
                <w:color w:val="auto"/>
                <w:sz w:val="24"/>
                <w:highlight w:val="none"/>
              </w:rPr>
              <w:t>本项目</w:t>
            </w:r>
            <w:r>
              <w:rPr>
                <w:rFonts w:hint="eastAsia" w:cs="Times New Roman"/>
                <w:color w:val="auto"/>
                <w:sz w:val="24"/>
                <w:highlight w:val="none"/>
              </w:rPr>
              <w:t>运营期</w:t>
            </w:r>
            <w:r>
              <w:rPr>
                <w:rFonts w:hint="default" w:cs="Times New Roman"/>
                <w:color w:val="auto"/>
                <w:sz w:val="24"/>
                <w:highlight w:val="none"/>
              </w:rPr>
              <w:t>噪声主要来自</w:t>
            </w:r>
            <w:r>
              <w:rPr>
                <w:rFonts w:hint="eastAsia" w:cs="Times New Roman"/>
                <w:color w:val="auto"/>
                <w:sz w:val="24"/>
                <w:highlight w:val="none"/>
                <w:lang w:eastAsia="zh-CN"/>
              </w:rPr>
              <w:t>抽采泵站设备运行噪声，包括水环式真空泵、冷热水泵、冷却塔等</w:t>
            </w:r>
            <w:r>
              <w:rPr>
                <w:rFonts w:hint="eastAsia" w:cs="Times New Roman"/>
                <w:color w:val="auto"/>
                <w:sz w:val="24"/>
                <w:highlight w:val="none"/>
              </w:rPr>
              <w:t>。各声源</w:t>
            </w:r>
            <w:r>
              <w:rPr>
                <w:rFonts w:hint="eastAsia" w:cs="Times New Roman"/>
                <w:color w:val="auto"/>
                <w:sz w:val="24"/>
                <w:highlight w:val="none"/>
                <w:lang w:eastAsia="zh-CN"/>
              </w:rPr>
              <w:t>情况</w:t>
            </w:r>
            <w:r>
              <w:rPr>
                <w:rFonts w:hint="eastAsia" w:cs="Times New Roman"/>
                <w:color w:val="auto"/>
                <w:sz w:val="24"/>
                <w:highlight w:val="none"/>
              </w:rPr>
              <w:t>如下表所示</w:t>
            </w:r>
            <w:r>
              <w:rPr>
                <w:rFonts w:hint="default" w:cs="Times New Roman"/>
                <w:color w:val="auto"/>
                <w:sz w:val="24"/>
                <w:highlight w:val="none"/>
              </w:rPr>
              <w:t>。</w:t>
            </w:r>
          </w:p>
          <w:p w14:paraId="0D19F872">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lang w:val="en-US" w:eastAsia="zh-CN"/>
              </w:rPr>
              <w:t>项目</w:t>
            </w:r>
            <w:r>
              <w:rPr>
                <w:rFonts w:hint="eastAsia" w:ascii="Times New Roman" w:hAnsi="Times New Roman" w:eastAsia="宋体" w:cs="Times New Roman"/>
                <w:bCs/>
                <w:color w:val="auto"/>
                <w:sz w:val="24"/>
                <w:szCs w:val="24"/>
                <w:highlight w:val="none"/>
                <w:lang w:eastAsia="zh-CN"/>
              </w:rPr>
              <w:t xml:space="preserve">噪声源强调查清单（室内声源） </w:t>
            </w:r>
            <w:r>
              <w:rPr>
                <w:rFonts w:hint="default" w:ascii="Times New Roman" w:hAnsi="Times New Roman" w:eastAsia="宋体" w:cs="Times New Roman"/>
                <w:bCs/>
                <w:color w:val="auto"/>
                <w:sz w:val="24"/>
                <w:szCs w:val="24"/>
                <w:highlight w:val="none"/>
              </w:rPr>
              <w:t xml:space="preserve">  单位:dB（A）</w:t>
            </w:r>
          </w:p>
          <w:tbl>
            <w:tblPr>
              <w:tblStyle w:val="28"/>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377"/>
              <w:gridCol w:w="377"/>
              <w:gridCol w:w="377"/>
              <w:gridCol w:w="537"/>
              <w:gridCol w:w="950"/>
              <w:gridCol w:w="699"/>
              <w:gridCol w:w="377"/>
              <w:gridCol w:w="430"/>
              <w:gridCol w:w="419"/>
              <w:gridCol w:w="418"/>
              <w:gridCol w:w="672"/>
              <w:gridCol w:w="583"/>
              <w:gridCol w:w="672"/>
              <w:gridCol w:w="578"/>
              <w:gridCol w:w="380"/>
            </w:tblGrid>
            <w:tr w14:paraId="14A7A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24" w:hRule="atLeast"/>
                <w:jc w:val="center"/>
              </w:trPr>
              <w:tc>
                <w:tcPr>
                  <w:tcW w:w="240" w:type="pct"/>
                  <w:vMerge w:val="restart"/>
                  <w:noWrap w:val="0"/>
                  <w:vAlign w:val="center"/>
                </w:tcPr>
                <w:p w14:paraId="537B282F">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序号</w:t>
                  </w:r>
                </w:p>
              </w:tc>
              <w:tc>
                <w:tcPr>
                  <w:tcW w:w="240" w:type="pct"/>
                  <w:vMerge w:val="restart"/>
                  <w:noWrap w:val="0"/>
                  <w:vAlign w:val="center"/>
                </w:tcPr>
                <w:p w14:paraId="528B0626">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建筑物名称</w:t>
                  </w:r>
                </w:p>
              </w:tc>
              <w:tc>
                <w:tcPr>
                  <w:tcW w:w="240" w:type="pct"/>
                  <w:vMerge w:val="restart"/>
                  <w:noWrap w:val="0"/>
                  <w:vAlign w:val="center"/>
                </w:tcPr>
                <w:p w14:paraId="2EBD284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声源名称</w:t>
                  </w:r>
                </w:p>
              </w:tc>
              <w:tc>
                <w:tcPr>
                  <w:tcW w:w="342" w:type="pct"/>
                  <w:vMerge w:val="restart"/>
                  <w:noWrap w:val="0"/>
                  <w:vAlign w:val="center"/>
                </w:tcPr>
                <w:p w14:paraId="649FF71E">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数量</w:t>
                  </w:r>
                </w:p>
                <w:p w14:paraId="42E16B9F">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（台/套）</w:t>
                  </w:r>
                </w:p>
              </w:tc>
              <w:tc>
                <w:tcPr>
                  <w:tcW w:w="605" w:type="pct"/>
                  <w:vMerge w:val="restart"/>
                  <w:noWrap w:val="0"/>
                  <w:vAlign w:val="center"/>
                </w:tcPr>
                <w:p w14:paraId="0051B62B">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距噪声源 1 米处声压级（dB(A)）</w:t>
                  </w:r>
                </w:p>
              </w:tc>
              <w:tc>
                <w:tcPr>
                  <w:tcW w:w="445" w:type="pct"/>
                  <w:vMerge w:val="restart"/>
                  <w:noWrap w:val="0"/>
                  <w:vAlign w:val="center"/>
                </w:tcPr>
                <w:p w14:paraId="17464565">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措施</w:t>
                  </w:r>
                </w:p>
              </w:tc>
              <w:tc>
                <w:tcPr>
                  <w:tcW w:w="781" w:type="pct"/>
                  <w:gridSpan w:val="3"/>
                  <w:noWrap w:val="0"/>
                  <w:vAlign w:val="center"/>
                </w:tcPr>
                <w:p w14:paraId="4AF5B48B">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空间相对位置</w:t>
                  </w:r>
                </w:p>
              </w:tc>
              <w:tc>
                <w:tcPr>
                  <w:tcW w:w="266" w:type="pct"/>
                  <w:vMerge w:val="restart"/>
                  <w:noWrap w:val="0"/>
                  <w:vAlign w:val="center"/>
                </w:tcPr>
                <w:p w14:paraId="52B3427B">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距室内边界距离</w:t>
                  </w:r>
                </w:p>
              </w:tc>
              <w:tc>
                <w:tcPr>
                  <w:tcW w:w="428" w:type="pct"/>
                  <w:vMerge w:val="restart"/>
                  <w:noWrap w:val="0"/>
                  <w:vAlign w:val="center"/>
                </w:tcPr>
                <w:p w14:paraId="170228CC">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室内边界声级/dB(A)</w:t>
                  </w:r>
                </w:p>
              </w:tc>
              <w:tc>
                <w:tcPr>
                  <w:tcW w:w="371" w:type="pct"/>
                  <w:vMerge w:val="restart"/>
                  <w:noWrap w:val="0"/>
                  <w:vAlign w:val="center"/>
                </w:tcPr>
                <w:p w14:paraId="5C41D3C7">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运行时段</w:t>
                  </w:r>
                </w:p>
              </w:tc>
              <w:tc>
                <w:tcPr>
                  <w:tcW w:w="428" w:type="pct"/>
                  <w:vMerge w:val="restart"/>
                  <w:noWrap w:val="0"/>
                  <w:vAlign w:val="center"/>
                </w:tcPr>
                <w:p w14:paraId="6F8879EF">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建筑物插入损失/dB(A)</w:t>
                  </w:r>
                </w:p>
              </w:tc>
              <w:tc>
                <w:tcPr>
                  <w:tcW w:w="609" w:type="pct"/>
                  <w:gridSpan w:val="2"/>
                  <w:noWrap w:val="0"/>
                  <w:vAlign w:val="center"/>
                </w:tcPr>
                <w:p w14:paraId="25E316F7">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建筑外噪声</w:t>
                  </w:r>
                </w:p>
              </w:tc>
            </w:tr>
            <w:tr w14:paraId="49977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49" w:hRule="atLeast"/>
                <w:jc w:val="center"/>
              </w:trPr>
              <w:tc>
                <w:tcPr>
                  <w:tcW w:w="240" w:type="pct"/>
                  <w:vMerge w:val="continue"/>
                  <w:noWrap w:val="0"/>
                  <w:vAlign w:val="center"/>
                </w:tcPr>
                <w:p w14:paraId="63BA9A1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p>
              </w:tc>
              <w:tc>
                <w:tcPr>
                  <w:tcW w:w="240" w:type="pct"/>
                  <w:vMerge w:val="continue"/>
                  <w:noWrap w:val="0"/>
                  <w:vAlign w:val="center"/>
                </w:tcPr>
                <w:p w14:paraId="230BA481">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p>
              </w:tc>
              <w:tc>
                <w:tcPr>
                  <w:tcW w:w="240" w:type="pct"/>
                  <w:vMerge w:val="continue"/>
                  <w:noWrap w:val="0"/>
                  <w:vAlign w:val="center"/>
                </w:tcPr>
                <w:p w14:paraId="7D2AF4A6">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p>
              </w:tc>
              <w:tc>
                <w:tcPr>
                  <w:tcW w:w="342" w:type="pct"/>
                  <w:vMerge w:val="continue"/>
                  <w:noWrap w:val="0"/>
                  <w:vAlign w:val="center"/>
                </w:tcPr>
                <w:p w14:paraId="48244D2F">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p>
              </w:tc>
              <w:tc>
                <w:tcPr>
                  <w:tcW w:w="605" w:type="pct"/>
                  <w:vMerge w:val="continue"/>
                  <w:noWrap w:val="0"/>
                  <w:vAlign w:val="center"/>
                </w:tcPr>
                <w:p w14:paraId="74739A2F">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p>
              </w:tc>
              <w:tc>
                <w:tcPr>
                  <w:tcW w:w="445" w:type="pct"/>
                  <w:vMerge w:val="continue"/>
                  <w:noWrap w:val="0"/>
                  <w:vAlign w:val="center"/>
                </w:tcPr>
                <w:p w14:paraId="60BF0A12">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p>
              </w:tc>
              <w:tc>
                <w:tcPr>
                  <w:tcW w:w="240" w:type="pct"/>
                  <w:noWrap w:val="0"/>
                  <w:vAlign w:val="center"/>
                </w:tcPr>
                <w:p w14:paraId="411453B8">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X</w:t>
                  </w:r>
                </w:p>
              </w:tc>
              <w:tc>
                <w:tcPr>
                  <w:tcW w:w="274" w:type="pct"/>
                  <w:noWrap w:val="0"/>
                  <w:vAlign w:val="center"/>
                </w:tcPr>
                <w:p w14:paraId="7FF32B11">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Y</w:t>
                  </w:r>
                </w:p>
              </w:tc>
              <w:tc>
                <w:tcPr>
                  <w:tcW w:w="266" w:type="pct"/>
                  <w:noWrap w:val="0"/>
                  <w:vAlign w:val="center"/>
                </w:tcPr>
                <w:p w14:paraId="227061F1">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Z</w:t>
                  </w:r>
                </w:p>
              </w:tc>
              <w:tc>
                <w:tcPr>
                  <w:tcW w:w="266" w:type="pct"/>
                  <w:vMerge w:val="continue"/>
                  <w:noWrap w:val="0"/>
                  <w:vAlign w:val="center"/>
                </w:tcPr>
                <w:p w14:paraId="53D39640">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p>
              </w:tc>
              <w:tc>
                <w:tcPr>
                  <w:tcW w:w="428" w:type="pct"/>
                  <w:vMerge w:val="continue"/>
                  <w:noWrap w:val="0"/>
                  <w:vAlign w:val="center"/>
                </w:tcPr>
                <w:p w14:paraId="3B8F5C8D">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p>
              </w:tc>
              <w:tc>
                <w:tcPr>
                  <w:tcW w:w="371" w:type="pct"/>
                  <w:vMerge w:val="continue"/>
                  <w:noWrap w:val="0"/>
                  <w:vAlign w:val="center"/>
                </w:tcPr>
                <w:p w14:paraId="4F7F77E3">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p>
              </w:tc>
              <w:tc>
                <w:tcPr>
                  <w:tcW w:w="428" w:type="pct"/>
                  <w:vMerge w:val="continue"/>
                  <w:noWrap w:val="0"/>
                  <w:vAlign w:val="center"/>
                </w:tcPr>
                <w:p w14:paraId="02FE48F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p>
              </w:tc>
              <w:tc>
                <w:tcPr>
                  <w:tcW w:w="368" w:type="pct"/>
                  <w:noWrap w:val="0"/>
                  <w:vAlign w:val="center"/>
                </w:tcPr>
                <w:p w14:paraId="33680E4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建筑外噪声</w:t>
                  </w:r>
                </w:p>
              </w:tc>
              <w:tc>
                <w:tcPr>
                  <w:tcW w:w="240" w:type="pct"/>
                  <w:noWrap w:val="0"/>
                  <w:vAlign w:val="center"/>
                </w:tcPr>
                <w:p w14:paraId="1930650B">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建筑</w:t>
                  </w:r>
                </w:p>
                <w:p w14:paraId="023041FF">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物外</w:t>
                  </w:r>
                </w:p>
                <w:p w14:paraId="117EA8D2">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距离</w:t>
                  </w:r>
                </w:p>
              </w:tc>
            </w:tr>
            <w:tr w14:paraId="75EB4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96" w:hRule="atLeast"/>
                <w:jc w:val="center"/>
              </w:trPr>
              <w:tc>
                <w:tcPr>
                  <w:tcW w:w="240" w:type="pct"/>
                  <w:noWrap w:val="0"/>
                  <w:vAlign w:val="center"/>
                </w:tcPr>
                <w:p w14:paraId="54AAD0A7">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40" w:type="pct"/>
                  <w:vMerge w:val="restart"/>
                  <w:noWrap w:val="0"/>
                  <w:vAlign w:val="center"/>
                </w:tcPr>
                <w:p w14:paraId="0F8D724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水泵房</w:t>
                  </w:r>
                </w:p>
              </w:tc>
              <w:tc>
                <w:tcPr>
                  <w:tcW w:w="240" w:type="pct"/>
                  <w:noWrap w:val="0"/>
                  <w:vAlign w:val="center"/>
                </w:tcPr>
                <w:p w14:paraId="7237CDB1">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冷水泵</w:t>
                  </w:r>
                </w:p>
              </w:tc>
              <w:tc>
                <w:tcPr>
                  <w:tcW w:w="342" w:type="pct"/>
                  <w:noWrap w:val="0"/>
                  <w:vAlign w:val="center"/>
                </w:tcPr>
                <w:p w14:paraId="5D512D7E">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2（1用1备）</w:t>
                  </w:r>
                </w:p>
              </w:tc>
              <w:tc>
                <w:tcPr>
                  <w:tcW w:w="605" w:type="pct"/>
                  <w:noWrap w:val="0"/>
                  <w:vAlign w:val="center"/>
                </w:tcPr>
                <w:p w14:paraId="28E6DE05">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85</w:t>
                  </w:r>
                </w:p>
              </w:tc>
              <w:tc>
                <w:tcPr>
                  <w:tcW w:w="445" w:type="pct"/>
                  <w:vMerge w:val="restart"/>
                  <w:noWrap w:val="0"/>
                  <w:vAlign w:val="center"/>
                </w:tcPr>
                <w:p w14:paraId="75645DF2">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选用低噪声设备、厂房隔声、减震、、隔音墙</w:t>
                  </w:r>
                </w:p>
              </w:tc>
              <w:tc>
                <w:tcPr>
                  <w:tcW w:w="240" w:type="pct"/>
                  <w:noWrap w:val="0"/>
                  <w:vAlign w:val="center"/>
                </w:tcPr>
                <w:p w14:paraId="45964FEB">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w:t>
                  </w:r>
                </w:p>
              </w:tc>
              <w:tc>
                <w:tcPr>
                  <w:tcW w:w="274" w:type="pct"/>
                  <w:noWrap w:val="0"/>
                  <w:vAlign w:val="center"/>
                </w:tcPr>
                <w:p w14:paraId="754E9ADC">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6-7</w:t>
                  </w:r>
                </w:p>
              </w:tc>
              <w:tc>
                <w:tcPr>
                  <w:tcW w:w="266" w:type="pct"/>
                  <w:noWrap w:val="0"/>
                  <w:vAlign w:val="center"/>
                </w:tcPr>
                <w:p w14:paraId="699FA726">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266" w:type="pct"/>
                  <w:noWrap w:val="0"/>
                  <w:vAlign w:val="center"/>
                </w:tcPr>
                <w:p w14:paraId="6F20E65B">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w:t>
                  </w:r>
                </w:p>
              </w:tc>
              <w:tc>
                <w:tcPr>
                  <w:tcW w:w="428" w:type="pct"/>
                  <w:noWrap w:val="0"/>
                  <w:vAlign w:val="center"/>
                </w:tcPr>
                <w:p w14:paraId="3357AFFF">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69.44</w:t>
                  </w:r>
                </w:p>
              </w:tc>
              <w:tc>
                <w:tcPr>
                  <w:tcW w:w="371" w:type="pct"/>
                  <w:noWrap w:val="0"/>
                  <w:vAlign w:val="center"/>
                </w:tcPr>
                <w:p w14:paraId="33E53031">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24h/d</w:t>
                  </w:r>
                </w:p>
              </w:tc>
              <w:tc>
                <w:tcPr>
                  <w:tcW w:w="428" w:type="pct"/>
                  <w:noWrap w:val="0"/>
                  <w:vAlign w:val="center"/>
                </w:tcPr>
                <w:p w14:paraId="5277E640">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368" w:type="pct"/>
                  <w:noWrap w:val="0"/>
                  <w:vAlign w:val="center"/>
                </w:tcPr>
                <w:p w14:paraId="098509E8">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49.44</w:t>
                  </w:r>
                </w:p>
              </w:tc>
              <w:tc>
                <w:tcPr>
                  <w:tcW w:w="240" w:type="pct"/>
                  <w:noWrap w:val="0"/>
                  <w:vAlign w:val="center"/>
                </w:tcPr>
                <w:p w14:paraId="069A995B">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18"/>
                      <w:szCs w:val="18"/>
                      <w:lang w:val="en-US" w:eastAsia="zh-CN"/>
                    </w:rPr>
                    <w:t>1</w:t>
                  </w:r>
                </w:p>
              </w:tc>
            </w:tr>
            <w:tr w14:paraId="4853E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0" w:hRule="atLeast"/>
                <w:jc w:val="center"/>
              </w:trPr>
              <w:tc>
                <w:tcPr>
                  <w:tcW w:w="240" w:type="pct"/>
                  <w:noWrap w:val="0"/>
                  <w:vAlign w:val="center"/>
                </w:tcPr>
                <w:p w14:paraId="02E7CF01">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240" w:type="pct"/>
                  <w:vMerge w:val="continue"/>
                  <w:noWrap w:val="0"/>
                  <w:vAlign w:val="center"/>
                </w:tcPr>
                <w:p w14:paraId="124D64C7">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p>
              </w:tc>
              <w:tc>
                <w:tcPr>
                  <w:tcW w:w="240" w:type="pct"/>
                  <w:noWrap w:val="0"/>
                  <w:vAlign w:val="center"/>
                </w:tcPr>
                <w:p w14:paraId="33DEB8ED">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热水泵</w:t>
                  </w:r>
                </w:p>
              </w:tc>
              <w:tc>
                <w:tcPr>
                  <w:tcW w:w="342" w:type="pct"/>
                  <w:noWrap w:val="0"/>
                  <w:vAlign w:val="center"/>
                </w:tcPr>
                <w:p w14:paraId="5921ED37">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2（1用1备）</w:t>
                  </w:r>
                </w:p>
              </w:tc>
              <w:tc>
                <w:tcPr>
                  <w:tcW w:w="605" w:type="pct"/>
                  <w:noWrap w:val="0"/>
                  <w:vAlign w:val="center"/>
                </w:tcPr>
                <w:p w14:paraId="23F6C9D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85</w:t>
                  </w:r>
                </w:p>
              </w:tc>
              <w:tc>
                <w:tcPr>
                  <w:tcW w:w="445" w:type="pct"/>
                  <w:vMerge w:val="continue"/>
                  <w:noWrap w:val="0"/>
                  <w:vAlign w:val="center"/>
                </w:tcPr>
                <w:p w14:paraId="12B9D68D">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p>
              </w:tc>
              <w:tc>
                <w:tcPr>
                  <w:tcW w:w="240" w:type="pct"/>
                  <w:noWrap w:val="0"/>
                  <w:vAlign w:val="center"/>
                </w:tcPr>
                <w:p w14:paraId="14FED38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274" w:type="pct"/>
                  <w:noWrap w:val="0"/>
                  <w:vAlign w:val="center"/>
                </w:tcPr>
                <w:p w14:paraId="7BCC558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3-4</w:t>
                  </w:r>
                </w:p>
              </w:tc>
              <w:tc>
                <w:tcPr>
                  <w:tcW w:w="266" w:type="pct"/>
                  <w:noWrap w:val="0"/>
                  <w:vAlign w:val="center"/>
                </w:tcPr>
                <w:p w14:paraId="674218D9">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266" w:type="pct"/>
                  <w:noWrap w:val="0"/>
                  <w:vAlign w:val="center"/>
                </w:tcPr>
                <w:p w14:paraId="2482AFD2">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428" w:type="pct"/>
                  <w:noWrap w:val="0"/>
                  <w:vAlign w:val="center"/>
                </w:tcPr>
                <w:p w14:paraId="0C625C70">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78.98</w:t>
                  </w:r>
                </w:p>
              </w:tc>
              <w:tc>
                <w:tcPr>
                  <w:tcW w:w="371" w:type="pct"/>
                  <w:noWrap w:val="0"/>
                  <w:vAlign w:val="center"/>
                </w:tcPr>
                <w:p w14:paraId="026C5162">
                  <w:pPr>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24h/d</w:t>
                  </w:r>
                </w:p>
              </w:tc>
              <w:tc>
                <w:tcPr>
                  <w:tcW w:w="428" w:type="pct"/>
                  <w:noWrap w:val="0"/>
                  <w:vAlign w:val="center"/>
                </w:tcPr>
                <w:p w14:paraId="6885EC43">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368" w:type="pct"/>
                  <w:noWrap w:val="0"/>
                  <w:vAlign w:val="center"/>
                </w:tcPr>
                <w:p w14:paraId="424FEB7B">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58.98</w:t>
                  </w:r>
                </w:p>
              </w:tc>
              <w:tc>
                <w:tcPr>
                  <w:tcW w:w="240" w:type="pct"/>
                  <w:noWrap w:val="0"/>
                  <w:vAlign w:val="center"/>
                </w:tcPr>
                <w:p w14:paraId="7D50D436">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18"/>
                      <w:szCs w:val="18"/>
                      <w:lang w:val="en-US" w:eastAsia="zh-CN"/>
                    </w:rPr>
                    <w:t>1</w:t>
                  </w:r>
                </w:p>
              </w:tc>
            </w:tr>
            <w:tr w14:paraId="47950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jc w:val="center"/>
              </w:trPr>
              <w:tc>
                <w:tcPr>
                  <w:tcW w:w="240" w:type="pct"/>
                  <w:noWrap w:val="0"/>
                  <w:vAlign w:val="center"/>
                </w:tcPr>
                <w:p w14:paraId="072E8DB2">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240" w:type="pct"/>
                  <w:vMerge w:val="restart"/>
                  <w:noWrap w:val="0"/>
                  <w:vAlign w:val="center"/>
                </w:tcPr>
                <w:p w14:paraId="694577FC">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瓦斯抽采泵房</w:t>
                  </w:r>
                </w:p>
              </w:tc>
              <w:tc>
                <w:tcPr>
                  <w:tcW w:w="240" w:type="pct"/>
                  <w:noWrap w:val="0"/>
                  <w:vAlign w:val="center"/>
                </w:tcPr>
                <w:p w14:paraId="38E87F07">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真空泵1</w:t>
                  </w:r>
                </w:p>
              </w:tc>
              <w:tc>
                <w:tcPr>
                  <w:tcW w:w="342" w:type="pct"/>
                  <w:noWrap w:val="0"/>
                  <w:vAlign w:val="center"/>
                </w:tcPr>
                <w:p w14:paraId="4347064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605" w:type="pct"/>
                  <w:noWrap w:val="0"/>
                  <w:vAlign w:val="center"/>
                </w:tcPr>
                <w:p w14:paraId="000C5AF8">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90</w:t>
                  </w:r>
                </w:p>
              </w:tc>
              <w:tc>
                <w:tcPr>
                  <w:tcW w:w="445" w:type="pct"/>
                  <w:vMerge w:val="continue"/>
                  <w:noWrap w:val="0"/>
                  <w:vAlign w:val="center"/>
                </w:tcPr>
                <w:p w14:paraId="34C7FEC1">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p>
              </w:tc>
              <w:tc>
                <w:tcPr>
                  <w:tcW w:w="240" w:type="pct"/>
                  <w:noWrap w:val="0"/>
                  <w:vAlign w:val="center"/>
                </w:tcPr>
                <w:p w14:paraId="390D7490">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19</w:t>
                  </w:r>
                </w:p>
              </w:tc>
              <w:tc>
                <w:tcPr>
                  <w:tcW w:w="274" w:type="pct"/>
                  <w:noWrap w:val="0"/>
                  <w:vAlign w:val="center"/>
                </w:tcPr>
                <w:p w14:paraId="7247ADB6">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16</w:t>
                  </w:r>
                </w:p>
              </w:tc>
              <w:tc>
                <w:tcPr>
                  <w:tcW w:w="266" w:type="pct"/>
                  <w:noWrap w:val="0"/>
                  <w:vAlign w:val="center"/>
                </w:tcPr>
                <w:p w14:paraId="786A9F04">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266" w:type="pct"/>
                  <w:noWrap w:val="0"/>
                  <w:vAlign w:val="center"/>
                </w:tcPr>
                <w:p w14:paraId="235D5130">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428" w:type="pct"/>
                  <w:noWrap w:val="0"/>
                  <w:vAlign w:val="center"/>
                </w:tcPr>
                <w:p w14:paraId="3C4467D7">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80.45</w:t>
                  </w:r>
                </w:p>
              </w:tc>
              <w:tc>
                <w:tcPr>
                  <w:tcW w:w="371" w:type="pct"/>
                  <w:noWrap w:val="0"/>
                  <w:vAlign w:val="center"/>
                </w:tcPr>
                <w:p w14:paraId="027829DA">
                  <w:pPr>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highlight w:val="none"/>
                      <w:lang w:val="en-US" w:eastAsia="zh-CN"/>
                    </w:rPr>
                    <w:t>24h/d</w:t>
                  </w:r>
                </w:p>
              </w:tc>
              <w:tc>
                <w:tcPr>
                  <w:tcW w:w="428" w:type="pct"/>
                  <w:noWrap w:val="0"/>
                  <w:vAlign w:val="center"/>
                </w:tcPr>
                <w:p w14:paraId="58429987">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368" w:type="pct"/>
                  <w:noWrap w:val="0"/>
                  <w:vAlign w:val="center"/>
                </w:tcPr>
                <w:p w14:paraId="5152B87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60.45</w:t>
                  </w:r>
                </w:p>
              </w:tc>
              <w:tc>
                <w:tcPr>
                  <w:tcW w:w="240" w:type="pct"/>
                  <w:noWrap w:val="0"/>
                  <w:vAlign w:val="center"/>
                </w:tcPr>
                <w:p w14:paraId="77A4C8B8">
                  <w:pPr>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w:t>
                  </w:r>
                </w:p>
              </w:tc>
            </w:tr>
            <w:tr w14:paraId="650E6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jc w:val="center"/>
              </w:trPr>
              <w:tc>
                <w:tcPr>
                  <w:tcW w:w="240" w:type="pct"/>
                  <w:noWrap w:val="0"/>
                  <w:vAlign w:val="center"/>
                </w:tcPr>
                <w:p w14:paraId="1DB25FD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240" w:type="pct"/>
                  <w:vMerge w:val="continue"/>
                  <w:noWrap w:val="0"/>
                  <w:vAlign w:val="center"/>
                </w:tcPr>
                <w:p w14:paraId="39E6263D">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p>
              </w:tc>
              <w:tc>
                <w:tcPr>
                  <w:tcW w:w="240" w:type="pct"/>
                  <w:noWrap w:val="0"/>
                  <w:vAlign w:val="center"/>
                </w:tcPr>
                <w:p w14:paraId="182D77BE">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真空泵2</w:t>
                  </w:r>
                </w:p>
              </w:tc>
              <w:tc>
                <w:tcPr>
                  <w:tcW w:w="342" w:type="pct"/>
                  <w:noWrap w:val="0"/>
                  <w:vAlign w:val="center"/>
                </w:tcPr>
                <w:p w14:paraId="349C467D">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605" w:type="pct"/>
                  <w:noWrap w:val="0"/>
                  <w:vAlign w:val="center"/>
                </w:tcPr>
                <w:p w14:paraId="38DFEA3D">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90</w:t>
                  </w:r>
                </w:p>
              </w:tc>
              <w:tc>
                <w:tcPr>
                  <w:tcW w:w="445" w:type="pct"/>
                  <w:vMerge w:val="continue"/>
                  <w:noWrap w:val="0"/>
                  <w:vAlign w:val="center"/>
                </w:tcPr>
                <w:p w14:paraId="632AB611">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highlight w:val="none"/>
                      <w:lang w:val="en-US" w:eastAsia="zh-CN"/>
                    </w:rPr>
                  </w:pPr>
                </w:p>
              </w:tc>
              <w:tc>
                <w:tcPr>
                  <w:tcW w:w="240" w:type="pct"/>
                  <w:noWrap w:val="0"/>
                  <w:vAlign w:val="center"/>
                </w:tcPr>
                <w:p w14:paraId="29EF1ED3">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26</w:t>
                  </w:r>
                </w:p>
              </w:tc>
              <w:tc>
                <w:tcPr>
                  <w:tcW w:w="274" w:type="pct"/>
                  <w:noWrap w:val="0"/>
                  <w:vAlign w:val="center"/>
                </w:tcPr>
                <w:p w14:paraId="1499A848">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16</w:t>
                  </w:r>
                </w:p>
              </w:tc>
              <w:tc>
                <w:tcPr>
                  <w:tcW w:w="266" w:type="pct"/>
                  <w:noWrap w:val="0"/>
                  <w:vAlign w:val="center"/>
                </w:tcPr>
                <w:p w14:paraId="0B63A2D0">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266" w:type="pct"/>
                  <w:noWrap w:val="0"/>
                  <w:vAlign w:val="center"/>
                </w:tcPr>
                <w:p w14:paraId="68319B3D">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428" w:type="pct"/>
                  <w:noWrap w:val="0"/>
                  <w:vAlign w:val="center"/>
                </w:tcPr>
                <w:p w14:paraId="1A144A7A">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80.45</w:t>
                  </w:r>
                </w:p>
              </w:tc>
              <w:tc>
                <w:tcPr>
                  <w:tcW w:w="371" w:type="pct"/>
                  <w:noWrap w:val="0"/>
                  <w:vAlign w:val="center"/>
                </w:tcPr>
                <w:p w14:paraId="34486C5E">
                  <w:pPr>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highlight w:val="none"/>
                      <w:lang w:val="en-US" w:eastAsia="zh-CN"/>
                    </w:rPr>
                    <w:t>24h/d</w:t>
                  </w:r>
                </w:p>
              </w:tc>
              <w:tc>
                <w:tcPr>
                  <w:tcW w:w="428" w:type="pct"/>
                  <w:noWrap w:val="0"/>
                  <w:vAlign w:val="center"/>
                </w:tcPr>
                <w:p w14:paraId="71F4A2F0">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368" w:type="pct"/>
                  <w:noWrap w:val="0"/>
                  <w:vAlign w:val="center"/>
                </w:tcPr>
                <w:p w14:paraId="0DAB51D0">
                  <w:pPr>
                    <w:pStyle w:val="99"/>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60.45</w:t>
                  </w:r>
                </w:p>
              </w:tc>
              <w:tc>
                <w:tcPr>
                  <w:tcW w:w="240" w:type="pct"/>
                  <w:noWrap w:val="0"/>
                  <w:vAlign w:val="center"/>
                </w:tcPr>
                <w:p w14:paraId="47833380">
                  <w:pPr>
                    <w:keepNext w:val="0"/>
                    <w:keepLines w:val="0"/>
                    <w:pageBreakBefore w:val="0"/>
                    <w:widowControl w:val="0"/>
                    <w:suppressLineNumbers w:val="0"/>
                    <w:kinsoku/>
                    <w:wordWrap/>
                    <w:topLinePunct w:val="0"/>
                    <w:bidi w:val="0"/>
                    <w:adjustRightInd w:val="0"/>
                    <w:snapToGrid w:val="0"/>
                    <w:spacing w:before="0" w:beforeAutospacing="0" w:after="0" w:afterAutospacing="0" w:line="288" w:lineRule="auto"/>
                    <w:ind w:left="0" w:leftChars="0" w:right="0"/>
                    <w:jc w:val="center"/>
                    <w:textAlignment w:val="auto"/>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w:t>
                  </w:r>
                </w:p>
              </w:tc>
            </w:tr>
          </w:tbl>
          <w:p w14:paraId="397F790D">
            <w:pPr>
              <w:keepNext w:val="0"/>
              <w:keepLines w:val="0"/>
              <w:suppressLineNumbers w:val="0"/>
              <w:spacing w:before="0" w:beforeAutospacing="0" w:after="0" w:afterAutospacing="0" w:line="360" w:lineRule="auto"/>
              <w:ind w:left="0" w:right="0" w:firstLine="42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color w:val="auto"/>
                <w:kern w:val="0"/>
                <w:sz w:val="21"/>
                <w:szCs w:val="21"/>
                <w:lang w:val="en-US" w:eastAsia="zh-CN" w:bidi="ar-SA"/>
              </w:rPr>
              <w:t>备注：以项目区</w:t>
            </w:r>
            <w:r>
              <w:rPr>
                <w:rFonts w:hint="eastAsia" w:ascii="Times New Roman" w:hAnsi="Times New Roman" w:eastAsia="宋体" w:cs="Times New Roman"/>
                <w:b w:val="0"/>
                <w:bCs w:val="0"/>
                <w:color w:val="auto"/>
                <w:kern w:val="2"/>
                <w:sz w:val="21"/>
                <w:szCs w:val="21"/>
                <w:highlight w:val="none"/>
                <w:lang w:val="en-US" w:eastAsia="zh-CN" w:bidi="ar-SA"/>
              </w:rPr>
              <w:t>西南角为原点，正东向为X轴正方向，正北向为Y轴正方向。</w:t>
            </w:r>
          </w:p>
          <w:p w14:paraId="73EBBACE">
            <w:pPr>
              <w:pStyle w:val="89"/>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 xml:space="preserve"> 2、达标分析</w:t>
            </w:r>
          </w:p>
          <w:p w14:paraId="45BB5991">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（1）预测模式</w:t>
            </w:r>
          </w:p>
          <w:p w14:paraId="4F6B2AA0">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sz w:val="24"/>
              </w:rPr>
            </w:pPr>
            <w:r>
              <w:rPr>
                <w:rFonts w:hint="default" w:cs="Times New Roman"/>
                <w:color w:val="auto"/>
                <w:sz w:val="24"/>
              </w:rPr>
              <w:t>①</w:t>
            </w:r>
            <w:r>
              <w:rPr>
                <w:rFonts w:hint="eastAsia" w:cs="Times New Roman"/>
                <w:color w:val="auto"/>
                <w:sz w:val="24"/>
              </w:rPr>
              <w:t xml:space="preserve">室内声源可采用等效室外声源声功率级法进行计算，某一室内声源靠近围护结构处产生的倍频带声压级公式： </w:t>
            </w:r>
          </w:p>
          <w:p w14:paraId="0808E2A8">
            <w:pPr>
              <w:keepNext w:val="0"/>
              <w:keepLines w:val="0"/>
              <w:suppressLineNumbers w:val="0"/>
              <w:adjustRightInd w:val="0"/>
              <w:snapToGrid w:val="0"/>
              <w:spacing w:before="0" w:beforeAutospacing="0" w:after="0" w:afterAutospacing="0" w:line="360" w:lineRule="auto"/>
              <w:ind w:left="0" w:right="0" w:firstLine="1041" w:firstLineChars="496"/>
              <w:rPr>
                <w:rFonts w:hint="default" w:cs="Times New Roman"/>
                <w:color w:val="auto"/>
              </w:rPr>
            </w:pPr>
            <w:r>
              <w:rPr>
                <w:rFonts w:hint="default" w:cs="Times New Roman"/>
                <w:color w:val="auto"/>
              </w:rPr>
              <w:drawing>
                <wp:inline distT="0" distB="0" distL="114300" distR="114300">
                  <wp:extent cx="1717675" cy="485140"/>
                  <wp:effectExtent l="0" t="0" r="15875" b="10160"/>
                  <wp:docPr id="9"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4"/>
                          <pic:cNvPicPr>
                            <a:picLocks noChangeAspect="1"/>
                          </pic:cNvPicPr>
                        </pic:nvPicPr>
                        <pic:blipFill>
                          <a:blip r:embed="rId19"/>
                          <a:stretch>
                            <a:fillRect/>
                          </a:stretch>
                        </pic:blipFill>
                        <pic:spPr>
                          <a:xfrm>
                            <a:off x="0" y="0"/>
                            <a:ext cx="1717675" cy="485140"/>
                          </a:xfrm>
                          <a:prstGeom prst="rect">
                            <a:avLst/>
                          </a:prstGeom>
                          <a:noFill/>
                          <a:ln>
                            <a:noFill/>
                          </a:ln>
                        </pic:spPr>
                      </pic:pic>
                    </a:graphicData>
                  </a:graphic>
                </wp:inline>
              </w:drawing>
            </w:r>
          </w:p>
          <w:p w14:paraId="17464BE0">
            <w:pPr>
              <w:keepNext w:val="0"/>
              <w:keepLines w:val="0"/>
              <w:suppressLineNumbers w:val="0"/>
              <w:adjustRightInd w:val="0"/>
              <w:snapToGrid w:val="0"/>
              <w:spacing w:before="0" w:beforeAutospacing="0" w:after="0" w:afterAutospacing="0" w:line="360" w:lineRule="auto"/>
              <w:ind w:left="0" w:right="0" w:firstLine="420" w:firstLineChars="175"/>
              <w:rPr>
                <w:rFonts w:hint="eastAsia" w:cs="Times New Roman"/>
                <w:color w:val="auto"/>
                <w:sz w:val="24"/>
              </w:rPr>
            </w:pPr>
            <w:r>
              <w:rPr>
                <w:rFonts w:hint="eastAsia" w:cs="Times New Roman"/>
                <w:color w:val="auto"/>
                <w:sz w:val="24"/>
              </w:rPr>
              <w:t xml:space="preserve">式中：Lp1——室内某倍频带的声压级，dB； </w:t>
            </w:r>
          </w:p>
          <w:p w14:paraId="5895CBD2">
            <w:pPr>
              <w:keepNext w:val="0"/>
              <w:keepLines w:val="0"/>
              <w:suppressLineNumbers w:val="0"/>
              <w:adjustRightInd w:val="0"/>
              <w:snapToGrid w:val="0"/>
              <w:spacing w:before="0" w:beforeAutospacing="0" w:after="0" w:afterAutospacing="0" w:line="360" w:lineRule="auto"/>
              <w:ind w:left="0" w:right="0" w:firstLine="420" w:firstLineChars="175"/>
              <w:rPr>
                <w:rFonts w:hint="eastAsia" w:cs="Times New Roman"/>
                <w:color w:val="auto"/>
                <w:sz w:val="24"/>
              </w:rPr>
            </w:pPr>
            <w:r>
              <w:rPr>
                <w:rFonts w:hint="eastAsia" w:cs="Times New Roman"/>
                <w:color w:val="auto"/>
                <w:sz w:val="24"/>
              </w:rPr>
              <w:t xml:space="preserve">Lw——声源的声功率级，dB； </w:t>
            </w:r>
          </w:p>
          <w:p w14:paraId="48AD44AD">
            <w:pPr>
              <w:keepNext w:val="0"/>
              <w:keepLines w:val="0"/>
              <w:suppressLineNumbers w:val="0"/>
              <w:adjustRightInd w:val="0"/>
              <w:snapToGrid w:val="0"/>
              <w:spacing w:before="0" w:beforeAutospacing="0" w:after="0" w:afterAutospacing="0" w:line="360" w:lineRule="auto"/>
              <w:ind w:left="0" w:right="0" w:firstLine="420" w:firstLineChars="175"/>
              <w:rPr>
                <w:rFonts w:hint="eastAsia" w:cs="Times New Roman"/>
                <w:color w:val="auto"/>
                <w:sz w:val="24"/>
              </w:rPr>
            </w:pPr>
            <w:r>
              <w:rPr>
                <w:rFonts w:hint="eastAsia" w:cs="Times New Roman"/>
                <w:color w:val="auto"/>
                <w:sz w:val="24"/>
              </w:rPr>
              <w:t xml:space="preserve">Q——指向性因数；通常对无指向性声源，当声源放在房间中心时，Q=1；当放在一面墙的中心时，Q=2；当放在两面墙夹角处时，Q=4；当放在三面墙夹角处时，Q=8； </w:t>
            </w:r>
          </w:p>
          <w:p w14:paraId="5BCC55B8">
            <w:pPr>
              <w:keepNext w:val="0"/>
              <w:keepLines w:val="0"/>
              <w:suppressLineNumbers w:val="0"/>
              <w:adjustRightInd w:val="0"/>
              <w:snapToGrid w:val="0"/>
              <w:spacing w:before="0" w:beforeAutospacing="0" w:after="0" w:afterAutospacing="0" w:line="360" w:lineRule="auto"/>
              <w:ind w:left="0" w:right="0" w:firstLine="420" w:firstLineChars="175"/>
              <w:rPr>
                <w:rFonts w:hint="eastAsia" w:cs="Times New Roman"/>
                <w:color w:val="auto"/>
                <w:sz w:val="24"/>
              </w:rPr>
            </w:pPr>
            <w:r>
              <w:rPr>
                <w:rFonts w:hint="eastAsia" w:cs="Times New Roman"/>
                <w:color w:val="auto"/>
                <w:sz w:val="24"/>
              </w:rPr>
              <w:t xml:space="preserve">R——房间常数；R=Sα/（1－α），S为房间内表面面积，m2；α为平均吸声系数； </w:t>
            </w:r>
          </w:p>
          <w:p w14:paraId="700550A6">
            <w:pPr>
              <w:keepNext w:val="0"/>
              <w:keepLines w:val="0"/>
              <w:suppressLineNumbers w:val="0"/>
              <w:adjustRightInd w:val="0"/>
              <w:snapToGrid w:val="0"/>
              <w:spacing w:before="0" w:beforeAutospacing="0" w:after="0" w:afterAutospacing="0" w:line="360" w:lineRule="auto"/>
              <w:ind w:left="0" w:right="0" w:firstLine="420" w:firstLineChars="175"/>
              <w:rPr>
                <w:rFonts w:hint="eastAsia" w:cs="Times New Roman"/>
                <w:color w:val="auto"/>
                <w:sz w:val="24"/>
              </w:rPr>
            </w:pPr>
            <w:r>
              <w:rPr>
                <w:rFonts w:hint="eastAsia" w:cs="Times New Roman"/>
                <w:color w:val="auto"/>
                <w:sz w:val="24"/>
              </w:rPr>
              <w:t xml:space="preserve">r——声源到靠近围护结构某点处的距离，m。 </w:t>
            </w:r>
          </w:p>
          <w:p w14:paraId="5A949906">
            <w:pPr>
              <w:keepNext w:val="0"/>
              <w:keepLines w:val="0"/>
              <w:suppressLineNumbers w:val="0"/>
              <w:adjustRightInd w:val="0"/>
              <w:snapToGrid w:val="0"/>
              <w:spacing w:before="0" w:beforeAutospacing="0" w:after="0" w:afterAutospacing="0" w:line="360" w:lineRule="auto"/>
              <w:ind w:left="0" w:right="0" w:firstLine="367" w:firstLineChars="175"/>
              <w:rPr>
                <w:rFonts w:hint="eastAsia" w:cs="Times New Roman"/>
                <w:color w:val="auto"/>
                <w:sz w:val="24"/>
              </w:rPr>
            </w:pPr>
            <w:r>
              <w:rPr>
                <w:rFonts w:hint="default" w:cs="Times New Roman"/>
                <w:color w:val="auto"/>
              </w:rPr>
              <w:t>②</w:t>
            </w:r>
            <w:r>
              <w:rPr>
                <w:rFonts w:hint="eastAsia" w:cs="Times New Roman"/>
                <w:color w:val="auto"/>
                <w:sz w:val="24"/>
              </w:rPr>
              <w:t xml:space="preserve">所有室内声源在围护结构处产生的i倍频带叠加声压级公式： </w:t>
            </w:r>
          </w:p>
          <w:p w14:paraId="4C97B5FB">
            <w:pPr>
              <w:keepNext w:val="0"/>
              <w:keepLines w:val="0"/>
              <w:suppressLineNumbers w:val="0"/>
              <w:adjustRightInd w:val="0"/>
              <w:snapToGrid w:val="0"/>
              <w:spacing w:before="0" w:beforeAutospacing="0" w:after="0" w:afterAutospacing="0" w:line="360" w:lineRule="auto"/>
              <w:ind w:left="0" w:right="0" w:firstLine="1041" w:firstLineChars="496"/>
              <w:rPr>
                <w:rFonts w:hint="eastAsia" w:cs="Times New Roman"/>
                <w:color w:val="auto"/>
                <w:sz w:val="24"/>
              </w:rPr>
            </w:pPr>
            <w:r>
              <w:rPr>
                <w:rFonts w:hint="default" w:cs="Times New Roman"/>
                <w:color w:val="auto"/>
              </w:rPr>
              <w:drawing>
                <wp:inline distT="0" distB="0" distL="114300" distR="114300">
                  <wp:extent cx="1645920" cy="508635"/>
                  <wp:effectExtent l="0" t="0" r="11430" b="5715"/>
                  <wp:docPr id="10"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5"/>
                          <pic:cNvPicPr>
                            <a:picLocks noChangeAspect="1"/>
                          </pic:cNvPicPr>
                        </pic:nvPicPr>
                        <pic:blipFill>
                          <a:blip r:embed="rId20"/>
                          <a:stretch>
                            <a:fillRect/>
                          </a:stretch>
                        </pic:blipFill>
                        <pic:spPr>
                          <a:xfrm>
                            <a:off x="0" y="0"/>
                            <a:ext cx="1645920" cy="508635"/>
                          </a:xfrm>
                          <a:prstGeom prst="rect">
                            <a:avLst/>
                          </a:prstGeom>
                          <a:noFill/>
                          <a:ln>
                            <a:noFill/>
                          </a:ln>
                        </pic:spPr>
                      </pic:pic>
                    </a:graphicData>
                  </a:graphic>
                </wp:inline>
              </w:drawing>
            </w:r>
          </w:p>
          <w:p w14:paraId="064D0D68">
            <w:pPr>
              <w:keepNext w:val="0"/>
              <w:keepLines w:val="0"/>
              <w:suppressLineNumbers w:val="0"/>
              <w:adjustRightInd w:val="0"/>
              <w:snapToGrid w:val="0"/>
              <w:spacing w:before="0" w:beforeAutospacing="0" w:after="0" w:afterAutospacing="0" w:line="360" w:lineRule="auto"/>
              <w:ind w:left="0" w:right="0" w:firstLine="420" w:firstLineChars="175"/>
              <w:rPr>
                <w:rFonts w:hint="eastAsia" w:cs="Times New Roman"/>
                <w:color w:val="auto"/>
                <w:sz w:val="24"/>
              </w:rPr>
            </w:pPr>
            <w:r>
              <w:rPr>
                <w:rFonts w:hint="eastAsia" w:cs="Times New Roman"/>
                <w:color w:val="auto"/>
                <w:sz w:val="24"/>
              </w:rPr>
              <w:t xml:space="preserve">式中：LPli（T）——靠近围护结构处室内N个声源i倍频带叠加声压级，dB； </w:t>
            </w:r>
          </w:p>
          <w:p w14:paraId="055B5981">
            <w:pPr>
              <w:keepNext w:val="0"/>
              <w:keepLines w:val="0"/>
              <w:suppressLineNumbers w:val="0"/>
              <w:adjustRightInd w:val="0"/>
              <w:snapToGrid w:val="0"/>
              <w:spacing w:before="0" w:beforeAutospacing="0" w:after="0" w:afterAutospacing="0" w:line="360" w:lineRule="auto"/>
              <w:ind w:left="0" w:right="0" w:firstLine="420" w:firstLineChars="175"/>
              <w:rPr>
                <w:rFonts w:hint="eastAsia" w:cs="Times New Roman"/>
                <w:color w:val="auto"/>
                <w:sz w:val="24"/>
              </w:rPr>
            </w:pPr>
            <w:r>
              <w:rPr>
                <w:rFonts w:hint="eastAsia" w:cs="Times New Roman"/>
                <w:color w:val="auto"/>
                <w:sz w:val="24"/>
              </w:rPr>
              <w:t>LP</w:t>
            </w:r>
            <w:r>
              <w:rPr>
                <w:rFonts w:hint="eastAsia" w:cs="Times New Roman"/>
                <w:color w:val="auto"/>
                <w:sz w:val="24"/>
                <w:vertAlign w:val="subscript"/>
              </w:rPr>
              <w:t>lij</w:t>
            </w:r>
            <w:r>
              <w:rPr>
                <w:rFonts w:hint="eastAsia" w:cs="Times New Roman"/>
                <w:color w:val="auto"/>
                <w:sz w:val="24"/>
              </w:rPr>
              <w:t xml:space="preserve">——室内j声源i倍频带的声压级，dB； </w:t>
            </w:r>
          </w:p>
          <w:p w14:paraId="45C29F2D">
            <w:pPr>
              <w:keepNext w:val="0"/>
              <w:keepLines w:val="0"/>
              <w:suppressLineNumbers w:val="0"/>
              <w:adjustRightInd w:val="0"/>
              <w:snapToGrid w:val="0"/>
              <w:spacing w:before="0" w:beforeAutospacing="0" w:after="0" w:afterAutospacing="0" w:line="360" w:lineRule="auto"/>
              <w:ind w:left="0" w:right="0" w:firstLine="420" w:firstLineChars="175"/>
              <w:rPr>
                <w:rFonts w:hint="eastAsia" w:cs="Times New Roman"/>
                <w:color w:val="auto"/>
                <w:sz w:val="24"/>
              </w:rPr>
            </w:pPr>
            <w:r>
              <w:rPr>
                <w:rFonts w:hint="eastAsia" w:cs="Times New Roman"/>
                <w:color w:val="auto"/>
                <w:sz w:val="24"/>
              </w:rPr>
              <w:t xml:space="preserve">N——室内声源总数。 </w:t>
            </w:r>
          </w:p>
          <w:p w14:paraId="278ACE6D">
            <w:pPr>
              <w:keepNext w:val="0"/>
              <w:keepLines w:val="0"/>
              <w:suppressLineNumbers w:val="0"/>
              <w:adjustRightInd w:val="0"/>
              <w:snapToGrid w:val="0"/>
              <w:spacing w:before="0" w:beforeAutospacing="0" w:after="0" w:afterAutospacing="0" w:line="360" w:lineRule="auto"/>
              <w:ind w:left="0" w:right="0" w:firstLine="367" w:firstLineChars="175"/>
              <w:rPr>
                <w:rFonts w:hint="eastAsia" w:cs="Times New Roman"/>
                <w:color w:val="auto"/>
                <w:sz w:val="24"/>
              </w:rPr>
            </w:pPr>
            <w:r>
              <w:rPr>
                <w:rFonts w:hint="default" w:cs="Times New Roman"/>
                <w:color w:val="auto"/>
              </w:rPr>
              <w:t>③</w:t>
            </w:r>
            <w:r>
              <w:rPr>
                <w:rFonts w:hint="eastAsia" w:cs="Times New Roman"/>
                <w:color w:val="auto"/>
                <w:sz w:val="24"/>
              </w:rPr>
              <w:t xml:space="preserve">靠近室外围护结构处的声压级公式： </w:t>
            </w:r>
          </w:p>
          <w:p w14:paraId="4D559744">
            <w:pPr>
              <w:keepNext w:val="0"/>
              <w:keepLines w:val="0"/>
              <w:suppressLineNumbers w:val="0"/>
              <w:adjustRightInd w:val="0"/>
              <w:snapToGrid w:val="0"/>
              <w:spacing w:before="0" w:beforeAutospacing="0" w:after="0" w:afterAutospacing="0" w:line="360" w:lineRule="auto"/>
              <w:ind w:left="0" w:right="0" w:firstLine="1041" w:firstLineChars="496"/>
              <w:rPr>
                <w:rFonts w:hint="eastAsia" w:cs="Times New Roman"/>
                <w:color w:val="auto"/>
                <w:sz w:val="24"/>
              </w:rPr>
            </w:pPr>
            <w:r>
              <w:rPr>
                <w:rFonts w:hint="default" w:cs="Times New Roman"/>
                <w:color w:val="auto"/>
              </w:rPr>
              <w:drawing>
                <wp:inline distT="0" distB="0" distL="114300" distR="114300">
                  <wp:extent cx="2003425" cy="334010"/>
                  <wp:effectExtent l="0" t="0" r="15875" b="8890"/>
                  <wp:docPr id="11"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6"/>
                          <pic:cNvPicPr>
                            <a:picLocks noChangeAspect="1"/>
                          </pic:cNvPicPr>
                        </pic:nvPicPr>
                        <pic:blipFill>
                          <a:blip r:embed="rId21"/>
                          <a:stretch>
                            <a:fillRect/>
                          </a:stretch>
                        </pic:blipFill>
                        <pic:spPr>
                          <a:xfrm>
                            <a:off x="0" y="0"/>
                            <a:ext cx="2003425" cy="334010"/>
                          </a:xfrm>
                          <a:prstGeom prst="rect">
                            <a:avLst/>
                          </a:prstGeom>
                          <a:noFill/>
                          <a:ln>
                            <a:noFill/>
                          </a:ln>
                        </pic:spPr>
                      </pic:pic>
                    </a:graphicData>
                  </a:graphic>
                </wp:inline>
              </w:drawing>
            </w:r>
          </w:p>
          <w:p w14:paraId="14E3F9EB">
            <w:pPr>
              <w:keepNext w:val="0"/>
              <w:keepLines w:val="0"/>
              <w:widowControl/>
              <w:suppressLineNumbers w:val="0"/>
              <w:spacing w:before="0" w:beforeAutospacing="0" w:after="0" w:afterAutospacing="0" w:line="360" w:lineRule="auto"/>
              <w:ind w:left="0" w:right="0" w:firstLine="480" w:firstLineChars="200"/>
              <w:jc w:val="left"/>
              <w:rPr>
                <w:rFonts w:hint="default" w:cs="Times New Roman"/>
                <w:color w:val="auto"/>
                <w:kern w:val="0"/>
                <w:sz w:val="24"/>
              </w:rPr>
            </w:pPr>
            <w:r>
              <w:rPr>
                <w:rFonts w:hint="default" w:cs="Times New Roman"/>
                <w:color w:val="auto"/>
                <w:kern w:val="0"/>
                <w:sz w:val="24"/>
              </w:rPr>
              <w:t>式中：</w:t>
            </w:r>
            <w:r>
              <w:rPr>
                <w:rFonts w:hint="default" w:cs="Times New Roman"/>
                <w:i/>
                <w:iCs/>
                <w:color w:val="auto"/>
                <w:kern w:val="0"/>
                <w:sz w:val="24"/>
              </w:rPr>
              <w:t>L</w:t>
            </w:r>
            <w:r>
              <w:rPr>
                <w:rFonts w:hint="default" w:cs="Times New Roman"/>
                <w:i/>
                <w:iCs/>
                <w:color w:val="auto"/>
                <w:kern w:val="0"/>
                <w:sz w:val="24"/>
                <w:vertAlign w:val="subscript"/>
              </w:rPr>
              <w:t>P2i</w:t>
            </w:r>
            <w:r>
              <w:rPr>
                <w:rFonts w:hint="default" w:cs="Times New Roman"/>
                <w:i/>
                <w:iCs/>
                <w:color w:val="auto"/>
                <w:kern w:val="0"/>
                <w:sz w:val="24"/>
              </w:rPr>
              <w:t>（T）</w:t>
            </w:r>
            <w:r>
              <w:rPr>
                <w:rFonts w:hint="default" w:cs="Times New Roman"/>
                <w:color w:val="auto"/>
                <w:kern w:val="0"/>
                <w:sz w:val="24"/>
              </w:rPr>
              <w:t xml:space="preserve">——靠近围护结构处室外N个声源i倍频带的叠加声压级，dB（A）； </w:t>
            </w:r>
          </w:p>
          <w:p w14:paraId="512988E2">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default" w:cs="Times New Roman"/>
                <w:color w:val="auto"/>
                <w:kern w:val="0"/>
                <w:sz w:val="24"/>
              </w:rPr>
              <w:t>TL</w:t>
            </w:r>
            <w:r>
              <w:rPr>
                <w:rFonts w:hint="default" w:cs="Times New Roman"/>
                <w:color w:val="auto"/>
                <w:kern w:val="0"/>
                <w:sz w:val="24"/>
                <w:vertAlign w:val="subscript"/>
              </w:rPr>
              <w:t>i</w:t>
            </w:r>
            <w:r>
              <w:rPr>
                <w:rFonts w:hint="default" w:cs="Times New Roman"/>
                <w:color w:val="auto"/>
                <w:kern w:val="0"/>
                <w:sz w:val="24"/>
              </w:rPr>
              <w:t>——围护结构i倍频带的隔声量，dB</w:t>
            </w:r>
            <w:r>
              <w:rPr>
                <w:rFonts w:hint="eastAsia" w:cs="Times New Roman"/>
                <w:color w:val="auto"/>
                <w:sz w:val="24"/>
              </w:rPr>
              <w:t xml:space="preserve"> </w:t>
            </w:r>
          </w:p>
          <w:p w14:paraId="3A87C05C">
            <w:pPr>
              <w:keepNext w:val="0"/>
              <w:keepLines w:val="0"/>
              <w:suppressLineNumbers w:val="0"/>
              <w:adjustRightInd w:val="0"/>
              <w:snapToGrid w:val="0"/>
              <w:spacing w:before="0" w:beforeAutospacing="0" w:after="0" w:afterAutospacing="0" w:line="360" w:lineRule="auto"/>
              <w:ind w:left="0" w:right="0" w:firstLine="420" w:firstLineChars="200"/>
              <w:rPr>
                <w:rFonts w:hint="eastAsia" w:cs="Times New Roman"/>
                <w:color w:val="auto"/>
                <w:sz w:val="24"/>
              </w:rPr>
            </w:pPr>
            <w:r>
              <w:rPr>
                <w:rFonts w:hint="default" w:cs="Times New Roman"/>
                <w:color w:val="auto"/>
              </w:rPr>
              <w:t>④</w:t>
            </w:r>
            <w:r>
              <w:rPr>
                <w:rFonts w:hint="eastAsia" w:cs="Times New Roman"/>
                <w:color w:val="auto"/>
                <w:sz w:val="24"/>
              </w:rPr>
              <w:t xml:space="preserve">室外声源的声压级和透过面积换算等效室外声源公式： </w:t>
            </w:r>
          </w:p>
          <w:p w14:paraId="576C101E">
            <w:pPr>
              <w:keepNext w:val="0"/>
              <w:keepLines w:val="0"/>
              <w:suppressLineNumbers w:val="0"/>
              <w:adjustRightInd w:val="0"/>
              <w:snapToGrid w:val="0"/>
              <w:spacing w:before="0" w:beforeAutospacing="0" w:after="0" w:afterAutospacing="0" w:line="360" w:lineRule="auto"/>
              <w:ind w:left="0" w:right="0" w:firstLine="1190" w:firstLineChars="496"/>
              <w:rPr>
                <w:rFonts w:hint="eastAsia" w:cs="Times New Roman"/>
                <w:color w:val="auto"/>
                <w:sz w:val="24"/>
              </w:rPr>
            </w:pPr>
            <w:r>
              <w:rPr>
                <w:rFonts w:hint="eastAsia" w:cs="Times New Roman"/>
                <w:color w:val="auto"/>
                <w:sz w:val="24"/>
              </w:rPr>
              <w:t>L</w:t>
            </w:r>
            <w:r>
              <w:rPr>
                <w:rFonts w:hint="eastAsia" w:cs="Times New Roman"/>
                <w:color w:val="auto"/>
                <w:sz w:val="24"/>
                <w:vertAlign w:val="subscript"/>
              </w:rPr>
              <w:t>w</w:t>
            </w:r>
            <w:r>
              <w:rPr>
                <w:rFonts w:hint="eastAsia" w:cs="Times New Roman"/>
                <w:color w:val="auto"/>
                <w:sz w:val="24"/>
              </w:rPr>
              <w:t>=L</w:t>
            </w:r>
            <w:r>
              <w:rPr>
                <w:rFonts w:hint="eastAsia" w:cs="Times New Roman"/>
                <w:color w:val="auto"/>
                <w:sz w:val="24"/>
                <w:vertAlign w:val="subscript"/>
              </w:rPr>
              <w:t>p2</w:t>
            </w:r>
            <w:r>
              <w:rPr>
                <w:rFonts w:hint="eastAsia" w:cs="Times New Roman"/>
                <w:color w:val="auto"/>
                <w:sz w:val="24"/>
              </w:rPr>
              <w:t>（T）+10lgS</w:t>
            </w:r>
          </w:p>
          <w:p w14:paraId="0C0E595C">
            <w:pPr>
              <w:keepNext w:val="0"/>
              <w:keepLines w:val="0"/>
              <w:suppressLineNumbers w:val="0"/>
              <w:adjustRightInd w:val="0"/>
              <w:snapToGrid w:val="0"/>
              <w:spacing w:before="0" w:beforeAutospacing="0" w:after="0" w:afterAutospacing="0" w:line="360" w:lineRule="auto"/>
              <w:ind w:left="0" w:right="0" w:firstLine="420" w:firstLineChars="175"/>
              <w:rPr>
                <w:rFonts w:hint="default" w:cs="Times New Roman"/>
                <w:color w:val="auto"/>
                <w:sz w:val="24"/>
              </w:rPr>
            </w:pPr>
            <w:r>
              <w:rPr>
                <w:rFonts w:hint="eastAsia" w:cs="Times New Roman"/>
                <w:color w:val="auto"/>
                <w:sz w:val="24"/>
              </w:rPr>
              <w:t>S——室外声源的声压级的透过面积</w:t>
            </w:r>
            <w:r>
              <w:rPr>
                <w:rFonts w:hint="default" w:cs="Times New Roman"/>
                <w:color w:val="auto"/>
                <w:sz w:val="24"/>
              </w:rPr>
              <w:t>。</w:t>
            </w:r>
          </w:p>
          <w:p w14:paraId="5B8929D0">
            <w:pPr>
              <w:keepNext w:val="0"/>
              <w:keepLines w:val="0"/>
              <w:widowControl/>
              <w:suppressLineNumbers w:val="0"/>
              <w:spacing w:before="0" w:beforeAutospacing="0" w:after="0" w:afterAutospacing="0" w:line="360" w:lineRule="auto"/>
              <w:ind w:left="0" w:right="0" w:firstLine="480" w:firstLineChars="200"/>
              <w:jc w:val="left"/>
              <w:rPr>
                <w:rFonts w:hint="default" w:cs="Times New Roman"/>
                <w:color w:val="auto"/>
                <w:sz w:val="24"/>
              </w:rPr>
            </w:pPr>
            <w:r>
              <w:rPr>
                <w:rFonts w:hint="eastAsia" w:cs="Times New Roman"/>
                <w:color w:val="auto"/>
                <w:sz w:val="24"/>
              </w:rPr>
              <w:t>根据上述公式计算，本项目等效室外声源噪声源强为53.5dB。</w:t>
            </w:r>
            <w:r>
              <w:rPr>
                <w:rFonts w:hint="default" w:cs="Times New Roman"/>
                <w:color w:val="auto"/>
                <w:kern w:val="0"/>
                <w:sz w:val="24"/>
              </w:rPr>
              <w:t xml:space="preserve">采用导则推荐的点声源的几何发散衰减公式进行预测。 </w:t>
            </w:r>
          </w:p>
          <w:p w14:paraId="71A8299B">
            <w:pPr>
              <w:keepNext w:val="0"/>
              <w:keepLines w:val="0"/>
              <w:widowControl/>
              <w:suppressLineNumbers w:val="0"/>
              <w:spacing w:before="0" w:beforeAutospacing="0" w:after="0" w:afterAutospacing="0" w:line="360" w:lineRule="auto"/>
              <w:ind w:left="0" w:right="0" w:firstLine="420" w:firstLineChars="200"/>
              <w:jc w:val="left"/>
              <w:rPr>
                <w:rFonts w:hint="default" w:cs="Times New Roman"/>
                <w:color w:val="auto"/>
                <w:sz w:val="24"/>
              </w:rPr>
            </w:pPr>
            <w:r>
              <w:rPr>
                <w:rFonts w:hint="default" w:cs="Times New Roman"/>
                <w:color w:val="auto"/>
              </w:rPr>
              <w:t>⑤</w:t>
            </w:r>
            <w:r>
              <w:rPr>
                <w:rFonts w:hint="default" w:cs="Times New Roman"/>
                <w:color w:val="auto"/>
                <w:kern w:val="0"/>
                <w:sz w:val="24"/>
              </w:rPr>
              <w:t xml:space="preserve">点声源的几何发散衰减公式： </w:t>
            </w:r>
          </w:p>
          <w:p w14:paraId="4C6F2962">
            <w:pPr>
              <w:keepNext w:val="0"/>
              <w:keepLines w:val="0"/>
              <w:widowControl/>
              <w:suppressLineNumbers w:val="0"/>
              <w:spacing w:before="0" w:beforeAutospacing="0" w:after="0" w:afterAutospacing="0" w:line="360" w:lineRule="auto"/>
              <w:ind w:left="0" w:right="0" w:firstLine="480" w:firstLineChars="200"/>
              <w:jc w:val="center"/>
              <w:rPr>
                <w:rFonts w:hint="eastAsia" w:eastAsia="宋体" w:cs="Times New Roman"/>
                <w:color w:val="auto"/>
                <w:sz w:val="24"/>
                <w:lang w:val="en-US" w:eastAsia="zh-CN"/>
              </w:rPr>
            </w:pPr>
            <w:r>
              <w:rPr>
                <w:rFonts w:hint="default" w:cs="Times New Roman"/>
                <w:color w:val="auto"/>
                <w:kern w:val="0"/>
                <w:sz w:val="24"/>
              </w:rPr>
              <w:t>L</w:t>
            </w:r>
            <w:r>
              <w:rPr>
                <w:rFonts w:hint="default" w:cs="Times New Roman"/>
                <w:color w:val="auto"/>
                <w:kern w:val="0"/>
                <w:sz w:val="24"/>
                <w:vertAlign w:val="subscript"/>
              </w:rPr>
              <w:t>p</w:t>
            </w:r>
            <w:r>
              <w:rPr>
                <w:rFonts w:hint="eastAsia" w:cs="Times New Roman"/>
                <w:color w:val="auto"/>
                <w:kern w:val="0"/>
                <w:sz w:val="24"/>
              </w:rPr>
              <w:t>（r）</w:t>
            </w:r>
            <w:r>
              <w:rPr>
                <w:rFonts w:hint="default" w:cs="Times New Roman"/>
                <w:color w:val="auto"/>
                <w:kern w:val="0"/>
                <w:sz w:val="24"/>
              </w:rPr>
              <w:t>=L</w:t>
            </w:r>
            <w:r>
              <w:rPr>
                <w:rFonts w:hint="default" w:cs="Times New Roman"/>
                <w:color w:val="auto"/>
                <w:kern w:val="0"/>
                <w:sz w:val="24"/>
                <w:vertAlign w:val="subscript"/>
              </w:rPr>
              <w:t>w</w:t>
            </w:r>
            <w:r>
              <w:rPr>
                <w:rFonts w:hint="default" w:cs="Times New Roman"/>
                <w:color w:val="auto"/>
                <w:kern w:val="0"/>
                <w:sz w:val="24"/>
              </w:rPr>
              <w:t>-20lgr-</w:t>
            </w:r>
            <w:r>
              <w:rPr>
                <w:rFonts w:hint="eastAsia" w:cs="Times New Roman"/>
                <w:color w:val="auto"/>
                <w:kern w:val="0"/>
                <w:sz w:val="24"/>
                <w:lang w:val="en-US" w:eastAsia="zh-CN"/>
              </w:rPr>
              <w:t>8</w:t>
            </w:r>
          </w:p>
          <w:p w14:paraId="59B55B6A">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kern w:val="0"/>
                <w:sz w:val="24"/>
              </w:rPr>
            </w:pPr>
            <w:r>
              <w:rPr>
                <w:rFonts w:hint="default" w:cs="Times New Roman"/>
                <w:color w:val="auto"/>
                <w:kern w:val="0"/>
                <w:sz w:val="24"/>
              </w:rPr>
              <w:t>式中：L</w:t>
            </w:r>
            <w:r>
              <w:rPr>
                <w:rFonts w:hint="default" w:cs="Times New Roman"/>
                <w:color w:val="auto"/>
                <w:kern w:val="0"/>
                <w:sz w:val="24"/>
                <w:vertAlign w:val="subscript"/>
              </w:rPr>
              <w:t>p</w:t>
            </w:r>
            <w:r>
              <w:rPr>
                <w:rFonts w:hint="eastAsia" w:cs="Times New Roman"/>
                <w:color w:val="auto"/>
                <w:kern w:val="0"/>
                <w:sz w:val="24"/>
              </w:rPr>
              <w:t>（r）:预测点处的</w:t>
            </w:r>
            <w:r>
              <w:rPr>
                <w:rFonts w:hint="default" w:cs="Times New Roman"/>
                <w:color w:val="auto"/>
                <w:kern w:val="0"/>
                <w:sz w:val="24"/>
              </w:rPr>
              <w:t>声压级</w:t>
            </w:r>
            <w:r>
              <w:rPr>
                <w:rFonts w:hint="eastAsia" w:cs="Times New Roman"/>
                <w:color w:val="auto"/>
                <w:kern w:val="0"/>
                <w:sz w:val="24"/>
              </w:rPr>
              <w:t>，</w:t>
            </w:r>
            <w:r>
              <w:rPr>
                <w:rFonts w:hint="default" w:cs="Times New Roman"/>
                <w:color w:val="auto"/>
                <w:kern w:val="0"/>
                <w:sz w:val="24"/>
              </w:rPr>
              <w:t>dB</w:t>
            </w:r>
            <w:r>
              <w:rPr>
                <w:rFonts w:hint="eastAsia" w:cs="Times New Roman"/>
                <w:color w:val="auto"/>
                <w:kern w:val="0"/>
                <w:sz w:val="24"/>
              </w:rPr>
              <w:t>；</w:t>
            </w:r>
          </w:p>
          <w:p w14:paraId="30FE3517">
            <w:pPr>
              <w:keepNext w:val="0"/>
              <w:keepLines w:val="0"/>
              <w:widowControl/>
              <w:suppressLineNumbers w:val="0"/>
              <w:spacing w:before="0" w:beforeAutospacing="0" w:after="0" w:afterAutospacing="0" w:line="360" w:lineRule="auto"/>
              <w:ind w:left="0" w:right="0" w:firstLine="1200" w:firstLineChars="500"/>
              <w:jc w:val="left"/>
              <w:rPr>
                <w:rFonts w:hint="default" w:cs="Times New Roman"/>
                <w:color w:val="auto"/>
                <w:sz w:val="24"/>
              </w:rPr>
            </w:pPr>
            <w:r>
              <w:rPr>
                <w:rFonts w:hint="default" w:cs="Times New Roman"/>
                <w:color w:val="auto"/>
                <w:kern w:val="0"/>
                <w:sz w:val="24"/>
              </w:rPr>
              <w:t>L</w:t>
            </w:r>
            <w:r>
              <w:rPr>
                <w:rFonts w:hint="default" w:cs="Times New Roman"/>
                <w:color w:val="auto"/>
                <w:kern w:val="0"/>
                <w:sz w:val="24"/>
                <w:vertAlign w:val="subscript"/>
              </w:rPr>
              <w:t>w</w:t>
            </w:r>
            <w:r>
              <w:rPr>
                <w:rFonts w:hint="eastAsia" w:cs="Times New Roman"/>
                <w:color w:val="auto"/>
                <w:kern w:val="0"/>
                <w:sz w:val="24"/>
              </w:rPr>
              <w:t>：由点声源产生的倍频带声功率级</w:t>
            </w:r>
            <w:r>
              <w:rPr>
                <w:rFonts w:hint="default" w:cs="Times New Roman"/>
                <w:color w:val="auto"/>
                <w:kern w:val="0"/>
                <w:sz w:val="24"/>
              </w:rPr>
              <w:t>，dB；</w:t>
            </w:r>
          </w:p>
          <w:p w14:paraId="628AB4F9">
            <w:pPr>
              <w:keepNext w:val="0"/>
              <w:keepLines w:val="0"/>
              <w:widowControl/>
              <w:suppressLineNumbers w:val="0"/>
              <w:spacing w:before="0" w:beforeAutospacing="0" w:after="0" w:afterAutospacing="0" w:line="360" w:lineRule="auto"/>
              <w:ind w:left="0" w:right="0" w:firstLine="480" w:firstLineChars="200"/>
              <w:jc w:val="left"/>
              <w:rPr>
                <w:rFonts w:hint="default" w:cs="Times New Roman"/>
                <w:color w:val="auto"/>
                <w:sz w:val="24"/>
              </w:rPr>
            </w:pPr>
            <w:r>
              <w:rPr>
                <w:rFonts w:hint="default" w:cs="Times New Roman"/>
                <w:color w:val="auto"/>
                <w:kern w:val="0"/>
                <w:sz w:val="24"/>
              </w:rPr>
              <w:t>r</w:t>
            </w:r>
            <w:r>
              <w:rPr>
                <w:rFonts w:hint="default" w:cs="Times New Roman"/>
                <w:color w:val="auto"/>
                <w:kern w:val="0"/>
                <w:sz w:val="24"/>
                <w:vertAlign w:val="subscript"/>
              </w:rPr>
              <w:t xml:space="preserve"> </w:t>
            </w:r>
            <w:r>
              <w:rPr>
                <w:rFonts w:hint="eastAsia" w:cs="Times New Roman"/>
                <w:color w:val="auto"/>
                <w:kern w:val="0"/>
                <w:sz w:val="24"/>
                <w:vertAlign w:val="subscript"/>
              </w:rPr>
              <w:t>：</w:t>
            </w:r>
            <w:r>
              <w:rPr>
                <w:rFonts w:hint="default" w:cs="Times New Roman"/>
                <w:color w:val="auto"/>
                <w:kern w:val="0"/>
                <w:sz w:val="24"/>
              </w:rPr>
              <w:t xml:space="preserve">为预测点距声源的距离； </w:t>
            </w:r>
          </w:p>
          <w:p w14:paraId="5A0AD347">
            <w:pPr>
              <w:keepNext w:val="0"/>
              <w:keepLines w:val="0"/>
              <w:suppressLineNumbers w:val="0"/>
              <w:adjustRightInd w:val="0"/>
              <w:snapToGrid w:val="0"/>
              <w:spacing w:before="0" w:beforeAutospacing="0" w:after="0" w:afterAutospacing="0" w:line="360" w:lineRule="auto"/>
              <w:ind w:left="0" w:right="0" w:firstLine="420" w:firstLineChars="200"/>
              <w:rPr>
                <w:rFonts w:hint="default" w:cs="Times New Roman"/>
                <w:color w:val="auto"/>
                <w:szCs w:val="21"/>
              </w:rPr>
            </w:pPr>
            <w:r>
              <w:rPr>
                <w:rFonts w:hint="default" w:cs="Times New Roman"/>
                <w:color w:val="auto"/>
              </w:rPr>
              <w:t>⑥</w:t>
            </w:r>
            <w:r>
              <w:rPr>
                <w:rFonts w:hint="eastAsia" w:ascii="宋体" w:hAnsi="宋体" w:cs="宋体"/>
                <w:color w:val="auto"/>
                <w:sz w:val="24"/>
              </w:rPr>
              <w:t>多点源在预测点产生的总等效声级贡献值</w:t>
            </w:r>
            <w:r>
              <w:rPr>
                <w:rFonts w:hint="eastAsia" w:eastAsia="Times New Roman" w:cs="Times New Roman"/>
                <w:color w:val="auto"/>
                <w:sz w:val="24"/>
              </w:rPr>
              <w:t>(L</w:t>
            </w:r>
            <w:r>
              <w:rPr>
                <w:rFonts w:hint="eastAsia" w:eastAsia="Times New Roman" w:cs="Times New Roman"/>
                <w:color w:val="auto"/>
                <w:sz w:val="24"/>
                <w:vertAlign w:val="subscript"/>
              </w:rPr>
              <w:t>eqg</w:t>
            </w:r>
            <w:r>
              <w:rPr>
                <w:rFonts w:hint="eastAsia" w:eastAsia="Times New Roman" w:cs="Times New Roman"/>
                <w:color w:val="auto"/>
                <w:sz w:val="24"/>
              </w:rPr>
              <w:t>)采用以下计算公式</w:t>
            </w:r>
          </w:p>
          <w:p w14:paraId="382130A8">
            <w:pPr>
              <w:keepNext w:val="0"/>
              <w:keepLines w:val="0"/>
              <w:suppressLineNumbers w:val="0"/>
              <w:adjustRightInd w:val="0"/>
              <w:snapToGrid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第</w:t>
            </w:r>
            <w:r>
              <w:rPr>
                <w:rFonts w:hint="default" w:cs="Times New Roman"/>
                <w:i/>
                <w:color w:val="auto"/>
                <w:sz w:val="24"/>
              </w:rPr>
              <w:t>i</w:t>
            </w:r>
            <w:r>
              <w:rPr>
                <w:rFonts w:hint="default" w:cs="Times New Roman"/>
                <w:color w:val="auto"/>
                <w:sz w:val="24"/>
              </w:rPr>
              <w:t>个室外声源在预测点产生的A声级为</w:t>
            </w:r>
            <w:r>
              <w:rPr>
                <w:rFonts w:hint="default" w:cs="Times New Roman"/>
                <w:i/>
                <w:color w:val="auto"/>
                <w:sz w:val="24"/>
              </w:rPr>
              <w:t>L</w:t>
            </w:r>
            <w:r>
              <w:rPr>
                <w:rFonts w:hint="default" w:cs="Times New Roman"/>
                <w:i/>
                <w:color w:val="auto"/>
                <w:sz w:val="24"/>
                <w:vertAlign w:val="subscript"/>
              </w:rPr>
              <w:t>Ai</w:t>
            </w:r>
            <w:r>
              <w:rPr>
                <w:rFonts w:hint="default" w:cs="Times New Roman"/>
                <w:color w:val="auto"/>
                <w:sz w:val="24"/>
              </w:rPr>
              <w:t>，在</w:t>
            </w:r>
            <w:r>
              <w:rPr>
                <w:rFonts w:hint="default" w:cs="Times New Roman"/>
                <w:i/>
                <w:color w:val="auto"/>
                <w:sz w:val="24"/>
              </w:rPr>
              <w:t>T</w:t>
            </w:r>
            <w:r>
              <w:rPr>
                <w:rFonts w:hint="default" w:cs="Times New Roman"/>
                <w:color w:val="auto"/>
                <w:sz w:val="24"/>
              </w:rPr>
              <w:t>时间内该声源工作时间为</w:t>
            </w:r>
            <w:r>
              <w:rPr>
                <w:rFonts w:hint="default" w:cs="Times New Roman"/>
                <w:i/>
                <w:color w:val="auto"/>
                <w:sz w:val="24"/>
              </w:rPr>
              <w:t>t</w:t>
            </w:r>
            <w:r>
              <w:rPr>
                <w:rFonts w:hint="default" w:cs="Times New Roman"/>
                <w:i/>
                <w:color w:val="auto"/>
                <w:sz w:val="24"/>
                <w:vertAlign w:val="subscript"/>
              </w:rPr>
              <w:t>i</w:t>
            </w:r>
            <w:r>
              <w:rPr>
                <w:rFonts w:hint="default" w:cs="Times New Roman"/>
                <w:color w:val="auto"/>
                <w:sz w:val="24"/>
              </w:rPr>
              <w:t>；第</w:t>
            </w:r>
            <w:r>
              <w:rPr>
                <w:rFonts w:hint="default" w:cs="Times New Roman"/>
                <w:i/>
                <w:color w:val="auto"/>
                <w:sz w:val="24"/>
              </w:rPr>
              <w:t>j</w:t>
            </w:r>
            <w:r>
              <w:rPr>
                <w:rFonts w:hint="default" w:cs="Times New Roman"/>
                <w:color w:val="auto"/>
                <w:sz w:val="24"/>
              </w:rPr>
              <w:t>个等效室外声源在预测点产生的A声级为</w:t>
            </w:r>
            <w:r>
              <w:rPr>
                <w:rFonts w:hint="default" w:cs="Times New Roman"/>
                <w:i/>
                <w:color w:val="auto"/>
                <w:sz w:val="24"/>
              </w:rPr>
              <w:t>L</w:t>
            </w:r>
            <w:r>
              <w:rPr>
                <w:rFonts w:hint="default" w:cs="Times New Roman"/>
                <w:i/>
                <w:color w:val="auto"/>
                <w:sz w:val="24"/>
                <w:vertAlign w:val="subscript"/>
              </w:rPr>
              <w:t>Aj</w:t>
            </w:r>
            <w:r>
              <w:rPr>
                <w:rFonts w:hint="default" w:cs="Times New Roman"/>
                <w:color w:val="auto"/>
                <w:sz w:val="24"/>
              </w:rPr>
              <w:t>，拟建工程声源对预测点产生的贡献值（</w:t>
            </w:r>
            <w:r>
              <w:rPr>
                <w:rFonts w:hint="default" w:cs="Times New Roman"/>
                <w:i/>
                <w:color w:val="auto"/>
                <w:sz w:val="24"/>
              </w:rPr>
              <w:t>L</w:t>
            </w:r>
            <w:r>
              <w:rPr>
                <w:rFonts w:hint="default" w:cs="Times New Roman"/>
                <w:i/>
                <w:color w:val="auto"/>
                <w:sz w:val="24"/>
                <w:vertAlign w:val="subscript"/>
              </w:rPr>
              <w:t>eqg</w:t>
            </w:r>
            <w:r>
              <w:rPr>
                <w:rFonts w:hint="default" w:cs="Times New Roman"/>
                <w:color w:val="auto"/>
                <w:sz w:val="24"/>
              </w:rPr>
              <w:t>）为：</w:t>
            </w:r>
          </w:p>
          <w:p w14:paraId="04CD4EDB">
            <w:pPr>
              <w:keepNext w:val="0"/>
              <w:keepLines w:val="0"/>
              <w:suppressLineNumbers w:val="0"/>
              <w:adjustRightInd w:val="0"/>
              <w:snapToGrid w:val="0"/>
              <w:spacing w:before="0" w:beforeAutospacing="0" w:after="0" w:afterAutospacing="0" w:line="360" w:lineRule="auto"/>
              <w:ind w:left="0" w:right="0"/>
              <w:jc w:val="center"/>
              <w:rPr>
                <w:rFonts w:hint="default" w:cs="Times New Roman"/>
                <w:color w:val="auto"/>
                <w:szCs w:val="21"/>
              </w:rPr>
            </w:pPr>
            <w:r>
              <w:rPr>
                <w:rFonts w:hint="default" w:cs="Times New Roman"/>
                <w:color w:val="auto"/>
                <w:szCs w:val="21"/>
              </w:rPr>
              <w:drawing>
                <wp:inline distT="0" distB="0" distL="114300" distR="114300">
                  <wp:extent cx="2781300" cy="542925"/>
                  <wp:effectExtent l="0" t="0" r="0" b="9525"/>
                  <wp:docPr id="12"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7"/>
                          <pic:cNvPicPr>
                            <a:picLocks noChangeAspect="1"/>
                          </pic:cNvPicPr>
                        </pic:nvPicPr>
                        <pic:blipFill>
                          <a:blip r:embed="rId22"/>
                          <a:stretch>
                            <a:fillRect/>
                          </a:stretch>
                        </pic:blipFill>
                        <pic:spPr>
                          <a:xfrm>
                            <a:off x="0" y="0"/>
                            <a:ext cx="2781300" cy="542925"/>
                          </a:xfrm>
                          <a:prstGeom prst="rect">
                            <a:avLst/>
                          </a:prstGeom>
                          <a:noFill/>
                          <a:ln>
                            <a:noFill/>
                          </a:ln>
                        </pic:spPr>
                      </pic:pic>
                    </a:graphicData>
                  </a:graphic>
                </wp:inline>
              </w:drawing>
            </w:r>
          </w:p>
          <w:p w14:paraId="3FE351B7">
            <w:pPr>
              <w:keepNext w:val="0"/>
              <w:keepLines w:val="0"/>
              <w:suppressLineNumbers w:val="0"/>
              <w:adjustRightInd w:val="0"/>
              <w:snapToGrid w:val="0"/>
              <w:spacing w:before="0" w:beforeAutospacing="0" w:after="0" w:afterAutospacing="0" w:line="360" w:lineRule="auto"/>
              <w:ind w:left="0" w:right="0" w:firstLine="420" w:firstLineChars="200"/>
              <w:rPr>
                <w:rFonts w:hint="default" w:cs="Times New Roman"/>
                <w:bCs/>
                <w:color w:val="auto"/>
                <w:sz w:val="24"/>
              </w:rPr>
            </w:pPr>
            <w:r>
              <w:rPr>
                <w:rFonts w:hint="default" w:cs="Times New Roman"/>
                <w:bCs/>
                <w:color w:val="auto"/>
                <w:szCs w:val="21"/>
              </w:rPr>
              <w:t>式中：</w:t>
            </w:r>
            <w:r>
              <w:rPr>
                <w:rFonts w:hint="default" w:cs="Times New Roman"/>
                <w:bCs/>
                <w:i/>
                <w:color w:val="auto"/>
                <w:sz w:val="24"/>
              </w:rPr>
              <w:t>L</w:t>
            </w:r>
            <w:r>
              <w:rPr>
                <w:rFonts w:hint="default" w:cs="Times New Roman"/>
                <w:bCs/>
                <w:i/>
                <w:color w:val="auto"/>
                <w:sz w:val="24"/>
                <w:vertAlign w:val="subscript"/>
              </w:rPr>
              <w:t>eqg</w:t>
            </w:r>
            <w:r>
              <w:rPr>
                <w:rFonts w:hint="default" w:cs="Times New Roman"/>
                <w:bCs/>
                <w:color w:val="auto"/>
                <w:sz w:val="24"/>
              </w:rPr>
              <w:t xml:space="preserve"> ——建设项目声源在预测点的等效声级贡献值，dB（A）；</w:t>
            </w:r>
          </w:p>
          <w:p w14:paraId="697868F6">
            <w:pPr>
              <w:keepNext w:val="0"/>
              <w:keepLines w:val="0"/>
              <w:suppressLineNumbers w:val="0"/>
              <w:adjustRightInd w:val="0"/>
              <w:snapToGrid w:val="0"/>
              <w:spacing w:before="0" w:beforeAutospacing="0" w:after="0" w:afterAutospacing="0" w:line="360" w:lineRule="auto"/>
              <w:ind w:left="0" w:right="0" w:firstLine="1200" w:firstLineChars="500"/>
              <w:rPr>
                <w:rFonts w:hint="default" w:cs="Times New Roman"/>
                <w:bCs/>
                <w:color w:val="auto"/>
                <w:sz w:val="24"/>
              </w:rPr>
            </w:pPr>
            <w:r>
              <w:rPr>
                <w:rFonts w:hint="default" w:cs="Times New Roman"/>
                <w:color w:val="auto"/>
                <w:position w:val="-12"/>
                <w:sz w:val="24"/>
              </w:rPr>
              <w:drawing>
                <wp:inline distT="0" distB="0" distL="114300" distR="114300">
                  <wp:extent cx="322580" cy="200025"/>
                  <wp:effectExtent l="0" t="0" r="0" b="7620"/>
                  <wp:docPr id="13"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8"/>
                          <pic:cNvPicPr>
                            <a:picLocks noChangeAspect="1"/>
                          </pic:cNvPicPr>
                        </pic:nvPicPr>
                        <pic:blipFill>
                          <a:blip r:embed="rId23"/>
                          <a:stretch>
                            <a:fillRect/>
                          </a:stretch>
                        </pic:blipFill>
                        <pic:spPr>
                          <a:xfrm>
                            <a:off x="0" y="0"/>
                            <a:ext cx="322580" cy="200025"/>
                          </a:xfrm>
                          <a:prstGeom prst="rect">
                            <a:avLst/>
                          </a:prstGeom>
                          <a:noFill/>
                          <a:ln>
                            <a:noFill/>
                          </a:ln>
                        </pic:spPr>
                      </pic:pic>
                    </a:graphicData>
                  </a:graphic>
                </wp:inline>
              </w:drawing>
            </w:r>
            <w:r>
              <w:rPr>
                <w:rFonts w:hint="default" w:cs="Times New Roman"/>
                <w:bCs/>
                <w:color w:val="auto"/>
                <w:sz w:val="24"/>
              </w:rPr>
              <w:t>——i声源在预测点产生的A声级，dB（A）；</w:t>
            </w:r>
          </w:p>
          <w:p w14:paraId="66AFA2AD">
            <w:pPr>
              <w:keepNext w:val="0"/>
              <w:keepLines w:val="0"/>
              <w:suppressLineNumbers w:val="0"/>
              <w:spacing w:before="0" w:beforeAutospacing="0" w:after="0" w:afterAutospacing="0" w:line="360" w:lineRule="auto"/>
              <w:ind w:left="0" w:right="0" w:firstLine="1200" w:firstLineChars="500"/>
              <w:rPr>
                <w:rFonts w:hint="default" w:cs="Times New Roman"/>
                <w:bCs/>
                <w:color w:val="auto"/>
                <w:sz w:val="24"/>
              </w:rPr>
            </w:pPr>
            <w:r>
              <w:rPr>
                <w:rFonts w:hint="default" w:cs="Times New Roman"/>
                <w:color w:val="auto"/>
                <w:position w:val="-12"/>
                <w:sz w:val="24"/>
              </w:rPr>
              <w:drawing>
                <wp:inline distT="0" distB="0" distL="114300" distR="114300">
                  <wp:extent cx="161925" cy="200025"/>
                  <wp:effectExtent l="0" t="0" r="0" b="6985"/>
                  <wp:docPr id="14"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9"/>
                          <pic:cNvPicPr>
                            <a:picLocks noChangeAspect="1"/>
                          </pic:cNvPicPr>
                        </pic:nvPicPr>
                        <pic:blipFill>
                          <a:blip r:embed="rId24"/>
                          <a:stretch>
                            <a:fillRect/>
                          </a:stretch>
                        </pic:blipFill>
                        <pic:spPr>
                          <a:xfrm>
                            <a:off x="0" y="0"/>
                            <a:ext cx="161925" cy="200025"/>
                          </a:xfrm>
                          <a:prstGeom prst="rect">
                            <a:avLst/>
                          </a:prstGeom>
                          <a:noFill/>
                          <a:ln>
                            <a:noFill/>
                          </a:ln>
                        </pic:spPr>
                      </pic:pic>
                    </a:graphicData>
                  </a:graphic>
                </wp:inline>
              </w:drawing>
            </w:r>
            <w:r>
              <w:rPr>
                <w:rFonts w:hint="default" w:cs="Times New Roman"/>
                <w:bCs/>
                <w:color w:val="auto"/>
                <w:sz w:val="24"/>
              </w:rPr>
              <w:t>——i声源在T时间段内的运行时间，S；</w:t>
            </w:r>
          </w:p>
          <w:p w14:paraId="10F948F4">
            <w:pPr>
              <w:keepNext w:val="0"/>
              <w:keepLines w:val="0"/>
              <w:suppressLineNumbers w:val="0"/>
              <w:adjustRightInd w:val="0"/>
              <w:spacing w:before="0" w:beforeAutospacing="0" w:after="0" w:afterAutospacing="0" w:line="360" w:lineRule="auto"/>
              <w:ind w:left="0" w:right="0" w:firstLine="1200" w:firstLineChars="500"/>
              <w:rPr>
                <w:rFonts w:hint="default" w:cs="Times New Roman"/>
                <w:bCs/>
                <w:color w:val="auto"/>
                <w:sz w:val="24"/>
              </w:rPr>
            </w:pPr>
            <w:r>
              <w:rPr>
                <w:rFonts w:hint="default" w:cs="Times New Roman"/>
                <w:bCs/>
                <w:i/>
                <w:color w:val="auto"/>
                <w:sz w:val="24"/>
              </w:rPr>
              <w:t>t</w:t>
            </w:r>
            <w:r>
              <w:rPr>
                <w:rFonts w:hint="default" w:cs="Times New Roman"/>
                <w:bCs/>
                <w:i/>
                <w:color w:val="auto"/>
                <w:sz w:val="24"/>
                <w:vertAlign w:val="subscript"/>
              </w:rPr>
              <w:t>j</w:t>
            </w:r>
            <w:r>
              <w:rPr>
                <w:rFonts w:hint="default" w:cs="Times New Roman"/>
                <w:bCs/>
                <w:color w:val="auto"/>
                <w:sz w:val="24"/>
              </w:rPr>
              <w:t xml:space="preserve"> ——在 T 时间内 j 声源工作时间，s；</w:t>
            </w:r>
          </w:p>
          <w:p w14:paraId="4C261FDD">
            <w:pPr>
              <w:keepNext w:val="0"/>
              <w:keepLines w:val="0"/>
              <w:suppressLineNumbers w:val="0"/>
              <w:adjustRightInd w:val="0"/>
              <w:spacing w:before="0" w:beforeAutospacing="0" w:after="0" w:afterAutospacing="0" w:line="360" w:lineRule="auto"/>
              <w:ind w:left="0" w:right="0" w:firstLine="1200" w:firstLineChars="500"/>
              <w:rPr>
                <w:rFonts w:hint="default" w:cs="Times New Roman"/>
                <w:bCs/>
                <w:color w:val="auto"/>
                <w:sz w:val="24"/>
              </w:rPr>
            </w:pPr>
            <w:r>
              <w:rPr>
                <w:rFonts w:hint="default" w:cs="Times New Roman"/>
                <w:bCs/>
                <w:i/>
                <w:color w:val="auto"/>
                <w:sz w:val="24"/>
              </w:rPr>
              <w:t>t</w:t>
            </w:r>
            <w:r>
              <w:rPr>
                <w:rFonts w:hint="default" w:cs="Times New Roman"/>
                <w:bCs/>
                <w:i/>
                <w:color w:val="auto"/>
                <w:sz w:val="24"/>
                <w:vertAlign w:val="subscript"/>
              </w:rPr>
              <w:t>i</w:t>
            </w:r>
            <w:r>
              <w:rPr>
                <w:rFonts w:hint="default" w:cs="Times New Roman"/>
                <w:bCs/>
                <w:color w:val="auto"/>
                <w:sz w:val="24"/>
              </w:rPr>
              <w:t xml:space="preserve"> ——在 T 时间内 i 声源工作时间，s；</w:t>
            </w:r>
          </w:p>
          <w:p w14:paraId="40F1CB8D">
            <w:pPr>
              <w:keepNext w:val="0"/>
              <w:keepLines w:val="0"/>
              <w:suppressLineNumbers w:val="0"/>
              <w:adjustRightInd w:val="0"/>
              <w:spacing w:before="0" w:beforeAutospacing="0" w:after="0" w:afterAutospacing="0" w:line="360" w:lineRule="auto"/>
              <w:ind w:left="0" w:right="0" w:firstLine="1200" w:firstLineChars="500"/>
              <w:rPr>
                <w:rFonts w:hint="default" w:cs="Times New Roman"/>
                <w:bCs/>
                <w:color w:val="auto"/>
                <w:sz w:val="24"/>
              </w:rPr>
            </w:pPr>
            <w:r>
              <w:rPr>
                <w:rFonts w:hint="default" w:cs="Times New Roman"/>
                <w:bCs/>
                <w:i/>
                <w:color w:val="auto"/>
                <w:sz w:val="24"/>
              </w:rPr>
              <w:t>T</w:t>
            </w:r>
            <w:r>
              <w:rPr>
                <w:rFonts w:hint="default" w:cs="Times New Roman"/>
                <w:bCs/>
                <w:color w:val="auto"/>
                <w:sz w:val="24"/>
              </w:rPr>
              <w:t xml:space="preserve"> ——用于计算等效声级的时间，s；</w:t>
            </w:r>
          </w:p>
          <w:p w14:paraId="17CCFEFE">
            <w:pPr>
              <w:keepNext w:val="0"/>
              <w:keepLines w:val="0"/>
              <w:suppressLineNumbers w:val="0"/>
              <w:adjustRightInd w:val="0"/>
              <w:spacing w:before="0" w:beforeAutospacing="0" w:after="0" w:afterAutospacing="0" w:line="360" w:lineRule="auto"/>
              <w:ind w:left="0" w:right="0" w:firstLine="1200" w:firstLineChars="500"/>
              <w:rPr>
                <w:rFonts w:hint="default" w:cs="Times New Roman"/>
                <w:bCs/>
                <w:color w:val="auto"/>
                <w:sz w:val="24"/>
              </w:rPr>
            </w:pPr>
            <w:r>
              <w:rPr>
                <w:rFonts w:hint="default" w:cs="Times New Roman"/>
                <w:bCs/>
                <w:i/>
                <w:color w:val="auto"/>
                <w:sz w:val="24"/>
              </w:rPr>
              <w:t>N</w:t>
            </w:r>
            <w:r>
              <w:rPr>
                <w:rFonts w:hint="default" w:cs="Times New Roman"/>
                <w:bCs/>
                <w:color w:val="auto"/>
                <w:sz w:val="24"/>
              </w:rPr>
              <w:t xml:space="preserve"> ——室外声源个数；</w:t>
            </w:r>
          </w:p>
          <w:p w14:paraId="3D5BE43E">
            <w:pPr>
              <w:keepNext w:val="0"/>
              <w:keepLines w:val="0"/>
              <w:suppressLineNumbers w:val="0"/>
              <w:spacing w:before="0" w:beforeAutospacing="0" w:after="0" w:afterAutospacing="0" w:line="360" w:lineRule="auto"/>
              <w:ind w:left="0" w:right="0" w:firstLine="1200" w:firstLineChars="500"/>
              <w:rPr>
                <w:rFonts w:hint="default" w:cs="Times New Roman"/>
                <w:color w:val="auto"/>
                <w:sz w:val="24"/>
              </w:rPr>
            </w:pPr>
            <w:r>
              <w:rPr>
                <w:rFonts w:hint="default" w:cs="Times New Roman"/>
                <w:bCs/>
                <w:i/>
                <w:color w:val="auto"/>
                <w:sz w:val="24"/>
              </w:rPr>
              <w:t>M</w:t>
            </w:r>
            <w:r>
              <w:rPr>
                <w:rFonts w:hint="default" w:cs="Times New Roman"/>
                <w:bCs/>
                <w:color w:val="auto"/>
                <w:sz w:val="24"/>
              </w:rPr>
              <w:t xml:space="preserve"> ——等效室外声源个数。</w:t>
            </w:r>
          </w:p>
          <w:p w14:paraId="4320EA14">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（2）预测结果</w:t>
            </w:r>
          </w:p>
          <w:p w14:paraId="53FEFDF6">
            <w:pPr>
              <w:keepNext w:val="0"/>
              <w:keepLines w:val="0"/>
              <w:widowControl/>
              <w:suppressLineNumbers w:val="0"/>
              <w:spacing w:before="0" w:beforeAutospacing="0" w:after="0" w:afterAutospacing="0" w:line="360" w:lineRule="auto"/>
              <w:ind w:left="0" w:right="0" w:firstLine="480"/>
              <w:rPr>
                <w:rFonts w:hint="eastAsia" w:ascii="Times New Roman" w:hAnsi="Times New Roman" w:eastAsia="宋体" w:cs="Times New Roman"/>
                <w:bCs/>
                <w:color w:val="auto"/>
                <w:sz w:val="24"/>
                <w:szCs w:val="24"/>
                <w:highlight w:val="none"/>
                <w:lang w:val="en-US" w:eastAsia="zh-CN"/>
              </w:rPr>
            </w:pPr>
            <w:r>
              <w:rPr>
                <w:rFonts w:hint="eastAsia" w:cs="Times New Roman"/>
                <w:color w:val="auto"/>
                <w:kern w:val="0"/>
                <w:sz w:val="24"/>
                <w:highlight w:val="none"/>
              </w:rPr>
              <w:t>本项目噪声预测结果见</w:t>
            </w:r>
            <w:r>
              <w:rPr>
                <w:rFonts w:hint="eastAsia" w:cs="Times New Roman"/>
                <w:color w:val="auto"/>
                <w:kern w:val="0"/>
                <w:sz w:val="24"/>
                <w:highlight w:val="none"/>
                <w:lang w:eastAsia="zh-CN"/>
              </w:rPr>
              <w:t>下表</w:t>
            </w:r>
            <w:r>
              <w:rPr>
                <w:rFonts w:hint="eastAsia" w:cs="Times New Roman"/>
                <w:color w:val="auto"/>
                <w:kern w:val="0"/>
                <w:sz w:val="24"/>
                <w:highlight w:val="none"/>
              </w:rPr>
              <w:t>。</w:t>
            </w:r>
          </w:p>
          <w:p w14:paraId="62AC7753">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cs="Times New Roman"/>
                <w:b w:val="0"/>
                <w:bCs w:val="0"/>
                <w:color w:val="auto"/>
                <w:highlight w:val="none"/>
              </w:rPr>
            </w:pPr>
            <w:r>
              <w:rPr>
                <w:rFonts w:hint="eastAsia" w:cs="Times New Roman"/>
                <w:b w:val="0"/>
                <w:bCs w:val="0"/>
                <w:color w:val="auto"/>
                <w:sz w:val="24"/>
                <w:szCs w:val="24"/>
                <w:highlight w:val="none"/>
              </w:rPr>
              <w:t>项目</w:t>
            </w:r>
            <w:r>
              <w:rPr>
                <w:rFonts w:hint="eastAsia" w:cs="Times New Roman"/>
                <w:b w:val="0"/>
                <w:bCs w:val="0"/>
                <w:color w:val="auto"/>
                <w:sz w:val="24"/>
                <w:szCs w:val="24"/>
                <w:highlight w:val="none"/>
                <w:lang w:eastAsia="zh-CN"/>
              </w:rPr>
              <w:t>厂界</w:t>
            </w:r>
            <w:r>
              <w:rPr>
                <w:rFonts w:hint="eastAsia" w:cs="Times New Roman"/>
                <w:b w:val="0"/>
                <w:bCs w:val="0"/>
                <w:color w:val="auto"/>
                <w:sz w:val="24"/>
                <w:szCs w:val="24"/>
                <w:highlight w:val="none"/>
              </w:rPr>
              <w:t xml:space="preserve">噪声预测结果统计表 </w:t>
            </w:r>
            <w:r>
              <w:rPr>
                <w:rFonts w:hint="eastAsia" w:cs="Times New Roman"/>
                <w:b w:val="0"/>
                <w:bCs w:val="0"/>
                <w:color w:val="auto"/>
                <w:sz w:val="24"/>
                <w:szCs w:val="24"/>
                <w:highlight w:val="none"/>
                <w:lang w:val="en-US" w:eastAsia="zh-CN"/>
              </w:rPr>
              <w:t xml:space="preserve">    </w:t>
            </w:r>
            <w:r>
              <w:rPr>
                <w:rFonts w:hint="eastAsia" w:cs="Times New Roman"/>
                <w:b w:val="0"/>
                <w:bCs w:val="0"/>
                <w:color w:val="auto"/>
                <w:sz w:val="24"/>
                <w:szCs w:val="24"/>
                <w:highlight w:val="none"/>
              </w:rPr>
              <w:t>单位：dB(A)</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394"/>
              <w:gridCol w:w="836"/>
              <w:gridCol w:w="838"/>
              <w:gridCol w:w="836"/>
              <w:gridCol w:w="838"/>
              <w:gridCol w:w="836"/>
              <w:gridCol w:w="838"/>
              <w:gridCol w:w="976"/>
            </w:tblGrid>
            <w:tr w14:paraId="76F3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85" w:type="pct"/>
                  <w:vMerge w:val="restart"/>
                  <w:noWrap w:val="0"/>
                  <w:vAlign w:val="center"/>
                </w:tcPr>
                <w:p w14:paraId="4EB05387">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序号</w:t>
                  </w:r>
                </w:p>
              </w:tc>
              <w:tc>
                <w:tcPr>
                  <w:tcW w:w="889" w:type="pct"/>
                  <w:vMerge w:val="restart"/>
                  <w:noWrap w:val="0"/>
                  <w:vAlign w:val="center"/>
                </w:tcPr>
                <w:p w14:paraId="2886438B">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预测位置</w:t>
                  </w:r>
                </w:p>
              </w:tc>
              <w:tc>
                <w:tcPr>
                  <w:tcW w:w="1067" w:type="pct"/>
                  <w:gridSpan w:val="2"/>
                  <w:noWrap w:val="0"/>
                  <w:vAlign w:val="center"/>
                </w:tcPr>
                <w:p w14:paraId="7A902166">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背景值</w:t>
                  </w:r>
                </w:p>
              </w:tc>
              <w:tc>
                <w:tcPr>
                  <w:tcW w:w="1067" w:type="pct"/>
                  <w:gridSpan w:val="2"/>
                  <w:noWrap w:val="0"/>
                  <w:vAlign w:val="center"/>
                </w:tcPr>
                <w:p w14:paraId="179766B8">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贡献值</w:t>
                  </w:r>
                </w:p>
              </w:tc>
              <w:tc>
                <w:tcPr>
                  <w:tcW w:w="1067" w:type="pct"/>
                  <w:gridSpan w:val="2"/>
                  <w:noWrap w:val="0"/>
                  <w:vAlign w:val="center"/>
                </w:tcPr>
                <w:p w14:paraId="46EDC9E4">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lang w:eastAsia="zh-CN"/>
                    </w:rPr>
                    <w:t>预测</w:t>
                  </w:r>
                  <w:r>
                    <w:rPr>
                      <w:rFonts w:hint="eastAsia" w:cs="Times New Roman"/>
                      <w:color w:val="auto"/>
                      <w:kern w:val="0"/>
                      <w:szCs w:val="21"/>
                    </w:rPr>
                    <w:t>值</w:t>
                  </w:r>
                </w:p>
              </w:tc>
              <w:tc>
                <w:tcPr>
                  <w:tcW w:w="622" w:type="pct"/>
                  <w:noWrap w:val="0"/>
                  <w:vAlign w:val="center"/>
                </w:tcPr>
                <w:p w14:paraId="3D64FB81">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标准值</w:t>
                  </w:r>
                </w:p>
              </w:tc>
            </w:tr>
            <w:tr w14:paraId="447B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85" w:type="pct"/>
                  <w:vMerge w:val="continue"/>
                  <w:noWrap w:val="0"/>
                  <w:vAlign w:val="center"/>
                </w:tcPr>
                <w:p w14:paraId="10B9D7E8">
                  <w:pPr>
                    <w:keepNext w:val="0"/>
                    <w:keepLines w:val="0"/>
                    <w:widowControl/>
                    <w:suppressLineNumbers w:val="0"/>
                    <w:spacing w:before="0" w:beforeAutospacing="0" w:after="0" w:afterAutospacing="0"/>
                    <w:ind w:left="0" w:right="0"/>
                    <w:jc w:val="center"/>
                    <w:rPr>
                      <w:rFonts w:hint="eastAsia" w:cs="Times New Roman"/>
                      <w:color w:val="auto"/>
                      <w:kern w:val="0"/>
                      <w:szCs w:val="21"/>
                    </w:rPr>
                  </w:pPr>
                </w:p>
              </w:tc>
              <w:tc>
                <w:tcPr>
                  <w:tcW w:w="889" w:type="pct"/>
                  <w:vMerge w:val="continue"/>
                  <w:noWrap w:val="0"/>
                  <w:vAlign w:val="center"/>
                </w:tcPr>
                <w:p w14:paraId="2315C550">
                  <w:pPr>
                    <w:keepNext w:val="0"/>
                    <w:keepLines w:val="0"/>
                    <w:widowControl/>
                    <w:suppressLineNumbers w:val="0"/>
                    <w:spacing w:before="0" w:beforeAutospacing="0" w:after="0" w:afterAutospacing="0"/>
                    <w:ind w:left="0" w:right="0"/>
                    <w:jc w:val="center"/>
                    <w:rPr>
                      <w:rFonts w:hint="eastAsia" w:cs="Times New Roman"/>
                      <w:color w:val="auto"/>
                      <w:kern w:val="0"/>
                      <w:szCs w:val="21"/>
                    </w:rPr>
                  </w:pPr>
                </w:p>
              </w:tc>
              <w:tc>
                <w:tcPr>
                  <w:tcW w:w="533" w:type="pct"/>
                  <w:noWrap w:val="0"/>
                  <w:vAlign w:val="center"/>
                </w:tcPr>
                <w:p w14:paraId="35443C28">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昼间</w:t>
                  </w:r>
                </w:p>
              </w:tc>
              <w:tc>
                <w:tcPr>
                  <w:tcW w:w="534" w:type="pct"/>
                  <w:noWrap w:val="0"/>
                  <w:vAlign w:val="center"/>
                </w:tcPr>
                <w:p w14:paraId="03F9BFE7">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夜间</w:t>
                  </w:r>
                </w:p>
              </w:tc>
              <w:tc>
                <w:tcPr>
                  <w:tcW w:w="533" w:type="pct"/>
                  <w:noWrap w:val="0"/>
                  <w:vAlign w:val="center"/>
                </w:tcPr>
                <w:p w14:paraId="1AD6699E">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昼间</w:t>
                  </w:r>
                </w:p>
              </w:tc>
              <w:tc>
                <w:tcPr>
                  <w:tcW w:w="534" w:type="pct"/>
                  <w:noWrap w:val="0"/>
                  <w:vAlign w:val="center"/>
                </w:tcPr>
                <w:p w14:paraId="228BE974">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夜间</w:t>
                  </w:r>
                </w:p>
              </w:tc>
              <w:tc>
                <w:tcPr>
                  <w:tcW w:w="533" w:type="pct"/>
                  <w:noWrap w:val="0"/>
                  <w:vAlign w:val="center"/>
                </w:tcPr>
                <w:p w14:paraId="265BB50B">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昼间</w:t>
                  </w:r>
                </w:p>
              </w:tc>
              <w:tc>
                <w:tcPr>
                  <w:tcW w:w="534" w:type="pct"/>
                  <w:noWrap w:val="0"/>
                  <w:vAlign w:val="center"/>
                </w:tcPr>
                <w:p w14:paraId="7BA8070C">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夜间</w:t>
                  </w:r>
                </w:p>
              </w:tc>
              <w:tc>
                <w:tcPr>
                  <w:tcW w:w="622" w:type="pct"/>
                  <w:vMerge w:val="restart"/>
                  <w:noWrap w:val="0"/>
                  <w:vAlign w:val="center"/>
                </w:tcPr>
                <w:p w14:paraId="3B7CE7B5">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昼间65夜间55</w:t>
                  </w:r>
                </w:p>
              </w:tc>
            </w:tr>
            <w:tr w14:paraId="2D67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85" w:type="pct"/>
                  <w:noWrap w:val="0"/>
                  <w:vAlign w:val="center"/>
                </w:tcPr>
                <w:p w14:paraId="312BB575">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1</w:t>
                  </w:r>
                </w:p>
              </w:tc>
              <w:tc>
                <w:tcPr>
                  <w:tcW w:w="889" w:type="pct"/>
                  <w:noWrap w:val="0"/>
                  <w:vAlign w:val="center"/>
                </w:tcPr>
                <w:p w14:paraId="3AE1BA3D">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lang w:eastAsia="zh-CN"/>
                    </w:rPr>
                    <w:t>厂界</w:t>
                  </w:r>
                  <w:r>
                    <w:rPr>
                      <w:rFonts w:hint="eastAsia" w:cs="Times New Roman"/>
                      <w:color w:val="auto"/>
                      <w:kern w:val="0"/>
                      <w:szCs w:val="21"/>
                    </w:rPr>
                    <w:t>东侧1m</w:t>
                  </w:r>
                </w:p>
              </w:tc>
              <w:tc>
                <w:tcPr>
                  <w:tcW w:w="533" w:type="pct"/>
                  <w:noWrap w:val="0"/>
                  <w:vAlign w:val="center"/>
                </w:tcPr>
                <w:p w14:paraId="245AC851">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54</w:t>
                  </w:r>
                </w:p>
              </w:tc>
              <w:tc>
                <w:tcPr>
                  <w:tcW w:w="534" w:type="pct"/>
                  <w:noWrap w:val="0"/>
                  <w:vAlign w:val="center"/>
                </w:tcPr>
                <w:p w14:paraId="5072351B">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46</w:t>
                  </w:r>
                </w:p>
              </w:tc>
              <w:tc>
                <w:tcPr>
                  <w:tcW w:w="533" w:type="pct"/>
                  <w:noWrap w:val="0"/>
                  <w:vAlign w:val="center"/>
                </w:tcPr>
                <w:p w14:paraId="2D2278D1">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lang w:val="en-US" w:eastAsia="zh-CN"/>
                    </w:rPr>
                  </w:pPr>
                  <w:r>
                    <w:rPr>
                      <w:rFonts w:hint="eastAsia" w:cs="Times New Roman"/>
                      <w:color w:val="auto"/>
                      <w:kern w:val="0"/>
                      <w:szCs w:val="21"/>
                      <w:lang w:val="en-US" w:eastAsia="zh-CN"/>
                    </w:rPr>
                    <w:t>4.91</w:t>
                  </w:r>
                </w:p>
              </w:tc>
              <w:tc>
                <w:tcPr>
                  <w:tcW w:w="534" w:type="pct"/>
                  <w:noWrap w:val="0"/>
                  <w:vAlign w:val="center"/>
                </w:tcPr>
                <w:p w14:paraId="690D9FE2">
                  <w:pPr>
                    <w:keepNext w:val="0"/>
                    <w:keepLines w:val="0"/>
                    <w:suppressLineNumbers w:val="0"/>
                    <w:spacing w:before="20" w:beforeAutospacing="0" w:after="20" w:afterAutospacing="0" w:line="200" w:lineRule="exact"/>
                    <w:ind w:left="0" w:right="0"/>
                    <w:jc w:val="center"/>
                    <w:rPr>
                      <w:rFonts w:hint="default" w:cs="Times New Roman"/>
                      <w:color w:val="auto"/>
                      <w:kern w:val="0"/>
                      <w:szCs w:val="21"/>
                      <w:lang w:val="en-US"/>
                    </w:rPr>
                  </w:pPr>
                  <w:r>
                    <w:rPr>
                      <w:rFonts w:hint="eastAsia" w:cs="Times New Roman"/>
                      <w:color w:val="auto"/>
                      <w:kern w:val="0"/>
                      <w:szCs w:val="21"/>
                      <w:lang w:val="en-US" w:eastAsia="zh-CN"/>
                    </w:rPr>
                    <w:t>4.91</w:t>
                  </w:r>
                </w:p>
              </w:tc>
              <w:tc>
                <w:tcPr>
                  <w:tcW w:w="533" w:type="pct"/>
                  <w:noWrap w:val="0"/>
                  <w:vAlign w:val="center"/>
                </w:tcPr>
                <w:p w14:paraId="10C7706B">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54</w:t>
                  </w:r>
                </w:p>
              </w:tc>
              <w:tc>
                <w:tcPr>
                  <w:tcW w:w="534" w:type="pct"/>
                  <w:noWrap w:val="0"/>
                  <w:vAlign w:val="center"/>
                </w:tcPr>
                <w:p w14:paraId="18EFFCE2">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46</w:t>
                  </w:r>
                </w:p>
              </w:tc>
              <w:tc>
                <w:tcPr>
                  <w:tcW w:w="622" w:type="pct"/>
                  <w:vMerge w:val="continue"/>
                  <w:noWrap w:val="0"/>
                  <w:vAlign w:val="center"/>
                </w:tcPr>
                <w:p w14:paraId="6DDEEF10">
                  <w:pPr>
                    <w:keepNext w:val="0"/>
                    <w:keepLines w:val="0"/>
                    <w:widowControl/>
                    <w:suppressLineNumbers w:val="0"/>
                    <w:spacing w:before="0" w:beforeAutospacing="0" w:after="0" w:afterAutospacing="0"/>
                    <w:ind w:left="0" w:right="0"/>
                    <w:jc w:val="center"/>
                    <w:rPr>
                      <w:rFonts w:hint="eastAsia" w:cs="Times New Roman"/>
                      <w:color w:val="auto"/>
                      <w:kern w:val="0"/>
                      <w:szCs w:val="21"/>
                    </w:rPr>
                  </w:pPr>
                </w:p>
              </w:tc>
            </w:tr>
            <w:tr w14:paraId="4455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85" w:type="pct"/>
                  <w:noWrap w:val="0"/>
                  <w:vAlign w:val="center"/>
                </w:tcPr>
                <w:p w14:paraId="2F06C2E0">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2</w:t>
                  </w:r>
                </w:p>
              </w:tc>
              <w:tc>
                <w:tcPr>
                  <w:tcW w:w="889" w:type="pct"/>
                  <w:noWrap w:val="0"/>
                  <w:vAlign w:val="center"/>
                </w:tcPr>
                <w:p w14:paraId="3C5E8127">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lang w:eastAsia="zh-CN"/>
                    </w:rPr>
                    <w:t>厂界</w:t>
                  </w:r>
                  <w:r>
                    <w:rPr>
                      <w:rFonts w:hint="eastAsia" w:cs="Times New Roman"/>
                      <w:color w:val="auto"/>
                      <w:kern w:val="0"/>
                      <w:szCs w:val="21"/>
                    </w:rPr>
                    <w:t>南侧1m</w:t>
                  </w:r>
                </w:p>
              </w:tc>
              <w:tc>
                <w:tcPr>
                  <w:tcW w:w="533" w:type="pct"/>
                  <w:noWrap w:val="0"/>
                  <w:vAlign w:val="center"/>
                </w:tcPr>
                <w:p w14:paraId="2EBB8BF4">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50</w:t>
                  </w:r>
                </w:p>
              </w:tc>
              <w:tc>
                <w:tcPr>
                  <w:tcW w:w="534" w:type="pct"/>
                  <w:noWrap w:val="0"/>
                  <w:vAlign w:val="center"/>
                </w:tcPr>
                <w:p w14:paraId="688D174E">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43</w:t>
                  </w:r>
                </w:p>
              </w:tc>
              <w:tc>
                <w:tcPr>
                  <w:tcW w:w="533" w:type="pct"/>
                  <w:noWrap w:val="0"/>
                  <w:vAlign w:val="center"/>
                </w:tcPr>
                <w:p w14:paraId="07C10E7A">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lang w:val="en-US" w:eastAsia="zh-CN"/>
                    </w:rPr>
                  </w:pPr>
                  <w:r>
                    <w:rPr>
                      <w:rFonts w:hint="eastAsia" w:cs="Times New Roman"/>
                      <w:color w:val="auto"/>
                      <w:kern w:val="0"/>
                      <w:szCs w:val="21"/>
                      <w:lang w:val="en-US" w:eastAsia="zh-CN"/>
                    </w:rPr>
                    <w:t>12.87</w:t>
                  </w:r>
                </w:p>
              </w:tc>
              <w:tc>
                <w:tcPr>
                  <w:tcW w:w="534" w:type="pct"/>
                  <w:noWrap w:val="0"/>
                  <w:vAlign w:val="center"/>
                </w:tcPr>
                <w:p w14:paraId="7031BFDB">
                  <w:pPr>
                    <w:keepNext w:val="0"/>
                    <w:keepLines w:val="0"/>
                    <w:suppressLineNumbers w:val="0"/>
                    <w:spacing w:before="20" w:beforeAutospacing="0" w:after="20" w:afterAutospacing="0" w:line="200" w:lineRule="exact"/>
                    <w:ind w:left="0" w:right="0"/>
                    <w:jc w:val="center"/>
                    <w:rPr>
                      <w:rFonts w:hint="default" w:cs="Times New Roman"/>
                      <w:color w:val="auto"/>
                      <w:kern w:val="0"/>
                      <w:szCs w:val="21"/>
                      <w:lang w:val="en-US"/>
                    </w:rPr>
                  </w:pPr>
                  <w:r>
                    <w:rPr>
                      <w:rFonts w:hint="eastAsia" w:cs="Times New Roman"/>
                      <w:color w:val="auto"/>
                      <w:kern w:val="0"/>
                      <w:szCs w:val="21"/>
                      <w:lang w:val="en-US" w:eastAsia="zh-CN"/>
                    </w:rPr>
                    <w:t>12.87</w:t>
                  </w:r>
                </w:p>
              </w:tc>
              <w:tc>
                <w:tcPr>
                  <w:tcW w:w="533" w:type="pct"/>
                  <w:noWrap w:val="0"/>
                  <w:vAlign w:val="center"/>
                </w:tcPr>
                <w:p w14:paraId="7537BC80">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50</w:t>
                  </w:r>
                </w:p>
              </w:tc>
              <w:tc>
                <w:tcPr>
                  <w:tcW w:w="534" w:type="pct"/>
                  <w:noWrap w:val="0"/>
                  <w:vAlign w:val="center"/>
                </w:tcPr>
                <w:p w14:paraId="74770E53">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43</w:t>
                  </w:r>
                </w:p>
              </w:tc>
              <w:tc>
                <w:tcPr>
                  <w:tcW w:w="622" w:type="pct"/>
                  <w:vMerge w:val="continue"/>
                  <w:noWrap w:val="0"/>
                  <w:vAlign w:val="center"/>
                </w:tcPr>
                <w:p w14:paraId="621695FF">
                  <w:pPr>
                    <w:keepNext w:val="0"/>
                    <w:keepLines w:val="0"/>
                    <w:widowControl/>
                    <w:suppressLineNumbers w:val="0"/>
                    <w:spacing w:before="0" w:beforeAutospacing="0" w:after="0" w:afterAutospacing="0"/>
                    <w:ind w:left="0" w:right="0"/>
                    <w:jc w:val="center"/>
                    <w:rPr>
                      <w:rFonts w:hint="eastAsia" w:cs="Times New Roman"/>
                      <w:color w:val="auto"/>
                      <w:kern w:val="0"/>
                      <w:szCs w:val="21"/>
                    </w:rPr>
                  </w:pPr>
                </w:p>
              </w:tc>
            </w:tr>
            <w:tr w14:paraId="4F7F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85" w:type="pct"/>
                  <w:noWrap w:val="0"/>
                  <w:vAlign w:val="center"/>
                </w:tcPr>
                <w:p w14:paraId="286276CC">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3</w:t>
                  </w:r>
                </w:p>
              </w:tc>
              <w:tc>
                <w:tcPr>
                  <w:tcW w:w="889" w:type="pct"/>
                  <w:noWrap w:val="0"/>
                  <w:vAlign w:val="center"/>
                </w:tcPr>
                <w:p w14:paraId="21611612">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lang w:eastAsia="zh-CN"/>
                    </w:rPr>
                    <w:t>厂界</w:t>
                  </w:r>
                  <w:r>
                    <w:rPr>
                      <w:rFonts w:hint="eastAsia" w:cs="Times New Roman"/>
                      <w:color w:val="auto"/>
                      <w:kern w:val="0"/>
                      <w:szCs w:val="21"/>
                    </w:rPr>
                    <w:t>西侧1m</w:t>
                  </w:r>
                </w:p>
              </w:tc>
              <w:tc>
                <w:tcPr>
                  <w:tcW w:w="533" w:type="pct"/>
                  <w:noWrap w:val="0"/>
                  <w:vAlign w:val="center"/>
                </w:tcPr>
                <w:p w14:paraId="7E24C7B2">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50</w:t>
                  </w:r>
                </w:p>
              </w:tc>
              <w:tc>
                <w:tcPr>
                  <w:tcW w:w="534" w:type="pct"/>
                  <w:noWrap w:val="0"/>
                  <w:vAlign w:val="center"/>
                </w:tcPr>
                <w:p w14:paraId="06756D21">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46</w:t>
                  </w:r>
                </w:p>
              </w:tc>
              <w:tc>
                <w:tcPr>
                  <w:tcW w:w="533" w:type="pct"/>
                  <w:noWrap w:val="0"/>
                  <w:vAlign w:val="center"/>
                </w:tcPr>
                <w:p w14:paraId="45C4F452">
                  <w:pPr>
                    <w:keepNext w:val="0"/>
                    <w:keepLines w:val="0"/>
                    <w:suppressLineNumbers w:val="0"/>
                    <w:spacing w:before="20" w:beforeAutospacing="0" w:after="20" w:afterAutospacing="0" w:line="200" w:lineRule="exact"/>
                    <w:ind w:left="0" w:right="0"/>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Cs w:val="21"/>
                      <w:lang w:val="en-US" w:eastAsia="zh-CN"/>
                    </w:rPr>
                    <w:t>47.46</w:t>
                  </w:r>
                </w:p>
              </w:tc>
              <w:tc>
                <w:tcPr>
                  <w:tcW w:w="534" w:type="pct"/>
                  <w:noWrap w:val="0"/>
                  <w:vAlign w:val="center"/>
                </w:tcPr>
                <w:p w14:paraId="14C17A78">
                  <w:pPr>
                    <w:keepNext w:val="0"/>
                    <w:keepLines w:val="0"/>
                    <w:suppressLineNumbers w:val="0"/>
                    <w:spacing w:before="20" w:beforeAutospacing="0" w:after="20" w:afterAutospacing="0" w:line="200" w:lineRule="exact"/>
                    <w:ind w:left="0" w:right="0"/>
                    <w:jc w:val="center"/>
                    <w:rPr>
                      <w:rFonts w:hint="eastAsia" w:ascii="Times New Roman" w:hAnsi="Times New Roman" w:eastAsia="宋体" w:cs="Times New Roman"/>
                      <w:color w:val="auto"/>
                      <w:kern w:val="0"/>
                      <w:sz w:val="21"/>
                      <w:szCs w:val="21"/>
                      <w:lang w:val="en-US" w:eastAsia="zh-CN" w:bidi="ar-SA"/>
                    </w:rPr>
                  </w:pPr>
                  <w:r>
                    <w:rPr>
                      <w:rFonts w:hint="eastAsia" w:eastAsia="宋体" w:cs="Times New Roman"/>
                      <w:color w:val="auto"/>
                      <w:kern w:val="0"/>
                      <w:szCs w:val="21"/>
                      <w:lang w:val="en-US" w:eastAsia="zh-CN"/>
                    </w:rPr>
                    <w:t>47.46</w:t>
                  </w:r>
                </w:p>
              </w:tc>
              <w:tc>
                <w:tcPr>
                  <w:tcW w:w="533" w:type="pct"/>
                  <w:noWrap w:val="0"/>
                  <w:vAlign w:val="center"/>
                </w:tcPr>
                <w:p w14:paraId="0DA1FBA5">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51.92</w:t>
                  </w:r>
                </w:p>
              </w:tc>
              <w:tc>
                <w:tcPr>
                  <w:tcW w:w="534" w:type="pct"/>
                  <w:noWrap w:val="0"/>
                  <w:vAlign w:val="center"/>
                </w:tcPr>
                <w:p w14:paraId="28EE0F07">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49.8</w:t>
                  </w:r>
                </w:p>
              </w:tc>
              <w:tc>
                <w:tcPr>
                  <w:tcW w:w="622" w:type="pct"/>
                  <w:vMerge w:val="continue"/>
                  <w:noWrap w:val="0"/>
                  <w:vAlign w:val="center"/>
                </w:tcPr>
                <w:p w14:paraId="003C96E2">
                  <w:pPr>
                    <w:keepNext w:val="0"/>
                    <w:keepLines w:val="0"/>
                    <w:widowControl/>
                    <w:suppressLineNumbers w:val="0"/>
                    <w:spacing w:before="0" w:beforeAutospacing="0" w:after="0" w:afterAutospacing="0"/>
                    <w:ind w:left="0" w:right="0"/>
                    <w:jc w:val="center"/>
                    <w:rPr>
                      <w:rFonts w:hint="eastAsia" w:cs="Times New Roman"/>
                      <w:color w:val="auto"/>
                      <w:kern w:val="0"/>
                      <w:szCs w:val="21"/>
                    </w:rPr>
                  </w:pPr>
                </w:p>
              </w:tc>
            </w:tr>
            <w:tr w14:paraId="7055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85" w:type="pct"/>
                  <w:noWrap w:val="0"/>
                  <w:vAlign w:val="center"/>
                </w:tcPr>
                <w:p w14:paraId="31742A6E">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rPr>
                    <w:t>4</w:t>
                  </w:r>
                </w:p>
              </w:tc>
              <w:tc>
                <w:tcPr>
                  <w:tcW w:w="889" w:type="pct"/>
                  <w:noWrap w:val="0"/>
                  <w:vAlign w:val="center"/>
                </w:tcPr>
                <w:p w14:paraId="6E64E210">
                  <w:pPr>
                    <w:keepNext w:val="0"/>
                    <w:keepLines w:val="0"/>
                    <w:widowControl/>
                    <w:suppressLineNumbers w:val="0"/>
                    <w:spacing w:before="0" w:beforeAutospacing="0" w:after="0" w:afterAutospacing="0"/>
                    <w:ind w:left="0" w:right="0"/>
                    <w:jc w:val="center"/>
                    <w:rPr>
                      <w:rFonts w:hint="eastAsia" w:cs="Times New Roman"/>
                      <w:color w:val="auto"/>
                      <w:kern w:val="0"/>
                      <w:szCs w:val="21"/>
                    </w:rPr>
                  </w:pPr>
                  <w:r>
                    <w:rPr>
                      <w:rFonts w:hint="eastAsia" w:cs="Times New Roman"/>
                      <w:color w:val="auto"/>
                      <w:kern w:val="0"/>
                      <w:szCs w:val="21"/>
                      <w:lang w:eastAsia="zh-CN"/>
                    </w:rPr>
                    <w:t>厂界</w:t>
                  </w:r>
                  <w:r>
                    <w:rPr>
                      <w:rFonts w:hint="eastAsia" w:cs="Times New Roman"/>
                      <w:color w:val="auto"/>
                      <w:kern w:val="0"/>
                      <w:szCs w:val="21"/>
                    </w:rPr>
                    <w:t>北侧1m</w:t>
                  </w:r>
                </w:p>
              </w:tc>
              <w:tc>
                <w:tcPr>
                  <w:tcW w:w="533" w:type="pct"/>
                  <w:noWrap w:val="0"/>
                  <w:vAlign w:val="center"/>
                </w:tcPr>
                <w:p w14:paraId="092E2366">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51</w:t>
                  </w:r>
                </w:p>
              </w:tc>
              <w:tc>
                <w:tcPr>
                  <w:tcW w:w="534" w:type="pct"/>
                  <w:noWrap w:val="0"/>
                  <w:vAlign w:val="center"/>
                </w:tcPr>
                <w:p w14:paraId="734792F6">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41</w:t>
                  </w:r>
                </w:p>
              </w:tc>
              <w:tc>
                <w:tcPr>
                  <w:tcW w:w="533" w:type="pct"/>
                  <w:noWrap w:val="0"/>
                  <w:vAlign w:val="center"/>
                </w:tcPr>
                <w:p w14:paraId="34088EE8">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35.8</w:t>
                  </w:r>
                </w:p>
              </w:tc>
              <w:tc>
                <w:tcPr>
                  <w:tcW w:w="534" w:type="pct"/>
                  <w:noWrap w:val="0"/>
                  <w:vAlign w:val="center"/>
                </w:tcPr>
                <w:p w14:paraId="5B12F554">
                  <w:pPr>
                    <w:keepNext w:val="0"/>
                    <w:keepLines w:val="0"/>
                    <w:suppressLineNumbers w:val="0"/>
                    <w:spacing w:before="20" w:beforeAutospacing="0" w:after="20" w:afterAutospacing="0" w:line="200" w:lineRule="exact"/>
                    <w:ind w:left="0" w:right="0"/>
                    <w:jc w:val="center"/>
                    <w:rPr>
                      <w:rFonts w:hint="default" w:eastAsia="宋体" w:cs="Times New Roman"/>
                      <w:color w:val="auto"/>
                      <w:kern w:val="0"/>
                      <w:szCs w:val="21"/>
                      <w:lang w:val="en-US" w:eastAsia="zh-CN"/>
                    </w:rPr>
                  </w:pPr>
                  <w:r>
                    <w:rPr>
                      <w:rFonts w:hint="eastAsia" w:cs="Times New Roman"/>
                      <w:color w:val="auto"/>
                      <w:kern w:val="0"/>
                      <w:szCs w:val="21"/>
                      <w:lang w:val="en-US" w:eastAsia="zh-CN"/>
                    </w:rPr>
                    <w:t>35.8</w:t>
                  </w:r>
                </w:p>
              </w:tc>
              <w:tc>
                <w:tcPr>
                  <w:tcW w:w="533" w:type="pct"/>
                  <w:noWrap w:val="0"/>
                  <w:vAlign w:val="center"/>
                </w:tcPr>
                <w:p w14:paraId="760D33E8">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51.13</w:t>
                  </w:r>
                </w:p>
              </w:tc>
              <w:tc>
                <w:tcPr>
                  <w:tcW w:w="534" w:type="pct"/>
                  <w:noWrap w:val="0"/>
                  <w:vAlign w:val="center"/>
                </w:tcPr>
                <w:p w14:paraId="27C9CF94">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42.15</w:t>
                  </w:r>
                </w:p>
              </w:tc>
              <w:tc>
                <w:tcPr>
                  <w:tcW w:w="622" w:type="pct"/>
                  <w:vMerge w:val="continue"/>
                  <w:noWrap w:val="0"/>
                  <w:vAlign w:val="center"/>
                </w:tcPr>
                <w:p w14:paraId="71CF0318">
                  <w:pPr>
                    <w:keepNext w:val="0"/>
                    <w:keepLines w:val="0"/>
                    <w:widowControl/>
                    <w:suppressLineNumbers w:val="0"/>
                    <w:spacing w:before="0" w:beforeAutospacing="0" w:after="0" w:afterAutospacing="0"/>
                    <w:ind w:left="0" w:right="0"/>
                    <w:jc w:val="center"/>
                    <w:rPr>
                      <w:rFonts w:hint="eastAsia" w:cs="Times New Roman"/>
                      <w:color w:val="auto"/>
                      <w:kern w:val="0"/>
                      <w:szCs w:val="21"/>
                    </w:rPr>
                  </w:pPr>
                </w:p>
              </w:tc>
            </w:tr>
          </w:tbl>
          <w:p w14:paraId="33C16954">
            <w:pPr>
              <w:pStyle w:val="118"/>
              <w:keepNext w:val="0"/>
              <w:keepLines w:val="0"/>
              <w:suppressLineNumbers w:val="0"/>
              <w:spacing w:before="55" w:beforeAutospacing="0" w:after="0" w:afterAutospacing="0" w:line="360" w:lineRule="auto"/>
              <w:ind w:left="10" w:leftChars="0" w:right="0" w:firstLine="409" w:firstLineChars="195"/>
              <w:rPr>
                <w:rFonts w:hint="eastAsia" w:eastAsia="宋体"/>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备注：厂界背景噪声引用《</w:t>
            </w:r>
            <w:r>
              <w:rPr>
                <w:rFonts w:hint="default"/>
                <w:spacing w:val="-1"/>
                <w:sz w:val="21"/>
                <w:szCs w:val="21"/>
                <w:highlight w:val="none"/>
              </w:rPr>
              <w:t>长三角能源保障基地顾北煤矿超低浓度瓦斯清洁高效综合利用示范</w:t>
            </w:r>
            <w:r>
              <w:rPr>
                <w:rFonts w:hint="eastAsia"/>
                <w:spacing w:val="-1"/>
                <w:sz w:val="21"/>
                <w:szCs w:val="21"/>
                <w:highlight w:val="none"/>
                <w:lang w:val="en-US" w:eastAsia="zh-CN"/>
              </w:rPr>
              <w:t>项目</w:t>
            </w:r>
            <w:r>
              <w:rPr>
                <w:rFonts w:hint="eastAsia" w:ascii="Times New Roman" w:hAnsi="Times New Roman" w:eastAsia="宋体" w:cs="Times New Roman"/>
                <w:color w:val="auto"/>
                <w:kern w:val="2"/>
                <w:sz w:val="21"/>
                <w:szCs w:val="21"/>
                <w:highlight w:val="none"/>
                <w:lang w:val="en-US" w:eastAsia="zh-CN" w:bidi="ar-SA"/>
              </w:rPr>
              <w:t>》环境影响报告表中</w:t>
            </w:r>
            <w:r>
              <w:rPr>
                <w:rFonts w:hint="default" w:ascii="Times New Roman" w:hAnsi="Times New Roman" w:eastAsia="Times New Roman" w:cs="Times New Roman"/>
                <w:spacing w:val="1"/>
                <w:sz w:val="21"/>
                <w:szCs w:val="21"/>
                <w:highlight w:val="none"/>
              </w:rPr>
              <w:t>2026</w:t>
            </w:r>
            <w:r>
              <w:rPr>
                <w:rFonts w:hint="default"/>
                <w:spacing w:val="1"/>
                <w:sz w:val="21"/>
                <w:szCs w:val="21"/>
                <w:highlight w:val="none"/>
              </w:rPr>
              <w:t>年</w:t>
            </w:r>
            <w:r>
              <w:rPr>
                <w:rFonts w:hint="default" w:ascii="Times New Roman" w:hAnsi="Times New Roman" w:eastAsia="Times New Roman" w:cs="Times New Roman"/>
                <w:spacing w:val="1"/>
                <w:sz w:val="21"/>
                <w:szCs w:val="21"/>
                <w:highlight w:val="none"/>
              </w:rPr>
              <w:t>2</w:t>
            </w:r>
            <w:r>
              <w:rPr>
                <w:rFonts w:hint="default"/>
                <w:spacing w:val="1"/>
                <w:sz w:val="21"/>
                <w:szCs w:val="21"/>
                <w:highlight w:val="none"/>
              </w:rPr>
              <w:t>月</w:t>
            </w:r>
            <w:r>
              <w:rPr>
                <w:rFonts w:hint="default" w:ascii="Times New Roman" w:hAnsi="Times New Roman" w:eastAsia="Times New Roman" w:cs="Times New Roman"/>
                <w:spacing w:val="1"/>
                <w:sz w:val="21"/>
                <w:szCs w:val="21"/>
                <w:highlight w:val="none"/>
              </w:rPr>
              <w:t>14</w:t>
            </w:r>
            <w:r>
              <w:rPr>
                <w:rFonts w:hint="default"/>
                <w:spacing w:val="1"/>
                <w:sz w:val="21"/>
                <w:szCs w:val="21"/>
                <w:highlight w:val="none"/>
              </w:rPr>
              <w:t>日淮南市宜青环境检测有限公司提供的</w:t>
            </w:r>
            <w:r>
              <w:rPr>
                <w:rFonts w:hint="eastAsia"/>
                <w:spacing w:val="1"/>
                <w:sz w:val="21"/>
                <w:szCs w:val="21"/>
                <w:highlight w:val="none"/>
                <w:lang w:val="en-US" w:eastAsia="zh-CN"/>
              </w:rPr>
              <w:t>顾北煤矿厂界噪声</w:t>
            </w:r>
            <w:r>
              <w:rPr>
                <w:rFonts w:hint="default"/>
                <w:spacing w:val="-1"/>
                <w:sz w:val="21"/>
                <w:szCs w:val="21"/>
                <w:highlight w:val="none"/>
              </w:rPr>
              <w:t>监测数据</w:t>
            </w:r>
            <w:r>
              <w:rPr>
                <w:rFonts w:hint="eastAsia"/>
                <w:spacing w:val="-1"/>
                <w:sz w:val="21"/>
                <w:szCs w:val="21"/>
                <w:highlight w:val="none"/>
                <w:lang w:eastAsia="zh-CN"/>
              </w:rPr>
              <w:t>。</w:t>
            </w:r>
          </w:p>
          <w:p w14:paraId="4831E912">
            <w:pPr>
              <w:pStyle w:val="52"/>
              <w:keepNext w:val="0"/>
              <w:keepLines w:val="0"/>
              <w:suppressLineNumbers w:val="0"/>
              <w:spacing w:before="0" w:beforeAutospacing="0" w:after="0" w:afterAutospacing="0"/>
              <w:ind w:left="13" w:leftChars="0" w:firstLine="578" w:firstLineChars="241"/>
              <w:rPr>
                <w:rFonts w:hint="eastAsia" w:ascii="Times New Roman" w:hAnsi="Times New Roman" w:eastAsia="宋体" w:cs="Times New Roman"/>
                <w:color w:val="auto"/>
                <w:sz w:val="24"/>
                <w:szCs w:val="24"/>
                <w:lang w:val="en-US"/>
              </w:rPr>
            </w:pPr>
            <w:r>
              <w:rPr>
                <w:rFonts w:hint="default" w:cs="Times New Roman"/>
                <w:color w:val="auto"/>
                <w:sz w:val="24"/>
                <w:szCs w:val="24"/>
                <w:lang w:val="en-US"/>
              </w:rPr>
              <w:t>从上表可知，</w:t>
            </w:r>
            <w:r>
              <w:rPr>
                <w:rFonts w:hint="eastAsia" w:cs="Times New Roman"/>
                <w:color w:val="auto"/>
                <w:sz w:val="24"/>
                <w:szCs w:val="24"/>
                <w:lang w:val="en-US"/>
              </w:rPr>
              <w:t>本</w:t>
            </w:r>
            <w:r>
              <w:rPr>
                <w:rFonts w:hint="default" w:cs="Times New Roman"/>
                <w:color w:val="auto"/>
                <w:sz w:val="24"/>
                <w:szCs w:val="24"/>
                <w:lang w:val="en-US"/>
              </w:rPr>
              <w:t>项目运行后，</w:t>
            </w:r>
            <w:r>
              <w:rPr>
                <w:rFonts w:hint="eastAsia" w:cs="Times New Roman"/>
                <w:color w:val="auto"/>
                <w:sz w:val="24"/>
                <w:szCs w:val="24"/>
                <w:lang w:val="en-US" w:eastAsia="zh-CN"/>
              </w:rPr>
              <w:t>在采取</w:t>
            </w:r>
            <w:r>
              <w:rPr>
                <w:rFonts w:hint="eastAsia" w:ascii="Times New Roman" w:hAnsi="Times New Roman" w:eastAsia="宋体" w:cs="Times New Roman"/>
                <w:color w:val="auto"/>
                <w:sz w:val="24"/>
                <w:szCs w:val="24"/>
                <w:lang w:val="en-US"/>
              </w:rPr>
              <w:t>合理布局及选型</w:t>
            </w:r>
            <w:r>
              <w:rPr>
                <w:rFonts w:hint="eastAsia" w:ascii="Times New Roman" w:hAnsi="Times New Roman" w:eastAsia="宋体" w:cs="Times New Roman"/>
                <w:color w:val="auto"/>
                <w:sz w:val="24"/>
                <w:szCs w:val="24"/>
                <w:lang w:val="en-US" w:eastAsia="zh-CN"/>
              </w:rPr>
              <w:t>、厂房隔声、减震、</w:t>
            </w:r>
            <w:r>
              <w:rPr>
                <w:rFonts w:hint="eastAsia" w:ascii="Times New Roman" w:hAnsi="Times New Roman" w:eastAsia="宋体" w:cs="Times New Roman"/>
                <w:color w:val="auto"/>
                <w:sz w:val="24"/>
                <w:szCs w:val="24"/>
                <w:lang w:val="en-US"/>
              </w:rPr>
              <w:t>距离衰减</w:t>
            </w:r>
            <w:r>
              <w:rPr>
                <w:rFonts w:hint="eastAsia" w:ascii="Times New Roman" w:hAnsi="Times New Roman" w:eastAsia="宋体" w:cs="Times New Roman"/>
                <w:color w:val="auto"/>
                <w:sz w:val="24"/>
                <w:szCs w:val="24"/>
                <w:lang w:val="en-US" w:eastAsia="zh-CN"/>
              </w:rPr>
              <w:t>等措施</w:t>
            </w:r>
            <w:r>
              <w:rPr>
                <w:rFonts w:hint="eastAsia" w:ascii="Times New Roman" w:hAnsi="Times New Roman" w:eastAsia="宋体" w:cs="Times New Roman"/>
                <w:color w:val="auto"/>
                <w:sz w:val="24"/>
                <w:szCs w:val="24"/>
                <w:lang w:val="en-US"/>
              </w:rPr>
              <w:t>后</w:t>
            </w:r>
            <w:r>
              <w:rPr>
                <w:rFonts w:hint="eastAsia"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szCs w:val="24"/>
                <w:lang w:val="en-US"/>
              </w:rPr>
              <w:t>厂界昼夜间噪声</w:t>
            </w:r>
            <w:r>
              <w:rPr>
                <w:rFonts w:hint="eastAsia" w:ascii="Times New Roman" w:hAnsi="Times New Roman" w:eastAsia="宋体" w:cs="Times New Roman"/>
                <w:color w:val="auto"/>
                <w:sz w:val="24"/>
                <w:szCs w:val="24"/>
                <w:lang w:val="en-US" w:eastAsia="zh-CN"/>
              </w:rPr>
              <w:t>预测值</w:t>
            </w:r>
            <w:r>
              <w:rPr>
                <w:rFonts w:hint="default" w:ascii="Times New Roman" w:hAnsi="Times New Roman" w:eastAsia="宋体" w:cs="Times New Roman"/>
                <w:color w:val="auto"/>
                <w:sz w:val="24"/>
                <w:szCs w:val="24"/>
                <w:lang w:val="en-US"/>
              </w:rPr>
              <w:t>符合《工业企业厂界环境噪声排放标准》</w:t>
            </w:r>
            <w:r>
              <w:rPr>
                <w:rFonts w:hint="eastAsia" w:ascii="Times New Roman" w:hAnsi="Times New Roman" w:eastAsia="宋体" w:cs="Times New Roman"/>
                <w:color w:val="auto"/>
                <w:sz w:val="24"/>
                <w:szCs w:val="24"/>
                <w:lang w:val="en-US"/>
              </w:rPr>
              <w:t>（</w:t>
            </w:r>
            <w:r>
              <w:rPr>
                <w:rFonts w:hint="default" w:ascii="Times New Roman" w:hAnsi="Times New Roman" w:eastAsia="宋体" w:cs="Times New Roman"/>
                <w:color w:val="auto"/>
                <w:sz w:val="24"/>
                <w:szCs w:val="24"/>
                <w:lang w:val="en-US"/>
              </w:rPr>
              <w:t>GB12348-2008</w:t>
            </w:r>
            <w:r>
              <w:rPr>
                <w:rFonts w:hint="eastAsia" w:ascii="Times New Roman" w:hAnsi="Times New Roman" w:eastAsia="宋体" w:cs="Times New Roman"/>
                <w:color w:val="auto"/>
                <w:sz w:val="24"/>
                <w:szCs w:val="24"/>
                <w:lang w:val="en-US"/>
              </w:rPr>
              <w:t>）</w:t>
            </w:r>
            <w:r>
              <w:rPr>
                <w:rFonts w:hint="default" w:ascii="Times New Roman" w:hAnsi="Times New Roman" w:eastAsia="宋体" w:cs="Times New Roman"/>
                <w:color w:val="auto"/>
                <w:sz w:val="24"/>
                <w:szCs w:val="24"/>
                <w:lang w:val="en-US"/>
              </w:rPr>
              <w:t>中</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rPr>
              <w:t>类区标准限值要求</w:t>
            </w:r>
            <w:r>
              <w:rPr>
                <w:rFonts w:hint="eastAsia"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rPr>
              <w:t>同时环评要求建设单位在运营期加强设备检修和维护，确保设备处于良好的运转状态，</w:t>
            </w:r>
            <w:r>
              <w:rPr>
                <w:rFonts w:hint="eastAsia" w:ascii="Times New Roman" w:hAnsi="Times New Roman" w:eastAsia="宋体" w:cs="Times New Roman"/>
                <w:b w:val="0"/>
                <w:bCs/>
                <w:color w:val="auto"/>
                <w:spacing w:val="0"/>
                <w:kern w:val="0"/>
                <w:sz w:val="24"/>
              </w:rPr>
              <w:t>减少机械设备由于松动部件的振动等而增加其工作时的声级</w:t>
            </w:r>
            <w:r>
              <w:rPr>
                <w:rFonts w:hint="eastAsia" w:ascii="Times New Roman" w:hAnsi="Times New Roman" w:eastAsia="宋体" w:cs="Times New Roman"/>
                <w:b w:val="0"/>
                <w:bCs/>
                <w:color w:val="auto"/>
                <w:spacing w:val="0"/>
                <w:kern w:val="0"/>
                <w:sz w:val="24"/>
                <w:lang w:val="en-US" w:eastAsia="zh-CN"/>
              </w:rPr>
              <w:t>,</w:t>
            </w:r>
            <w:r>
              <w:rPr>
                <w:rFonts w:hint="eastAsia" w:ascii="Times New Roman" w:hAnsi="Times New Roman" w:eastAsia="宋体" w:cs="Times New Roman"/>
                <w:color w:val="auto"/>
                <w:sz w:val="24"/>
                <w:szCs w:val="24"/>
                <w:lang w:val="en-US"/>
              </w:rPr>
              <w:t>杜绝因设备不正常运转时产生的高噪声现象</w:t>
            </w:r>
            <w:r>
              <w:rPr>
                <w:rFonts w:hint="eastAsia" w:ascii="Times New Roman" w:hAnsi="Times New Roman" w:eastAsia="宋体" w:cs="Times New Roman"/>
                <w:color w:val="auto"/>
                <w:sz w:val="24"/>
                <w:szCs w:val="24"/>
                <w:lang w:val="en-US" w:eastAsia="zh-CN"/>
              </w:rPr>
              <w:t>。</w:t>
            </w:r>
            <w:r>
              <w:rPr>
                <w:rFonts w:hint="eastAsia" w:ascii="Times New Roman" w:hAnsi="Times New Roman" w:eastAsia="宋体" w:cs="Times New Roman"/>
                <w:b w:val="0"/>
                <w:bCs/>
                <w:color w:val="auto"/>
                <w:spacing w:val="0"/>
                <w:kern w:val="0"/>
                <w:sz w:val="24"/>
              </w:rPr>
              <w:t>对闲置不用的设备及时关闭</w:t>
            </w:r>
            <w:r>
              <w:rPr>
                <w:rFonts w:hint="eastAsia" w:ascii="Times New Roman" w:hAnsi="Times New Roman" w:eastAsia="宋体" w:cs="Times New Roman"/>
                <w:b w:val="0"/>
                <w:bCs/>
                <w:color w:val="auto"/>
                <w:spacing w:val="0"/>
                <w:kern w:val="0"/>
                <w:sz w:val="24"/>
                <w:lang w:eastAsia="zh-CN"/>
              </w:rPr>
              <w:t>。</w:t>
            </w:r>
          </w:p>
          <w:p w14:paraId="55156337">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eastAsia" w:cs="Times New Roman"/>
                <w:color w:val="auto"/>
                <w:sz w:val="24"/>
                <w:lang w:val="en-US" w:eastAsia="zh-CN"/>
              </w:rPr>
              <w:t>3</w:t>
            </w:r>
            <w:r>
              <w:rPr>
                <w:rFonts w:hint="eastAsia" w:cs="Times New Roman"/>
                <w:color w:val="auto"/>
                <w:sz w:val="24"/>
              </w:rPr>
              <w:t>、</w:t>
            </w:r>
            <w:r>
              <w:rPr>
                <w:rFonts w:hint="default" w:cs="Times New Roman"/>
                <w:color w:val="auto"/>
                <w:sz w:val="24"/>
              </w:rPr>
              <w:t>噪声监测计划</w:t>
            </w:r>
          </w:p>
          <w:p w14:paraId="26112641">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噪声环境监测计划</w:t>
            </w:r>
          </w:p>
          <w:tbl>
            <w:tblPr>
              <w:tblStyle w:val="28"/>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28" w:type="dxa"/>
                <w:bottom w:w="0" w:type="dxa"/>
                <w:right w:w="28" w:type="dxa"/>
              </w:tblCellMar>
            </w:tblPr>
            <w:tblGrid>
              <w:gridCol w:w="604"/>
              <w:gridCol w:w="1464"/>
              <w:gridCol w:w="1376"/>
              <w:gridCol w:w="938"/>
              <w:gridCol w:w="3458"/>
            </w:tblGrid>
            <w:tr w14:paraId="4B6E53C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336" w:hRule="atLeast"/>
                <w:jc w:val="center"/>
              </w:trPr>
              <w:tc>
                <w:tcPr>
                  <w:tcW w:w="385" w:type="pct"/>
                  <w:noWrap w:val="0"/>
                  <w:vAlign w:val="center"/>
                </w:tcPr>
                <w:p w14:paraId="142AE34F">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类别</w:t>
                  </w:r>
                </w:p>
              </w:tc>
              <w:tc>
                <w:tcPr>
                  <w:tcW w:w="933" w:type="pct"/>
                  <w:noWrap w:val="0"/>
                  <w:vAlign w:val="center"/>
                </w:tcPr>
                <w:p w14:paraId="6B68F5E1">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监测位置</w:t>
                  </w:r>
                </w:p>
              </w:tc>
              <w:tc>
                <w:tcPr>
                  <w:tcW w:w="877" w:type="pct"/>
                  <w:noWrap w:val="0"/>
                  <w:vAlign w:val="center"/>
                </w:tcPr>
                <w:p w14:paraId="0BC759FE">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监测项目</w:t>
                  </w:r>
                </w:p>
              </w:tc>
              <w:tc>
                <w:tcPr>
                  <w:tcW w:w="598" w:type="pct"/>
                  <w:noWrap w:val="0"/>
                  <w:vAlign w:val="center"/>
                </w:tcPr>
                <w:p w14:paraId="22889B91">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监测频次</w:t>
                  </w:r>
                </w:p>
              </w:tc>
              <w:tc>
                <w:tcPr>
                  <w:tcW w:w="2204" w:type="pct"/>
                  <w:noWrap w:val="0"/>
                  <w:vAlign w:val="center"/>
                </w:tcPr>
                <w:p w14:paraId="7C375105">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执行排放标准</w:t>
                  </w:r>
                </w:p>
              </w:tc>
            </w:tr>
            <w:tr w14:paraId="224E31B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28" w:type="dxa"/>
                  <w:bottom w:w="0" w:type="dxa"/>
                  <w:right w:w="28" w:type="dxa"/>
                </w:tblCellMar>
              </w:tblPrEx>
              <w:trPr>
                <w:trHeight w:val="541" w:hRule="atLeast"/>
                <w:jc w:val="center"/>
              </w:trPr>
              <w:tc>
                <w:tcPr>
                  <w:tcW w:w="385" w:type="pct"/>
                  <w:noWrap w:val="0"/>
                  <w:vAlign w:val="center"/>
                </w:tcPr>
                <w:p w14:paraId="1D01590D">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噪声</w:t>
                  </w:r>
                </w:p>
              </w:tc>
              <w:tc>
                <w:tcPr>
                  <w:tcW w:w="933" w:type="pct"/>
                  <w:noWrap w:val="0"/>
                  <w:vAlign w:val="center"/>
                </w:tcPr>
                <w:p w14:paraId="6457DCB1">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default" w:cs="Times New Roman"/>
                      <w:bCs/>
                      <w:color w:val="auto"/>
                      <w:szCs w:val="21"/>
                    </w:rPr>
                    <w:t>厂界</w:t>
                  </w:r>
                  <w:r>
                    <w:rPr>
                      <w:rFonts w:hint="eastAsia" w:cs="Times New Roman"/>
                      <w:bCs/>
                      <w:color w:val="auto"/>
                      <w:szCs w:val="21"/>
                    </w:rPr>
                    <w:t>四周</w:t>
                  </w:r>
                </w:p>
              </w:tc>
              <w:tc>
                <w:tcPr>
                  <w:tcW w:w="877" w:type="pct"/>
                  <w:noWrap w:val="0"/>
                  <w:vAlign w:val="center"/>
                </w:tcPr>
                <w:p w14:paraId="3197BD11">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连续等效A声级</w:t>
                  </w:r>
                </w:p>
              </w:tc>
              <w:tc>
                <w:tcPr>
                  <w:tcW w:w="598" w:type="pct"/>
                  <w:noWrap w:val="0"/>
                  <w:vAlign w:val="center"/>
                </w:tcPr>
                <w:p w14:paraId="6E5165AA">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eastAsia" w:cs="Times New Roman"/>
                      <w:bCs/>
                      <w:color w:val="auto"/>
                      <w:szCs w:val="21"/>
                      <w:lang w:val="en-US" w:eastAsia="zh-CN"/>
                    </w:rPr>
                    <w:t>1</w:t>
                  </w:r>
                  <w:r>
                    <w:rPr>
                      <w:rFonts w:hint="default" w:cs="Times New Roman"/>
                      <w:bCs/>
                      <w:color w:val="auto"/>
                      <w:szCs w:val="21"/>
                    </w:rPr>
                    <w:t>次</w:t>
                  </w:r>
                  <w:r>
                    <w:rPr>
                      <w:rFonts w:hint="eastAsia" w:cs="Times New Roman"/>
                      <w:bCs/>
                      <w:color w:val="auto"/>
                      <w:szCs w:val="21"/>
                      <w:lang w:val="en-US" w:eastAsia="zh-CN"/>
                    </w:rPr>
                    <w:t>/季度</w:t>
                  </w:r>
                </w:p>
              </w:tc>
              <w:tc>
                <w:tcPr>
                  <w:tcW w:w="2204" w:type="pct"/>
                  <w:noWrap w:val="0"/>
                  <w:vAlign w:val="center"/>
                </w:tcPr>
                <w:p w14:paraId="72231FB1">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《工业企业厂界环境噪声排放标准》</w:t>
                  </w:r>
                </w:p>
                <w:p w14:paraId="6668ED85">
                  <w:pPr>
                    <w:keepNext w:val="0"/>
                    <w:keepLines w:val="0"/>
                    <w:suppressLineNumbers w:val="0"/>
                    <w:tabs>
                      <w:tab w:val="left" w:pos="720"/>
                    </w:tabs>
                    <w:spacing w:before="0" w:beforeAutospacing="0" w:after="0" w:afterAutospacing="0"/>
                    <w:ind w:left="0" w:right="0"/>
                    <w:jc w:val="center"/>
                    <w:rPr>
                      <w:rFonts w:hint="default" w:cs="Times New Roman"/>
                      <w:bCs/>
                      <w:color w:val="auto"/>
                      <w:szCs w:val="21"/>
                    </w:rPr>
                  </w:pPr>
                  <w:r>
                    <w:rPr>
                      <w:rFonts w:hint="default" w:cs="Times New Roman"/>
                      <w:bCs/>
                      <w:color w:val="auto"/>
                      <w:szCs w:val="21"/>
                    </w:rPr>
                    <w:t>（GB12348-2008）</w:t>
                  </w:r>
                  <w:r>
                    <w:rPr>
                      <w:rFonts w:hint="eastAsia" w:cs="Times New Roman"/>
                      <w:bCs/>
                      <w:color w:val="auto"/>
                      <w:szCs w:val="21"/>
                      <w:lang w:val="en-US" w:eastAsia="zh-CN"/>
                    </w:rPr>
                    <w:t>3</w:t>
                  </w:r>
                  <w:r>
                    <w:rPr>
                      <w:rFonts w:hint="default" w:cs="Times New Roman"/>
                      <w:bCs/>
                      <w:color w:val="auto"/>
                      <w:szCs w:val="21"/>
                    </w:rPr>
                    <w:t>类标准</w:t>
                  </w:r>
                </w:p>
              </w:tc>
            </w:tr>
          </w:tbl>
          <w:p w14:paraId="304DACF1">
            <w:pPr>
              <w:keepNext w:val="0"/>
              <w:keepLines w:val="0"/>
              <w:suppressLineNumbers w:val="0"/>
              <w:spacing w:before="0" w:beforeAutospacing="0" w:after="0" w:afterAutospacing="0" w:line="360" w:lineRule="auto"/>
              <w:ind w:left="0" w:right="0" w:firstLine="482" w:firstLineChars="200"/>
              <w:rPr>
                <w:rFonts w:hint="default" w:cs="Times New Roman"/>
                <w:b/>
                <w:color w:val="auto"/>
                <w:sz w:val="24"/>
              </w:rPr>
            </w:pPr>
            <w:r>
              <w:rPr>
                <w:rFonts w:hint="eastAsia" w:cs="Times New Roman"/>
                <w:b/>
                <w:color w:val="auto"/>
                <w:sz w:val="24"/>
              </w:rPr>
              <w:t>四、运营期固体废弃物环境影响和保护措施</w:t>
            </w:r>
          </w:p>
          <w:p w14:paraId="113DB44B">
            <w:pPr>
              <w:pStyle w:val="89"/>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1</w:t>
            </w:r>
            <w:r>
              <w:rPr>
                <w:rFonts w:hint="default" w:cs="Times New Roman"/>
                <w:color w:val="auto"/>
              </w:rPr>
              <w:t>、固废污染源强分析</w:t>
            </w:r>
          </w:p>
          <w:p w14:paraId="43E7C83A">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lang w:eastAsia="zh-CN"/>
              </w:rPr>
            </w:pPr>
            <w:r>
              <w:rPr>
                <w:rFonts w:hint="default" w:cs="Times New Roman"/>
                <w:color w:val="auto"/>
                <w:sz w:val="24"/>
              </w:rPr>
              <w:t>本项目</w:t>
            </w:r>
            <w:r>
              <w:rPr>
                <w:rFonts w:hint="eastAsia" w:cs="Times New Roman"/>
                <w:color w:val="auto"/>
                <w:sz w:val="24"/>
              </w:rPr>
              <w:t>运行过程中产生固体废物包括：</w:t>
            </w:r>
            <w:r>
              <w:rPr>
                <w:rFonts w:hint="eastAsia" w:cs="Times New Roman"/>
                <w:color w:val="auto"/>
                <w:sz w:val="24"/>
                <w:lang w:val="en-US" w:eastAsia="zh-CN"/>
              </w:rPr>
              <w:t>废包装桶和设备运行产生的</w:t>
            </w:r>
            <w:r>
              <w:rPr>
                <w:rFonts w:hint="eastAsia" w:cs="Times New Roman"/>
                <w:color w:val="auto"/>
                <w:sz w:val="24"/>
                <w:lang w:eastAsia="zh-CN"/>
              </w:rPr>
              <w:t>废润滑油、废油桶</w:t>
            </w:r>
            <w:r>
              <w:rPr>
                <w:rFonts w:hint="eastAsia" w:cs="Times New Roman"/>
                <w:color w:val="auto"/>
                <w:sz w:val="24"/>
                <w:lang w:val="en-US" w:eastAsia="zh-CN"/>
              </w:rPr>
              <w:t>和含油抹布</w:t>
            </w:r>
            <w:r>
              <w:rPr>
                <w:rFonts w:hint="eastAsia" w:cs="Times New Roman"/>
                <w:color w:val="auto"/>
                <w:sz w:val="24"/>
                <w:lang w:eastAsia="zh-CN"/>
              </w:rPr>
              <w:t>。</w:t>
            </w:r>
          </w:p>
          <w:p w14:paraId="672FFECC">
            <w:pPr>
              <w:pStyle w:val="89"/>
              <w:keepNext w:val="0"/>
              <w:keepLines w:val="0"/>
              <w:suppressLineNumbers w:val="0"/>
              <w:spacing w:before="0" w:beforeAutospacing="0" w:after="0" w:afterAutospacing="0"/>
              <w:ind w:left="0" w:right="0" w:firstLine="480"/>
              <w:rPr>
                <w:rFonts w:hint="eastAsia" w:cs="Times New Roman"/>
                <w:color w:val="auto"/>
              </w:rPr>
            </w:pPr>
            <w:r>
              <w:rPr>
                <w:rFonts w:hint="eastAsia" w:ascii="Times New Roman" w:hAnsi="Times New Roman" w:eastAsia="宋体" w:cs="Times New Roman"/>
                <w:b w:val="0"/>
                <w:color w:val="auto"/>
                <w:kern w:val="2"/>
                <w:sz w:val="24"/>
                <w:szCs w:val="24"/>
                <w:lang w:val="en-US" w:eastAsia="zh-CN" w:bidi="ar-SA"/>
              </w:rPr>
              <w:t>废润滑油、废润滑油桶：项目</w:t>
            </w:r>
            <w:r>
              <w:rPr>
                <w:rFonts w:hint="eastAsia" w:cs="Times New Roman"/>
                <w:color w:val="auto"/>
              </w:rPr>
              <w:t>设备</w:t>
            </w:r>
            <w:r>
              <w:rPr>
                <w:rFonts w:hint="eastAsia" w:cs="Times New Roman"/>
                <w:color w:val="auto"/>
                <w:lang w:eastAsia="zh-CN"/>
              </w:rPr>
              <w:t>检修</w:t>
            </w:r>
            <w:r>
              <w:rPr>
                <w:rFonts w:hint="eastAsia" w:cs="Times New Roman"/>
                <w:color w:val="auto"/>
              </w:rPr>
              <w:t>过程中会产生废</w:t>
            </w:r>
            <w:r>
              <w:rPr>
                <w:rFonts w:hint="eastAsia" w:ascii="Times New Roman" w:hAnsi="Times New Roman" w:eastAsia="宋体" w:cs="Times New Roman"/>
                <w:b w:val="0"/>
                <w:color w:val="auto"/>
                <w:kern w:val="2"/>
                <w:sz w:val="24"/>
                <w:szCs w:val="24"/>
                <w:lang w:val="en-US" w:eastAsia="zh-CN" w:bidi="ar-SA"/>
              </w:rPr>
              <w:t>润滑油和废润滑油桶</w:t>
            </w:r>
            <w:r>
              <w:rPr>
                <w:rFonts w:hint="eastAsia" w:cs="Times New Roman"/>
                <w:color w:val="auto"/>
                <w:lang w:eastAsia="zh-CN"/>
              </w:rPr>
              <w:t>，根据建设单位提供资料，</w:t>
            </w:r>
            <w:r>
              <w:rPr>
                <w:rFonts w:hint="eastAsia" w:ascii="Times New Roman" w:hAnsi="Times New Roman" w:eastAsia="宋体" w:cs="Times New Roman"/>
                <w:b w:val="0"/>
                <w:color w:val="auto"/>
                <w:kern w:val="2"/>
                <w:sz w:val="24"/>
                <w:szCs w:val="24"/>
                <w:lang w:val="en-US" w:eastAsia="zh-CN" w:bidi="ar-SA"/>
              </w:rPr>
              <w:t>废润滑油产生量约0.05</w:t>
            </w:r>
            <w:r>
              <w:rPr>
                <w:rFonts w:hint="eastAsia" w:ascii="Times New Roman" w:cs="Times New Roman"/>
                <w:color w:val="auto"/>
              </w:rPr>
              <w:t>t/a</w:t>
            </w:r>
            <w:r>
              <w:rPr>
                <w:rFonts w:hint="eastAsia" w:cs="Times New Roman"/>
                <w:color w:val="auto"/>
              </w:rPr>
              <w:t>，</w:t>
            </w:r>
            <w:r>
              <w:rPr>
                <w:rFonts w:hint="eastAsia" w:ascii="Times New Roman" w:hAnsi="Times New Roman" w:eastAsia="宋体" w:cs="Times New Roman"/>
                <w:b w:val="0"/>
                <w:color w:val="auto"/>
                <w:kern w:val="2"/>
                <w:sz w:val="24"/>
                <w:szCs w:val="24"/>
                <w:lang w:val="en-US" w:eastAsia="zh-CN" w:bidi="ar-SA"/>
              </w:rPr>
              <w:t>废润滑油桶产生量约20个</w:t>
            </w:r>
            <w:r>
              <w:rPr>
                <w:rFonts w:hint="eastAsia" w:ascii="Times New Roman" w:cs="Times New Roman"/>
                <w:color w:val="auto"/>
              </w:rPr>
              <w:t>/a。</w:t>
            </w:r>
            <w:r>
              <w:rPr>
                <w:rFonts w:hint="eastAsia" w:ascii="Times New Roman" w:hAnsi="Times New Roman" w:eastAsia="宋体" w:cs="Times New Roman"/>
                <w:b w:val="0"/>
                <w:color w:val="auto"/>
                <w:kern w:val="2"/>
                <w:sz w:val="24"/>
                <w:szCs w:val="24"/>
                <w:lang w:val="en-US" w:eastAsia="zh-CN" w:bidi="ar-SA"/>
              </w:rPr>
              <w:t>废润滑油、废润滑油桶属于危险废物，暂存于现有的危废暂存间暂存后定期交有资质的单位处置</w:t>
            </w:r>
            <w:r>
              <w:rPr>
                <w:rFonts w:hint="eastAsia" w:cs="Times New Roman"/>
                <w:color w:val="auto"/>
              </w:rPr>
              <w:t>。</w:t>
            </w:r>
          </w:p>
          <w:p w14:paraId="7141B60D">
            <w:pPr>
              <w:pStyle w:val="89"/>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含</w:t>
            </w:r>
            <w:r>
              <w:rPr>
                <w:rFonts w:hint="eastAsia" w:ascii="Times New Roman" w:hAnsi="Times New Roman" w:eastAsia="宋体" w:cs="Times New Roman"/>
                <w:color w:val="auto"/>
                <w:lang w:eastAsia="zh-CN"/>
              </w:rPr>
              <w:t>油</w:t>
            </w:r>
            <w:r>
              <w:rPr>
                <w:rFonts w:hint="eastAsia" w:ascii="Times New Roman" w:hAnsi="Times New Roman" w:eastAsia="宋体" w:cs="Times New Roman"/>
                <w:color w:val="auto"/>
                <w:lang w:val="en-US" w:eastAsia="zh-CN"/>
              </w:rPr>
              <w:t>抹布：</w:t>
            </w:r>
            <w:r>
              <w:rPr>
                <w:rFonts w:hint="eastAsia" w:ascii="Times New Roman" w:hAnsi="Times New Roman" w:eastAsia="宋体" w:cs="Times New Roman"/>
                <w:color w:val="auto"/>
                <w:lang w:eastAsia="zh-CN"/>
              </w:rPr>
              <w:t>项目运行检修过程中会产生少量含油抹布，根据建设单位提供资料，含油抹布产生量为</w:t>
            </w:r>
            <w:r>
              <w:rPr>
                <w:rFonts w:hint="eastAsia" w:ascii="Times New Roman" w:hAnsi="Times New Roman" w:eastAsia="宋体" w:cs="Times New Roman"/>
                <w:color w:val="auto"/>
                <w:lang w:val="en-US" w:eastAsia="zh-CN"/>
              </w:rPr>
              <w:t>20kg/</w:t>
            </w:r>
            <w:r>
              <w:rPr>
                <w:rFonts w:hint="eastAsia" w:ascii="Times New Roman" w:hAnsi="Times New Roman" w:eastAsia="宋体" w:cs="Times New Roman"/>
                <w:color w:val="auto"/>
                <w:lang w:eastAsia="zh-CN"/>
              </w:rPr>
              <w:t>a，</w:t>
            </w:r>
            <w:r>
              <w:rPr>
                <w:rFonts w:hint="eastAsia" w:ascii="Times New Roman" w:hAnsi="Times New Roman" w:eastAsia="宋体" w:cs="Times New Roman"/>
                <w:color w:val="auto"/>
                <w:lang w:val="en-US" w:eastAsia="zh-CN"/>
              </w:rPr>
              <w:t>含</w:t>
            </w:r>
            <w:r>
              <w:rPr>
                <w:rFonts w:hint="eastAsia" w:ascii="Times New Roman" w:hAnsi="Times New Roman" w:eastAsia="宋体" w:cs="Times New Roman"/>
                <w:color w:val="auto"/>
                <w:lang w:eastAsia="zh-CN"/>
              </w:rPr>
              <w:t>油抹布属于危险废物，暂存于厂内的危险废物暂存间，定期委托有资质单位处置。</w:t>
            </w:r>
          </w:p>
          <w:p w14:paraId="224FBE64">
            <w:pPr>
              <w:pStyle w:val="89"/>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val="en-US" w:eastAsia="zh-CN"/>
              </w:rPr>
            </w:pPr>
            <w:r>
              <w:rPr>
                <w:rFonts w:hint="eastAsia" w:cs="Times New Roman"/>
                <w:color w:val="auto"/>
                <w:sz w:val="24"/>
                <w:lang w:val="en-US" w:eastAsia="zh-CN"/>
              </w:rPr>
              <w:t>废包装桶：根据建设单位物料使用，每年产生5个水处理剂废包装桶，包装桶由厂家定期回收后综合利用。</w:t>
            </w:r>
          </w:p>
          <w:p w14:paraId="46B895BC">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cs="Times New Roman"/>
                <w:b/>
                <w:bCs/>
                <w:color w:val="auto"/>
                <w:sz w:val="24"/>
                <w:szCs w:val="24"/>
              </w:rPr>
            </w:pPr>
            <w:r>
              <w:rPr>
                <w:rFonts w:hint="eastAsia" w:cs="Times New Roman"/>
                <w:b/>
                <w:bCs/>
                <w:color w:val="auto"/>
                <w:sz w:val="24"/>
                <w:szCs w:val="24"/>
              </w:rPr>
              <w:t>本</w:t>
            </w:r>
            <w:r>
              <w:rPr>
                <w:rFonts w:hint="default" w:cs="Times New Roman"/>
                <w:b/>
                <w:bCs/>
                <w:color w:val="auto"/>
                <w:sz w:val="24"/>
                <w:szCs w:val="24"/>
              </w:rPr>
              <w:t>项目固废产生情况汇总表</w:t>
            </w:r>
          </w:p>
          <w:tbl>
            <w:tblPr>
              <w:tblStyle w:val="28"/>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3"/>
              <w:gridCol w:w="896"/>
              <w:gridCol w:w="625"/>
              <w:gridCol w:w="912"/>
              <w:gridCol w:w="732"/>
              <w:gridCol w:w="786"/>
              <w:gridCol w:w="456"/>
              <w:gridCol w:w="645"/>
              <w:gridCol w:w="573"/>
              <w:gridCol w:w="492"/>
              <w:gridCol w:w="536"/>
              <w:gridCol w:w="779"/>
            </w:tblGrid>
            <w:tr w14:paraId="7851D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51" w:type="pct"/>
                  <w:noWrap w:val="0"/>
                  <w:vAlign w:val="center"/>
                </w:tcPr>
                <w:p w14:paraId="18954D6F">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序号</w:t>
                  </w:r>
                </w:p>
              </w:tc>
              <w:tc>
                <w:tcPr>
                  <w:tcW w:w="572" w:type="pct"/>
                  <w:noWrap w:val="0"/>
                  <w:vAlign w:val="center"/>
                </w:tcPr>
                <w:p w14:paraId="719B3925">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废物名称</w:t>
                  </w:r>
                </w:p>
              </w:tc>
              <w:tc>
                <w:tcPr>
                  <w:tcW w:w="399" w:type="pct"/>
                  <w:noWrap w:val="0"/>
                  <w:vAlign w:val="center"/>
                </w:tcPr>
                <w:p w14:paraId="2799ECED">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危险废物类别</w:t>
                  </w:r>
                </w:p>
              </w:tc>
              <w:tc>
                <w:tcPr>
                  <w:tcW w:w="582" w:type="pct"/>
                  <w:noWrap w:val="0"/>
                  <w:vAlign w:val="center"/>
                </w:tcPr>
                <w:p w14:paraId="3DB75814">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危险废物代码</w:t>
                  </w:r>
                </w:p>
              </w:tc>
              <w:tc>
                <w:tcPr>
                  <w:tcW w:w="467" w:type="pct"/>
                  <w:noWrap w:val="0"/>
                  <w:vAlign w:val="center"/>
                </w:tcPr>
                <w:p w14:paraId="0FC2B41A">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eastAsia" w:cs="Times New Roman"/>
                      <w:b w:val="0"/>
                      <w:bCs w:val="0"/>
                      <w:color w:val="auto"/>
                      <w:kern w:val="0"/>
                      <w:szCs w:val="21"/>
                    </w:rPr>
                    <w:t>年</w:t>
                  </w:r>
                  <w:r>
                    <w:rPr>
                      <w:rFonts w:hint="default" w:cs="Times New Roman"/>
                      <w:b w:val="0"/>
                      <w:bCs w:val="0"/>
                      <w:color w:val="auto"/>
                      <w:kern w:val="0"/>
                      <w:szCs w:val="21"/>
                    </w:rPr>
                    <w:t>产生量</w:t>
                  </w:r>
                </w:p>
              </w:tc>
              <w:tc>
                <w:tcPr>
                  <w:tcW w:w="502" w:type="pct"/>
                  <w:noWrap w:val="0"/>
                  <w:vAlign w:val="center"/>
                </w:tcPr>
                <w:p w14:paraId="21622D96">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产生工序及装置</w:t>
                  </w:r>
                </w:p>
              </w:tc>
              <w:tc>
                <w:tcPr>
                  <w:tcW w:w="291" w:type="pct"/>
                  <w:noWrap w:val="0"/>
                  <w:vAlign w:val="center"/>
                </w:tcPr>
                <w:p w14:paraId="2198EA02">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形态</w:t>
                  </w:r>
                </w:p>
              </w:tc>
              <w:tc>
                <w:tcPr>
                  <w:tcW w:w="412" w:type="pct"/>
                  <w:noWrap w:val="0"/>
                  <w:vAlign w:val="center"/>
                </w:tcPr>
                <w:p w14:paraId="720F90B9">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主要成分</w:t>
                  </w:r>
                </w:p>
              </w:tc>
              <w:tc>
                <w:tcPr>
                  <w:tcW w:w="366" w:type="pct"/>
                  <w:noWrap w:val="0"/>
                  <w:vAlign w:val="center"/>
                </w:tcPr>
                <w:p w14:paraId="43C58392">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有害成分</w:t>
                  </w:r>
                </w:p>
              </w:tc>
              <w:tc>
                <w:tcPr>
                  <w:tcW w:w="314" w:type="pct"/>
                  <w:noWrap w:val="0"/>
                  <w:vAlign w:val="center"/>
                </w:tcPr>
                <w:p w14:paraId="0A7BEC94">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产废周期</w:t>
                  </w:r>
                </w:p>
              </w:tc>
              <w:tc>
                <w:tcPr>
                  <w:tcW w:w="342" w:type="pct"/>
                  <w:noWrap w:val="0"/>
                  <w:vAlign w:val="center"/>
                </w:tcPr>
                <w:p w14:paraId="74172D5C">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危险</w:t>
                  </w:r>
                </w:p>
                <w:p w14:paraId="169D0D48">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default" w:cs="Times New Roman"/>
                      <w:b w:val="0"/>
                      <w:bCs w:val="0"/>
                      <w:color w:val="auto"/>
                      <w:kern w:val="0"/>
                      <w:szCs w:val="21"/>
                    </w:rPr>
                    <w:t>特性</w:t>
                  </w:r>
                </w:p>
              </w:tc>
              <w:tc>
                <w:tcPr>
                  <w:tcW w:w="497" w:type="pct"/>
                  <w:noWrap w:val="0"/>
                  <w:vAlign w:val="center"/>
                </w:tcPr>
                <w:p w14:paraId="42379142">
                  <w:pPr>
                    <w:keepNext w:val="0"/>
                    <w:keepLines w:val="0"/>
                    <w:suppressLineNumbers w:val="0"/>
                    <w:topLinePunct/>
                    <w:adjustRightInd w:val="0"/>
                    <w:snapToGrid w:val="0"/>
                    <w:spacing w:before="0" w:beforeAutospacing="0" w:after="0" w:afterAutospacing="0"/>
                    <w:ind w:left="0" w:right="0"/>
                    <w:jc w:val="center"/>
                    <w:rPr>
                      <w:rFonts w:hint="default" w:cs="Times New Roman"/>
                      <w:b w:val="0"/>
                      <w:bCs w:val="0"/>
                      <w:color w:val="auto"/>
                      <w:kern w:val="0"/>
                      <w:szCs w:val="21"/>
                    </w:rPr>
                  </w:pPr>
                  <w:r>
                    <w:rPr>
                      <w:rFonts w:hint="eastAsia" w:cs="Times New Roman"/>
                      <w:b w:val="0"/>
                      <w:bCs w:val="0"/>
                      <w:color w:val="auto"/>
                      <w:kern w:val="0"/>
                      <w:szCs w:val="21"/>
                    </w:rPr>
                    <w:t>处置</w:t>
                  </w:r>
                  <w:r>
                    <w:rPr>
                      <w:rFonts w:hint="default" w:cs="Times New Roman"/>
                      <w:b w:val="0"/>
                      <w:bCs w:val="0"/>
                      <w:color w:val="auto"/>
                      <w:kern w:val="0"/>
                      <w:szCs w:val="21"/>
                    </w:rPr>
                    <w:t>措施</w:t>
                  </w:r>
                </w:p>
              </w:tc>
            </w:tr>
            <w:tr w14:paraId="2F751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 w:type="pct"/>
                  <w:noWrap w:val="0"/>
                  <w:vAlign w:val="center"/>
                </w:tcPr>
                <w:p w14:paraId="01834579">
                  <w:pPr>
                    <w:pStyle w:val="112"/>
                    <w:keepNext w:val="0"/>
                    <w:keepLines w:val="0"/>
                    <w:suppressLineNumbers w:val="0"/>
                    <w:spacing w:before="0" w:beforeAutospacing="0" w:after="0" w:afterAutospacing="0"/>
                    <w:ind w:left="0" w:right="0"/>
                    <w:rPr>
                      <w:rFonts w:hint="eastAsia" w:eastAsia="宋体" w:cs="Times New Roman"/>
                      <w:color w:val="auto"/>
                      <w:kern w:val="0"/>
                      <w:szCs w:val="21"/>
                      <w:lang w:val="en-US" w:eastAsia="zh-CN"/>
                    </w:rPr>
                  </w:pPr>
                  <w:r>
                    <w:rPr>
                      <w:rFonts w:hint="eastAsia" w:cs="Times New Roman"/>
                      <w:color w:val="auto"/>
                      <w:kern w:val="0"/>
                      <w:szCs w:val="21"/>
                      <w:lang w:val="en-US" w:eastAsia="zh-CN"/>
                    </w:rPr>
                    <w:t>1</w:t>
                  </w:r>
                </w:p>
              </w:tc>
              <w:tc>
                <w:tcPr>
                  <w:tcW w:w="572" w:type="pct"/>
                  <w:noWrap w:val="0"/>
                  <w:vAlign w:val="center"/>
                </w:tcPr>
                <w:p w14:paraId="2147BA35">
                  <w:pPr>
                    <w:pStyle w:val="112"/>
                    <w:keepNext w:val="0"/>
                    <w:keepLines w:val="0"/>
                    <w:suppressLineNumbers w:val="0"/>
                    <w:spacing w:before="0" w:beforeAutospacing="0" w:after="0" w:afterAutospacing="0"/>
                    <w:ind w:left="0" w:right="0"/>
                    <w:rPr>
                      <w:rFonts w:hint="eastAsia" w:eastAsia="宋体" w:cs="Times New Roman"/>
                      <w:color w:val="auto"/>
                      <w:kern w:val="0"/>
                      <w:szCs w:val="21"/>
                      <w:lang w:eastAsia="zh-CN"/>
                    </w:rPr>
                  </w:pPr>
                  <w:r>
                    <w:rPr>
                      <w:rFonts w:hint="eastAsia" w:eastAsia="宋体" w:cs="Times New Roman"/>
                      <w:color w:val="auto"/>
                      <w:kern w:val="0"/>
                      <w:szCs w:val="21"/>
                      <w:lang w:val="en-US" w:eastAsia="zh-CN"/>
                    </w:rPr>
                    <w:t>废包装桶</w:t>
                  </w:r>
                </w:p>
              </w:tc>
              <w:tc>
                <w:tcPr>
                  <w:tcW w:w="981" w:type="pct"/>
                  <w:gridSpan w:val="2"/>
                  <w:noWrap w:val="0"/>
                  <w:vAlign w:val="center"/>
                </w:tcPr>
                <w:p w14:paraId="72C3054B">
                  <w:pPr>
                    <w:keepNext w:val="0"/>
                    <w:keepLines w:val="0"/>
                    <w:suppressLineNumbers w:val="0"/>
                    <w:autoSpaceDE w:val="0"/>
                    <w:autoSpaceDN w:val="0"/>
                    <w:adjustRightInd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一般固废</w:t>
                  </w:r>
                </w:p>
              </w:tc>
              <w:tc>
                <w:tcPr>
                  <w:tcW w:w="467" w:type="pct"/>
                  <w:noWrap w:val="0"/>
                  <w:vAlign w:val="center"/>
                </w:tcPr>
                <w:p w14:paraId="310C4561">
                  <w:pPr>
                    <w:pStyle w:val="112"/>
                    <w:keepNext w:val="0"/>
                    <w:keepLines w:val="0"/>
                    <w:suppressLineNumbers w:val="0"/>
                    <w:spacing w:before="0" w:beforeAutospacing="0" w:after="0" w:afterAutospacing="0"/>
                    <w:ind w:left="0" w:right="0"/>
                    <w:rPr>
                      <w:rFonts w:hint="default" w:eastAsia="宋体" w:cs="Times New Roman"/>
                      <w:color w:val="auto"/>
                      <w:kern w:val="0"/>
                      <w:szCs w:val="21"/>
                      <w:lang w:val="en-US" w:eastAsia="zh-CN"/>
                    </w:rPr>
                  </w:pPr>
                  <w:r>
                    <w:rPr>
                      <w:rFonts w:hint="eastAsia" w:cs="Times New Roman"/>
                      <w:color w:val="auto"/>
                      <w:highlight w:val="none"/>
                      <w:lang w:val="en-US" w:eastAsia="zh-CN"/>
                    </w:rPr>
                    <w:t>5个/</w:t>
                  </w:r>
                  <w:r>
                    <w:rPr>
                      <w:rFonts w:hint="eastAsia" w:cs="Times New Roman"/>
                      <w:color w:val="auto"/>
                      <w:highlight w:val="none"/>
                    </w:rPr>
                    <w:t>a</w:t>
                  </w:r>
                </w:p>
              </w:tc>
              <w:tc>
                <w:tcPr>
                  <w:tcW w:w="502" w:type="pct"/>
                  <w:noWrap w:val="0"/>
                  <w:vAlign w:val="center"/>
                </w:tcPr>
                <w:p w14:paraId="12B0F962">
                  <w:pPr>
                    <w:pStyle w:val="112"/>
                    <w:keepNext w:val="0"/>
                    <w:keepLines w:val="0"/>
                    <w:suppressLineNumbers w:val="0"/>
                    <w:spacing w:before="0" w:beforeAutospacing="0" w:after="0" w:afterAutospacing="0"/>
                    <w:ind w:left="0" w:right="0"/>
                    <w:rPr>
                      <w:rFonts w:hint="eastAsia" w:eastAsia="宋体" w:cs="Times New Roman"/>
                      <w:color w:val="auto"/>
                      <w:kern w:val="0"/>
                      <w:szCs w:val="21"/>
                      <w:lang w:val="en-US" w:eastAsia="zh-CN"/>
                    </w:rPr>
                  </w:pPr>
                  <w:r>
                    <w:rPr>
                      <w:rFonts w:hint="eastAsia" w:cs="Times New Roman"/>
                      <w:color w:val="auto"/>
                      <w:kern w:val="0"/>
                      <w:szCs w:val="21"/>
                      <w:lang w:val="en-US" w:eastAsia="zh-CN"/>
                    </w:rPr>
                    <w:t>水处理</w:t>
                  </w:r>
                </w:p>
              </w:tc>
              <w:tc>
                <w:tcPr>
                  <w:tcW w:w="291" w:type="pct"/>
                  <w:noWrap w:val="0"/>
                  <w:vAlign w:val="center"/>
                </w:tcPr>
                <w:p w14:paraId="4B69E5E3">
                  <w:pPr>
                    <w:keepNext w:val="0"/>
                    <w:keepLines w:val="0"/>
                    <w:suppressLineNumbers w:val="0"/>
                    <w:spacing w:before="0" w:beforeAutospacing="0" w:after="0" w:afterAutospacing="0"/>
                    <w:ind w:left="0" w:right="0"/>
                    <w:jc w:val="center"/>
                    <w:rPr>
                      <w:rFonts w:hint="default" w:cs="Times New Roman"/>
                      <w:color w:val="auto"/>
                      <w:szCs w:val="21"/>
                    </w:rPr>
                  </w:pPr>
                  <w:r>
                    <w:rPr>
                      <w:rFonts w:hint="default" w:cs="Times New Roman"/>
                      <w:color w:val="auto"/>
                      <w:szCs w:val="21"/>
                    </w:rPr>
                    <w:t>固体</w:t>
                  </w:r>
                </w:p>
              </w:tc>
              <w:tc>
                <w:tcPr>
                  <w:tcW w:w="412" w:type="pct"/>
                  <w:noWrap w:val="0"/>
                  <w:vAlign w:val="center"/>
                </w:tcPr>
                <w:p w14:paraId="01320345">
                  <w:pPr>
                    <w:keepNext w:val="0"/>
                    <w:keepLines w:val="0"/>
                    <w:suppressLineNumbers w:val="0"/>
                    <w:spacing w:before="0" w:beforeAutospacing="0" w:after="0" w:afterAutospacing="0"/>
                    <w:ind w:left="0" w:right="0"/>
                    <w:jc w:val="center"/>
                    <w:rPr>
                      <w:rFonts w:hint="default" w:eastAsia="宋体" w:cs="Times New Roman"/>
                      <w:color w:val="auto"/>
                      <w:szCs w:val="21"/>
                      <w:lang w:val="en-US" w:eastAsia="zh-CN"/>
                    </w:rPr>
                  </w:pPr>
                  <w:r>
                    <w:rPr>
                      <w:rFonts w:hint="eastAsia" w:eastAsia="宋体" w:cs="Times New Roman"/>
                      <w:color w:val="auto"/>
                      <w:szCs w:val="21"/>
                      <w:lang w:val="en-US" w:eastAsia="zh-CN"/>
                    </w:rPr>
                    <w:t>/</w:t>
                  </w:r>
                </w:p>
              </w:tc>
              <w:tc>
                <w:tcPr>
                  <w:tcW w:w="366" w:type="pct"/>
                  <w:noWrap w:val="0"/>
                  <w:vAlign w:val="center"/>
                </w:tcPr>
                <w:p w14:paraId="682120E6">
                  <w:pPr>
                    <w:keepNext w:val="0"/>
                    <w:keepLines w:val="0"/>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eastAsia="宋体" w:cs="Times New Roman"/>
                      <w:color w:val="auto"/>
                      <w:kern w:val="0"/>
                      <w:szCs w:val="21"/>
                      <w:lang w:val="en-US" w:eastAsia="zh-CN"/>
                    </w:rPr>
                    <w:t>/</w:t>
                  </w:r>
                </w:p>
              </w:tc>
              <w:tc>
                <w:tcPr>
                  <w:tcW w:w="314" w:type="pct"/>
                  <w:noWrap w:val="0"/>
                  <w:vAlign w:val="center"/>
                </w:tcPr>
                <w:p w14:paraId="5CBD5D9D">
                  <w:pPr>
                    <w:pStyle w:val="112"/>
                    <w:keepNext w:val="0"/>
                    <w:keepLines w:val="0"/>
                    <w:suppressLineNumbers w:val="0"/>
                    <w:spacing w:before="0" w:beforeAutospacing="0" w:after="0" w:afterAutospacing="0"/>
                    <w:ind w:left="0" w:right="0"/>
                    <w:rPr>
                      <w:rFonts w:hint="default" w:cs="Times New Roman"/>
                      <w:color w:val="auto"/>
                      <w:kern w:val="0"/>
                      <w:szCs w:val="21"/>
                    </w:rPr>
                  </w:pPr>
                  <w:r>
                    <w:rPr>
                      <w:rFonts w:hint="default" w:cs="Times New Roman"/>
                      <w:color w:val="auto"/>
                      <w:szCs w:val="21"/>
                    </w:rPr>
                    <w:t>1年</w:t>
                  </w:r>
                </w:p>
              </w:tc>
              <w:tc>
                <w:tcPr>
                  <w:tcW w:w="342" w:type="pct"/>
                  <w:noWrap w:val="0"/>
                  <w:vAlign w:val="center"/>
                </w:tcPr>
                <w:p w14:paraId="2A554BAC">
                  <w:pPr>
                    <w:keepNext w:val="0"/>
                    <w:keepLines w:val="0"/>
                    <w:suppressLineNumbers w:val="0"/>
                    <w:spacing w:before="0" w:beforeAutospacing="0" w:after="0" w:afterAutospacing="0"/>
                    <w:ind w:left="0" w:right="0"/>
                    <w:jc w:val="center"/>
                    <w:rPr>
                      <w:rFonts w:hint="default" w:eastAsia="宋体" w:cs="Times New Roman"/>
                      <w:color w:val="auto"/>
                      <w:kern w:val="0"/>
                      <w:szCs w:val="21"/>
                      <w:lang w:val="en-US" w:eastAsia="zh-CN"/>
                    </w:rPr>
                  </w:pPr>
                  <w:r>
                    <w:rPr>
                      <w:rFonts w:hint="eastAsia" w:cs="Times New Roman"/>
                      <w:color w:val="auto"/>
                      <w:kern w:val="0"/>
                      <w:szCs w:val="21"/>
                      <w:lang w:val="en-US" w:eastAsia="zh-CN"/>
                    </w:rPr>
                    <w:t>/</w:t>
                  </w:r>
                </w:p>
              </w:tc>
              <w:tc>
                <w:tcPr>
                  <w:tcW w:w="497" w:type="pct"/>
                  <w:noWrap w:val="0"/>
                  <w:vAlign w:val="center"/>
                </w:tcPr>
                <w:p w14:paraId="3A7E8929">
                  <w:pPr>
                    <w:pStyle w:val="112"/>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厂家回收</w:t>
                  </w:r>
                </w:p>
              </w:tc>
            </w:tr>
            <w:tr w14:paraId="3B333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 w:type="pct"/>
                  <w:noWrap w:val="0"/>
                  <w:vAlign w:val="center"/>
                </w:tcPr>
                <w:p w14:paraId="2D6E2CD9">
                  <w:pPr>
                    <w:pStyle w:val="112"/>
                    <w:keepNext w:val="0"/>
                    <w:keepLines w:val="0"/>
                    <w:suppressLineNumbers w:val="0"/>
                    <w:spacing w:before="0" w:beforeAutospacing="0" w:after="0" w:afterAutospacing="0"/>
                    <w:ind w:left="0" w:right="0"/>
                    <w:rPr>
                      <w:rFonts w:hint="eastAsia" w:eastAsia="宋体" w:cs="Times New Roman"/>
                      <w:color w:val="auto"/>
                      <w:spacing w:val="2"/>
                      <w:kern w:val="0"/>
                      <w:sz w:val="21"/>
                      <w:szCs w:val="21"/>
                      <w:lang w:val="en-US" w:eastAsia="zh-CN" w:bidi="ar-SA"/>
                    </w:rPr>
                  </w:pPr>
                  <w:r>
                    <w:rPr>
                      <w:rFonts w:hint="eastAsia" w:cs="Times New Roman"/>
                      <w:color w:val="auto"/>
                      <w:szCs w:val="21"/>
                      <w:lang w:val="en-US" w:eastAsia="zh-CN"/>
                    </w:rPr>
                    <w:t>2</w:t>
                  </w:r>
                </w:p>
              </w:tc>
              <w:tc>
                <w:tcPr>
                  <w:tcW w:w="572" w:type="pct"/>
                  <w:noWrap w:val="0"/>
                  <w:vAlign w:val="center"/>
                </w:tcPr>
                <w:p w14:paraId="0EC4FF5C">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废润滑油</w:t>
                  </w:r>
                </w:p>
              </w:tc>
              <w:tc>
                <w:tcPr>
                  <w:tcW w:w="399" w:type="pct"/>
                  <w:noWrap w:val="0"/>
                  <w:vAlign w:val="center"/>
                </w:tcPr>
                <w:p w14:paraId="19BA9422">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HW08</w:t>
                  </w:r>
                </w:p>
              </w:tc>
              <w:tc>
                <w:tcPr>
                  <w:tcW w:w="582" w:type="pct"/>
                  <w:noWrap w:val="0"/>
                  <w:vAlign w:val="center"/>
                </w:tcPr>
                <w:p w14:paraId="274343C0">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900-249-08</w:t>
                  </w:r>
                </w:p>
              </w:tc>
              <w:tc>
                <w:tcPr>
                  <w:tcW w:w="467" w:type="pct"/>
                  <w:noWrap w:val="0"/>
                  <w:vAlign w:val="center"/>
                </w:tcPr>
                <w:p w14:paraId="4D470A96">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eastAsia" w:cs="Times New Roman"/>
                      <w:color w:val="auto"/>
                      <w:kern w:val="0"/>
                      <w:szCs w:val="21"/>
                      <w:lang w:val="en-US" w:eastAsia="zh-CN"/>
                    </w:rPr>
                    <w:t>0.05</w:t>
                  </w:r>
                  <w:r>
                    <w:rPr>
                      <w:rFonts w:hint="eastAsia" w:cs="Times New Roman"/>
                      <w:color w:val="auto"/>
                      <w:highlight w:val="none"/>
                      <w:lang w:val="en-US" w:eastAsia="zh-CN"/>
                    </w:rPr>
                    <w:t>t</w:t>
                  </w:r>
                  <w:r>
                    <w:rPr>
                      <w:rFonts w:hint="eastAsia" w:cs="Times New Roman"/>
                      <w:color w:val="auto"/>
                      <w:highlight w:val="none"/>
                    </w:rPr>
                    <w:t>/a</w:t>
                  </w:r>
                </w:p>
              </w:tc>
              <w:tc>
                <w:tcPr>
                  <w:tcW w:w="502" w:type="pct"/>
                  <w:noWrap w:val="0"/>
                  <w:vAlign w:val="center"/>
                </w:tcPr>
                <w:p w14:paraId="60A040E2">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设备</w:t>
                  </w:r>
                </w:p>
              </w:tc>
              <w:tc>
                <w:tcPr>
                  <w:tcW w:w="291" w:type="pct"/>
                  <w:noWrap w:val="0"/>
                  <w:vAlign w:val="center"/>
                </w:tcPr>
                <w:p w14:paraId="0339F0EA">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液态</w:t>
                  </w:r>
                </w:p>
              </w:tc>
              <w:tc>
                <w:tcPr>
                  <w:tcW w:w="412" w:type="pct"/>
                  <w:noWrap w:val="0"/>
                  <w:vAlign w:val="center"/>
                </w:tcPr>
                <w:p w14:paraId="0808168A">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油类</w:t>
                  </w:r>
                </w:p>
              </w:tc>
              <w:tc>
                <w:tcPr>
                  <w:tcW w:w="366" w:type="pct"/>
                  <w:noWrap w:val="0"/>
                  <w:vAlign w:val="center"/>
                </w:tcPr>
                <w:p w14:paraId="4F0D8D17">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油类</w:t>
                  </w:r>
                </w:p>
              </w:tc>
              <w:tc>
                <w:tcPr>
                  <w:tcW w:w="314" w:type="pct"/>
                  <w:noWrap w:val="0"/>
                  <w:vAlign w:val="center"/>
                </w:tcPr>
                <w:p w14:paraId="770E6FD8">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1年</w:t>
                  </w:r>
                </w:p>
              </w:tc>
              <w:tc>
                <w:tcPr>
                  <w:tcW w:w="342" w:type="pct"/>
                  <w:noWrap w:val="0"/>
                  <w:vAlign w:val="center"/>
                </w:tcPr>
                <w:p w14:paraId="4A2F25FF">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T/In</w:t>
                  </w:r>
                </w:p>
              </w:tc>
              <w:tc>
                <w:tcPr>
                  <w:tcW w:w="497" w:type="pct"/>
                  <w:vMerge w:val="restart"/>
                  <w:noWrap w:val="0"/>
                  <w:vAlign w:val="center"/>
                </w:tcPr>
                <w:p w14:paraId="016078B4">
                  <w:pPr>
                    <w:pStyle w:val="112"/>
                    <w:keepNext w:val="0"/>
                    <w:keepLines w:val="0"/>
                    <w:suppressLineNumbers w:val="0"/>
                    <w:spacing w:before="0" w:beforeAutospacing="0" w:after="0" w:afterAutospacing="0"/>
                    <w:ind w:left="0" w:right="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暂存于危险废物暂存间，定期委托有资质单位处置</w:t>
                  </w:r>
                </w:p>
              </w:tc>
            </w:tr>
            <w:tr w14:paraId="02144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 w:type="pct"/>
                  <w:noWrap w:val="0"/>
                  <w:vAlign w:val="center"/>
                </w:tcPr>
                <w:p w14:paraId="544957BA">
                  <w:pPr>
                    <w:pStyle w:val="112"/>
                    <w:keepNext w:val="0"/>
                    <w:keepLines w:val="0"/>
                    <w:suppressLineNumbers w:val="0"/>
                    <w:spacing w:before="0" w:beforeAutospacing="0" w:after="0" w:afterAutospacing="0"/>
                    <w:ind w:left="0" w:right="0"/>
                    <w:rPr>
                      <w:rFonts w:hint="eastAsia" w:eastAsia="宋体" w:cs="Times New Roman"/>
                      <w:color w:val="auto"/>
                      <w:spacing w:val="2"/>
                      <w:kern w:val="0"/>
                      <w:sz w:val="21"/>
                      <w:szCs w:val="21"/>
                      <w:lang w:val="en-US" w:eastAsia="zh-CN" w:bidi="ar-SA"/>
                    </w:rPr>
                  </w:pPr>
                  <w:r>
                    <w:rPr>
                      <w:rFonts w:hint="eastAsia" w:cs="Times New Roman"/>
                      <w:color w:val="auto"/>
                      <w:szCs w:val="21"/>
                      <w:lang w:val="en-US" w:eastAsia="zh-CN"/>
                    </w:rPr>
                    <w:t>3</w:t>
                  </w:r>
                </w:p>
              </w:tc>
              <w:tc>
                <w:tcPr>
                  <w:tcW w:w="572" w:type="pct"/>
                  <w:noWrap w:val="0"/>
                  <w:vAlign w:val="center"/>
                </w:tcPr>
                <w:p w14:paraId="07C7CFB6">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highlight w:val="none"/>
                      <w:lang w:val="en-US" w:eastAsia="zh-CN" w:bidi="ar-SA"/>
                    </w:rPr>
                  </w:pPr>
                  <w:r>
                    <w:rPr>
                      <w:rFonts w:hint="default" w:cs="Times New Roman"/>
                      <w:color w:val="auto"/>
                      <w:szCs w:val="21"/>
                      <w:highlight w:val="none"/>
                    </w:rPr>
                    <w:t>废</w:t>
                  </w:r>
                  <w:r>
                    <w:rPr>
                      <w:rFonts w:hint="eastAsia" w:cs="Times New Roman"/>
                      <w:color w:val="auto"/>
                      <w:szCs w:val="21"/>
                      <w:highlight w:val="none"/>
                    </w:rPr>
                    <w:t>油</w:t>
                  </w:r>
                  <w:r>
                    <w:rPr>
                      <w:rFonts w:hint="default" w:cs="Times New Roman"/>
                      <w:color w:val="auto"/>
                      <w:szCs w:val="21"/>
                      <w:highlight w:val="none"/>
                    </w:rPr>
                    <w:t>桶</w:t>
                  </w:r>
                </w:p>
              </w:tc>
              <w:tc>
                <w:tcPr>
                  <w:tcW w:w="399" w:type="pct"/>
                  <w:noWrap w:val="0"/>
                  <w:vAlign w:val="center"/>
                </w:tcPr>
                <w:p w14:paraId="7980B0AB">
                  <w:pPr>
                    <w:pStyle w:val="112"/>
                    <w:keepNext w:val="0"/>
                    <w:keepLines w:val="0"/>
                    <w:suppressLineNumbers w:val="0"/>
                    <w:spacing w:before="0" w:beforeAutospacing="0" w:after="0" w:afterAutospacing="0"/>
                    <w:ind w:left="0" w:right="0"/>
                    <w:rPr>
                      <w:rFonts w:hint="default" w:cs="Times New Roman"/>
                      <w:color w:val="auto"/>
                      <w:kern w:val="0"/>
                      <w:sz w:val="21"/>
                      <w:szCs w:val="21"/>
                      <w:highlight w:val="none"/>
                      <w:lang w:val="en-US" w:eastAsia="zh-CN" w:bidi="ar-SA"/>
                    </w:rPr>
                  </w:pPr>
                  <w:r>
                    <w:rPr>
                      <w:rFonts w:hint="default" w:cs="Times New Roman"/>
                      <w:color w:val="auto"/>
                      <w:szCs w:val="21"/>
                      <w:highlight w:val="none"/>
                    </w:rPr>
                    <w:t>HW08</w:t>
                  </w:r>
                </w:p>
              </w:tc>
              <w:tc>
                <w:tcPr>
                  <w:tcW w:w="582" w:type="pct"/>
                  <w:noWrap w:val="0"/>
                  <w:vAlign w:val="center"/>
                </w:tcPr>
                <w:p w14:paraId="7A6180A0">
                  <w:pPr>
                    <w:keepNext w:val="0"/>
                    <w:keepLines w:val="0"/>
                    <w:suppressLineNumbers w:val="0"/>
                    <w:autoSpaceDE w:val="0"/>
                    <w:autoSpaceDN w:val="0"/>
                    <w:adjustRightInd w:val="0"/>
                    <w:spacing w:before="0" w:beforeAutospacing="0" w:after="0" w:afterAutospacing="0"/>
                    <w:ind w:left="0" w:right="0"/>
                    <w:jc w:val="center"/>
                    <w:rPr>
                      <w:rFonts w:hint="default" w:cs="Times New Roman"/>
                      <w:color w:val="auto"/>
                      <w:kern w:val="0"/>
                      <w:sz w:val="21"/>
                      <w:szCs w:val="21"/>
                      <w:highlight w:val="none"/>
                      <w:lang w:val="en-US" w:eastAsia="zh-CN" w:bidi="ar-SA"/>
                    </w:rPr>
                  </w:pPr>
                  <w:r>
                    <w:rPr>
                      <w:rFonts w:hint="default" w:cs="Times New Roman"/>
                      <w:color w:val="auto"/>
                      <w:szCs w:val="21"/>
                      <w:highlight w:val="none"/>
                    </w:rPr>
                    <w:t>900-249-08</w:t>
                  </w:r>
                </w:p>
              </w:tc>
              <w:tc>
                <w:tcPr>
                  <w:tcW w:w="467" w:type="pct"/>
                  <w:noWrap w:val="0"/>
                  <w:vAlign w:val="center"/>
                </w:tcPr>
                <w:p w14:paraId="1C787708">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highlight w:val="none"/>
                      <w:lang w:val="en-US" w:eastAsia="zh-CN" w:bidi="ar-SA"/>
                    </w:rPr>
                  </w:pPr>
                  <w:r>
                    <w:rPr>
                      <w:rFonts w:hint="eastAsia" w:cs="Times New Roman"/>
                      <w:color w:val="auto"/>
                      <w:highlight w:val="none"/>
                      <w:lang w:val="en-US" w:eastAsia="zh-CN"/>
                    </w:rPr>
                    <w:t>20个/</w:t>
                  </w:r>
                  <w:r>
                    <w:rPr>
                      <w:rFonts w:hint="eastAsia" w:cs="Times New Roman"/>
                      <w:color w:val="auto"/>
                      <w:highlight w:val="none"/>
                    </w:rPr>
                    <w:t>a</w:t>
                  </w:r>
                </w:p>
              </w:tc>
              <w:tc>
                <w:tcPr>
                  <w:tcW w:w="502" w:type="pct"/>
                  <w:noWrap w:val="0"/>
                  <w:vAlign w:val="center"/>
                </w:tcPr>
                <w:p w14:paraId="64389139">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设备</w:t>
                  </w:r>
                </w:p>
              </w:tc>
              <w:tc>
                <w:tcPr>
                  <w:tcW w:w="291" w:type="pct"/>
                  <w:noWrap w:val="0"/>
                  <w:vAlign w:val="center"/>
                </w:tcPr>
                <w:p w14:paraId="573FC899">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固体</w:t>
                  </w:r>
                </w:p>
              </w:tc>
              <w:tc>
                <w:tcPr>
                  <w:tcW w:w="412" w:type="pct"/>
                  <w:noWrap w:val="0"/>
                  <w:vAlign w:val="center"/>
                </w:tcPr>
                <w:p w14:paraId="7386CC51">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油类</w:t>
                  </w:r>
                </w:p>
              </w:tc>
              <w:tc>
                <w:tcPr>
                  <w:tcW w:w="366" w:type="pct"/>
                  <w:noWrap w:val="0"/>
                  <w:vAlign w:val="center"/>
                </w:tcPr>
                <w:p w14:paraId="385F33D1">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油类</w:t>
                  </w:r>
                </w:p>
              </w:tc>
              <w:tc>
                <w:tcPr>
                  <w:tcW w:w="314" w:type="pct"/>
                  <w:noWrap w:val="0"/>
                  <w:vAlign w:val="center"/>
                </w:tcPr>
                <w:p w14:paraId="2E85EDA0">
                  <w:pPr>
                    <w:keepNext w:val="0"/>
                    <w:keepLines w:val="0"/>
                    <w:suppressLineNumbers w:val="0"/>
                    <w:spacing w:before="0" w:beforeAutospacing="0" w:after="0" w:afterAutospacing="0"/>
                    <w:ind w:left="0" w:right="0"/>
                    <w:jc w:val="center"/>
                    <w:rPr>
                      <w:rFonts w:hint="default" w:cs="Times New Roman"/>
                      <w:color w:val="auto"/>
                      <w:kern w:val="0"/>
                      <w:sz w:val="21"/>
                      <w:szCs w:val="21"/>
                      <w:lang w:val="en-US" w:eastAsia="zh-CN" w:bidi="ar-SA"/>
                    </w:rPr>
                  </w:pPr>
                  <w:r>
                    <w:rPr>
                      <w:rFonts w:hint="default" w:cs="Times New Roman"/>
                      <w:color w:val="auto"/>
                      <w:szCs w:val="21"/>
                    </w:rPr>
                    <w:t>1年</w:t>
                  </w:r>
                </w:p>
              </w:tc>
              <w:tc>
                <w:tcPr>
                  <w:tcW w:w="342" w:type="pct"/>
                  <w:noWrap w:val="0"/>
                  <w:vAlign w:val="center"/>
                </w:tcPr>
                <w:p w14:paraId="676FFC0F">
                  <w:pPr>
                    <w:pStyle w:val="112"/>
                    <w:keepNext w:val="0"/>
                    <w:keepLines w:val="0"/>
                    <w:suppressLineNumbers w:val="0"/>
                    <w:spacing w:before="0" w:beforeAutospacing="0" w:after="0" w:afterAutospacing="0"/>
                    <w:ind w:left="0" w:right="0"/>
                    <w:rPr>
                      <w:rFonts w:hint="default" w:cs="Times New Roman"/>
                      <w:color w:val="auto"/>
                      <w:spacing w:val="2"/>
                      <w:kern w:val="0"/>
                      <w:sz w:val="21"/>
                      <w:szCs w:val="21"/>
                      <w:lang w:val="en-US" w:eastAsia="zh-CN" w:bidi="ar-SA"/>
                    </w:rPr>
                  </w:pPr>
                  <w:r>
                    <w:rPr>
                      <w:rFonts w:hint="default" w:cs="Times New Roman"/>
                      <w:color w:val="auto"/>
                      <w:szCs w:val="21"/>
                    </w:rPr>
                    <w:t>T/In</w:t>
                  </w:r>
                </w:p>
              </w:tc>
              <w:tc>
                <w:tcPr>
                  <w:tcW w:w="497" w:type="pct"/>
                  <w:vMerge w:val="continue"/>
                  <w:noWrap w:val="0"/>
                  <w:vAlign w:val="center"/>
                </w:tcPr>
                <w:p w14:paraId="0073F439">
                  <w:pPr>
                    <w:keepNext w:val="0"/>
                    <w:keepLines w:val="0"/>
                    <w:suppressLineNumbers w:val="0"/>
                    <w:topLinePunct/>
                    <w:adjustRightInd w:val="0"/>
                    <w:snapToGrid w:val="0"/>
                    <w:spacing w:before="0" w:beforeAutospacing="0" w:after="0" w:afterAutospacing="0"/>
                    <w:ind w:left="0" w:right="0"/>
                    <w:jc w:val="center"/>
                    <w:rPr>
                      <w:rFonts w:hint="default" w:cs="Times New Roman"/>
                      <w:color w:val="auto"/>
                      <w:kern w:val="0"/>
                      <w:szCs w:val="21"/>
                    </w:rPr>
                  </w:pPr>
                </w:p>
              </w:tc>
            </w:tr>
            <w:tr w14:paraId="7D3B21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 w:type="pct"/>
                  <w:noWrap w:val="0"/>
                  <w:vAlign w:val="center"/>
                </w:tcPr>
                <w:p w14:paraId="33D9F663">
                  <w:pPr>
                    <w:pStyle w:val="112"/>
                    <w:keepNext w:val="0"/>
                    <w:keepLines w:val="0"/>
                    <w:suppressLineNumbers w:val="0"/>
                    <w:spacing w:before="0" w:beforeAutospacing="0" w:after="0" w:afterAutospacing="0"/>
                    <w:ind w:left="0" w:right="0"/>
                    <w:rPr>
                      <w:rFonts w:hint="default" w:cs="Times New Roman"/>
                      <w:color w:val="auto"/>
                      <w:spacing w:val="2"/>
                      <w:kern w:val="2"/>
                      <w:sz w:val="21"/>
                      <w:szCs w:val="21"/>
                      <w:lang w:val="en-US" w:eastAsia="zh-CN" w:bidi="ar-SA"/>
                    </w:rPr>
                  </w:pPr>
                  <w:r>
                    <w:rPr>
                      <w:rFonts w:hint="eastAsia" w:cs="Times New Roman"/>
                      <w:color w:val="auto"/>
                      <w:spacing w:val="2"/>
                      <w:kern w:val="2"/>
                      <w:sz w:val="21"/>
                      <w:szCs w:val="21"/>
                      <w:lang w:val="en-US" w:eastAsia="zh-CN" w:bidi="ar-SA"/>
                    </w:rPr>
                    <w:t>4</w:t>
                  </w:r>
                </w:p>
              </w:tc>
              <w:tc>
                <w:tcPr>
                  <w:tcW w:w="572" w:type="pct"/>
                  <w:noWrap w:val="0"/>
                  <w:vAlign w:val="center"/>
                </w:tcPr>
                <w:p w14:paraId="08A7AE10">
                  <w:pPr>
                    <w:pStyle w:val="112"/>
                    <w:keepNext w:val="0"/>
                    <w:keepLines w:val="0"/>
                    <w:suppressLineNumbers w:val="0"/>
                    <w:spacing w:before="0" w:beforeAutospacing="0" w:after="0" w:afterAutospacing="0"/>
                    <w:ind w:left="0" w:right="0"/>
                    <w:rPr>
                      <w:rFonts w:hint="eastAsia" w:eastAsia="宋体" w:cs="Times New Roman"/>
                      <w:color w:val="auto"/>
                      <w:spacing w:val="2"/>
                      <w:kern w:val="2"/>
                      <w:sz w:val="21"/>
                      <w:szCs w:val="21"/>
                      <w:lang w:val="en-US" w:eastAsia="zh-CN" w:bidi="ar-SA"/>
                    </w:rPr>
                  </w:pPr>
                  <w:r>
                    <w:rPr>
                      <w:rFonts w:hint="eastAsia" w:cs="Times New Roman"/>
                      <w:color w:val="auto"/>
                      <w:szCs w:val="21"/>
                      <w:lang w:eastAsia="zh-CN"/>
                    </w:rPr>
                    <w:t>含油抹布</w:t>
                  </w:r>
                </w:p>
              </w:tc>
              <w:tc>
                <w:tcPr>
                  <w:tcW w:w="399" w:type="pct"/>
                  <w:noWrap w:val="0"/>
                  <w:vAlign w:val="center"/>
                </w:tcPr>
                <w:p w14:paraId="0D35F229">
                  <w:pPr>
                    <w:keepNext w:val="0"/>
                    <w:keepLines w:val="0"/>
                    <w:suppressLineNumbers w:val="0"/>
                    <w:autoSpaceDE w:val="0"/>
                    <w:autoSpaceDN w:val="0"/>
                    <w:adjustRightInd w:val="0"/>
                    <w:spacing w:before="0" w:beforeAutospacing="0" w:after="0" w:afterAutospacing="0"/>
                    <w:ind w:left="0" w:right="0"/>
                    <w:jc w:val="center"/>
                    <w:rPr>
                      <w:rFonts w:hint="default" w:cs="Times New Roman"/>
                      <w:color w:val="auto"/>
                      <w:kern w:val="0"/>
                      <w:sz w:val="21"/>
                      <w:szCs w:val="21"/>
                      <w:lang w:val="en-US" w:eastAsia="zh-CN" w:bidi="ar-SA"/>
                    </w:rPr>
                  </w:pPr>
                  <w:r>
                    <w:rPr>
                      <w:rFonts w:hint="default" w:cs="Times New Roman"/>
                      <w:color w:val="auto"/>
                      <w:kern w:val="0"/>
                      <w:szCs w:val="21"/>
                    </w:rPr>
                    <w:t>HW49</w:t>
                  </w:r>
                </w:p>
              </w:tc>
              <w:tc>
                <w:tcPr>
                  <w:tcW w:w="582" w:type="pct"/>
                  <w:noWrap w:val="0"/>
                  <w:vAlign w:val="center"/>
                </w:tcPr>
                <w:p w14:paraId="24F4D6E3">
                  <w:pPr>
                    <w:keepNext w:val="0"/>
                    <w:keepLines w:val="0"/>
                    <w:suppressLineNumbers w:val="0"/>
                    <w:autoSpaceDE w:val="0"/>
                    <w:autoSpaceDN w:val="0"/>
                    <w:adjustRightInd w:val="0"/>
                    <w:spacing w:before="0" w:beforeAutospacing="0" w:after="0" w:afterAutospacing="0"/>
                    <w:ind w:left="0" w:right="0"/>
                    <w:jc w:val="center"/>
                    <w:rPr>
                      <w:rFonts w:hint="default" w:cs="Times New Roman"/>
                      <w:color w:val="auto"/>
                      <w:kern w:val="0"/>
                      <w:sz w:val="21"/>
                      <w:szCs w:val="21"/>
                      <w:lang w:val="en-US" w:eastAsia="zh-CN" w:bidi="ar-SA"/>
                    </w:rPr>
                  </w:pPr>
                  <w:r>
                    <w:rPr>
                      <w:rFonts w:hint="default" w:cs="Times New Roman"/>
                      <w:color w:val="auto"/>
                      <w:kern w:val="0"/>
                      <w:szCs w:val="21"/>
                    </w:rPr>
                    <w:t>900-041-49</w:t>
                  </w:r>
                </w:p>
              </w:tc>
              <w:tc>
                <w:tcPr>
                  <w:tcW w:w="467" w:type="pct"/>
                  <w:noWrap w:val="0"/>
                  <w:vAlign w:val="center"/>
                </w:tcPr>
                <w:p w14:paraId="015A69EC">
                  <w:pPr>
                    <w:pStyle w:val="112"/>
                    <w:keepNext w:val="0"/>
                    <w:keepLines w:val="0"/>
                    <w:suppressLineNumbers w:val="0"/>
                    <w:spacing w:before="0" w:beforeAutospacing="0" w:after="0" w:afterAutospacing="0"/>
                    <w:ind w:left="0" w:right="0"/>
                    <w:rPr>
                      <w:rFonts w:hint="eastAsia" w:cs="Times New Roman"/>
                      <w:color w:val="auto"/>
                      <w:spacing w:val="2"/>
                      <w:kern w:val="2"/>
                      <w:sz w:val="21"/>
                      <w:szCs w:val="20"/>
                      <w:lang w:val="en-US" w:eastAsia="zh-CN" w:bidi="ar-SA"/>
                    </w:rPr>
                  </w:pPr>
                  <w:r>
                    <w:rPr>
                      <w:rFonts w:hint="eastAsia" w:cs="Times New Roman"/>
                      <w:color w:val="auto"/>
                      <w:lang w:val="en-US" w:eastAsia="zh-CN"/>
                    </w:rPr>
                    <w:t>20kg/</w:t>
                  </w:r>
                  <w:r>
                    <w:rPr>
                      <w:rFonts w:hint="eastAsia" w:cs="Times New Roman"/>
                      <w:color w:val="auto"/>
                    </w:rPr>
                    <w:t>a</w:t>
                  </w:r>
                </w:p>
              </w:tc>
              <w:tc>
                <w:tcPr>
                  <w:tcW w:w="502" w:type="pct"/>
                  <w:noWrap w:val="0"/>
                  <w:vAlign w:val="center"/>
                </w:tcPr>
                <w:p w14:paraId="0225A758">
                  <w:pPr>
                    <w:pStyle w:val="112"/>
                    <w:keepNext w:val="0"/>
                    <w:keepLines w:val="0"/>
                    <w:suppressLineNumbers w:val="0"/>
                    <w:spacing w:before="0" w:beforeAutospacing="0" w:after="0" w:afterAutospacing="0"/>
                    <w:ind w:left="0" w:right="0"/>
                    <w:rPr>
                      <w:rFonts w:hint="eastAsia" w:cs="Times New Roman"/>
                      <w:color w:val="auto"/>
                      <w:spacing w:val="2"/>
                      <w:kern w:val="0"/>
                      <w:sz w:val="21"/>
                      <w:szCs w:val="21"/>
                      <w:lang w:val="en-US" w:eastAsia="zh-CN" w:bidi="ar-SA"/>
                    </w:rPr>
                  </w:pPr>
                  <w:r>
                    <w:rPr>
                      <w:rFonts w:hint="default" w:cs="Times New Roman"/>
                      <w:color w:val="auto"/>
                      <w:szCs w:val="21"/>
                    </w:rPr>
                    <w:t>设备</w:t>
                  </w:r>
                </w:p>
              </w:tc>
              <w:tc>
                <w:tcPr>
                  <w:tcW w:w="291" w:type="pct"/>
                  <w:noWrap w:val="0"/>
                  <w:vAlign w:val="center"/>
                </w:tcPr>
                <w:p w14:paraId="093C916B">
                  <w:pPr>
                    <w:pStyle w:val="112"/>
                    <w:keepNext w:val="0"/>
                    <w:keepLines w:val="0"/>
                    <w:suppressLineNumbers w:val="0"/>
                    <w:spacing w:before="0" w:beforeAutospacing="0" w:after="0" w:afterAutospacing="0"/>
                    <w:ind w:left="0" w:right="0"/>
                    <w:rPr>
                      <w:rFonts w:hint="default" w:cs="Times New Roman"/>
                      <w:color w:val="auto"/>
                      <w:spacing w:val="2"/>
                      <w:kern w:val="2"/>
                      <w:sz w:val="21"/>
                      <w:szCs w:val="21"/>
                      <w:lang w:val="en-US" w:eastAsia="zh-CN" w:bidi="ar-SA"/>
                    </w:rPr>
                  </w:pPr>
                  <w:r>
                    <w:rPr>
                      <w:rFonts w:hint="default" w:cs="Times New Roman"/>
                      <w:color w:val="auto"/>
                      <w:szCs w:val="21"/>
                    </w:rPr>
                    <w:t>固体</w:t>
                  </w:r>
                </w:p>
              </w:tc>
              <w:tc>
                <w:tcPr>
                  <w:tcW w:w="412" w:type="pct"/>
                  <w:noWrap w:val="0"/>
                  <w:vAlign w:val="center"/>
                </w:tcPr>
                <w:p w14:paraId="496172E0">
                  <w:pPr>
                    <w:pStyle w:val="112"/>
                    <w:keepNext w:val="0"/>
                    <w:keepLines w:val="0"/>
                    <w:suppressLineNumbers w:val="0"/>
                    <w:spacing w:before="0" w:beforeAutospacing="0" w:after="0" w:afterAutospacing="0"/>
                    <w:ind w:left="0" w:right="0"/>
                    <w:rPr>
                      <w:rFonts w:hint="default" w:cs="Times New Roman"/>
                      <w:color w:val="auto"/>
                      <w:spacing w:val="2"/>
                      <w:kern w:val="2"/>
                      <w:sz w:val="21"/>
                      <w:szCs w:val="21"/>
                      <w:lang w:val="en-US" w:eastAsia="zh-CN" w:bidi="ar-SA"/>
                    </w:rPr>
                  </w:pPr>
                  <w:r>
                    <w:rPr>
                      <w:rFonts w:hint="default" w:cs="Times New Roman"/>
                      <w:color w:val="auto"/>
                      <w:szCs w:val="21"/>
                    </w:rPr>
                    <w:t>油类</w:t>
                  </w:r>
                </w:p>
              </w:tc>
              <w:tc>
                <w:tcPr>
                  <w:tcW w:w="366" w:type="pct"/>
                  <w:noWrap w:val="0"/>
                  <w:vAlign w:val="center"/>
                </w:tcPr>
                <w:p w14:paraId="058D5B3D">
                  <w:pPr>
                    <w:pStyle w:val="112"/>
                    <w:keepNext w:val="0"/>
                    <w:keepLines w:val="0"/>
                    <w:suppressLineNumbers w:val="0"/>
                    <w:spacing w:before="0" w:beforeAutospacing="0" w:after="0" w:afterAutospacing="0"/>
                    <w:ind w:left="0" w:right="0"/>
                    <w:rPr>
                      <w:rFonts w:hint="default" w:cs="Times New Roman"/>
                      <w:color w:val="auto"/>
                      <w:spacing w:val="2"/>
                      <w:kern w:val="2"/>
                      <w:sz w:val="21"/>
                      <w:szCs w:val="21"/>
                      <w:lang w:val="en-US" w:eastAsia="zh-CN" w:bidi="ar-SA"/>
                    </w:rPr>
                  </w:pPr>
                  <w:r>
                    <w:rPr>
                      <w:rFonts w:hint="default" w:cs="Times New Roman"/>
                      <w:color w:val="auto"/>
                      <w:szCs w:val="21"/>
                    </w:rPr>
                    <w:t>油类</w:t>
                  </w:r>
                </w:p>
              </w:tc>
              <w:tc>
                <w:tcPr>
                  <w:tcW w:w="314" w:type="pct"/>
                  <w:noWrap w:val="0"/>
                  <w:vAlign w:val="center"/>
                </w:tcPr>
                <w:p w14:paraId="19B76CD0">
                  <w:pPr>
                    <w:keepNext w:val="0"/>
                    <w:keepLines w:val="0"/>
                    <w:suppressLineNumbers w:val="0"/>
                    <w:spacing w:before="0" w:beforeAutospacing="0" w:after="0" w:afterAutospacing="0"/>
                    <w:ind w:left="0" w:right="0"/>
                    <w:jc w:val="center"/>
                    <w:rPr>
                      <w:rFonts w:hint="eastAsia" w:cs="Times New Roman"/>
                      <w:color w:val="auto"/>
                      <w:kern w:val="2"/>
                      <w:sz w:val="21"/>
                      <w:szCs w:val="21"/>
                      <w:lang w:val="en-US" w:eastAsia="zh-CN" w:bidi="ar-SA"/>
                    </w:rPr>
                  </w:pPr>
                  <w:r>
                    <w:rPr>
                      <w:rFonts w:hint="default" w:cs="Times New Roman"/>
                      <w:color w:val="auto"/>
                      <w:szCs w:val="21"/>
                    </w:rPr>
                    <w:t>1年</w:t>
                  </w:r>
                </w:p>
              </w:tc>
              <w:tc>
                <w:tcPr>
                  <w:tcW w:w="342" w:type="pct"/>
                  <w:noWrap w:val="0"/>
                  <w:vAlign w:val="center"/>
                </w:tcPr>
                <w:p w14:paraId="00D41677">
                  <w:pPr>
                    <w:pStyle w:val="112"/>
                    <w:keepNext w:val="0"/>
                    <w:keepLines w:val="0"/>
                    <w:suppressLineNumbers w:val="0"/>
                    <w:spacing w:before="0" w:beforeAutospacing="0" w:after="0" w:afterAutospacing="0"/>
                    <w:ind w:left="0" w:right="0"/>
                    <w:rPr>
                      <w:rFonts w:hint="default" w:cs="Times New Roman"/>
                      <w:color w:val="auto"/>
                      <w:spacing w:val="2"/>
                      <w:kern w:val="2"/>
                      <w:sz w:val="21"/>
                      <w:szCs w:val="21"/>
                      <w:lang w:val="en-US" w:eastAsia="zh-CN" w:bidi="ar-SA"/>
                    </w:rPr>
                  </w:pPr>
                  <w:r>
                    <w:rPr>
                      <w:rFonts w:hint="default" w:cs="Times New Roman"/>
                      <w:color w:val="auto"/>
                      <w:szCs w:val="21"/>
                    </w:rPr>
                    <w:t>T/In</w:t>
                  </w:r>
                </w:p>
              </w:tc>
              <w:tc>
                <w:tcPr>
                  <w:tcW w:w="497" w:type="pct"/>
                  <w:vMerge w:val="continue"/>
                  <w:noWrap w:val="0"/>
                  <w:vAlign w:val="center"/>
                </w:tcPr>
                <w:p w14:paraId="5CA3CE3C">
                  <w:pPr>
                    <w:keepNext w:val="0"/>
                    <w:keepLines w:val="0"/>
                    <w:suppressLineNumbers w:val="0"/>
                    <w:topLinePunct/>
                    <w:adjustRightInd w:val="0"/>
                    <w:snapToGrid w:val="0"/>
                    <w:spacing w:before="0" w:beforeAutospacing="0" w:after="0" w:afterAutospacing="0"/>
                    <w:ind w:left="0" w:right="0"/>
                    <w:jc w:val="center"/>
                    <w:rPr>
                      <w:rFonts w:hint="default" w:cs="Times New Roman"/>
                      <w:color w:val="auto"/>
                      <w:kern w:val="0"/>
                      <w:szCs w:val="21"/>
                    </w:rPr>
                  </w:pPr>
                </w:p>
              </w:tc>
            </w:tr>
          </w:tbl>
          <w:p w14:paraId="005B7896">
            <w:pPr>
              <w:pStyle w:val="89"/>
              <w:keepNext w:val="0"/>
              <w:keepLines w:val="0"/>
              <w:numPr>
                <w:ilvl w:val="0"/>
                <w:numId w:val="14"/>
              </w:numPr>
              <w:suppressLineNumbers w:val="0"/>
              <w:spacing w:before="0" w:beforeAutospacing="0" w:after="0" w:afterAutospacing="0"/>
              <w:ind w:left="0" w:right="0" w:firstLine="480"/>
              <w:rPr>
                <w:rFonts w:hint="eastAsia" w:cs="Times New Roman"/>
                <w:color w:val="auto"/>
              </w:rPr>
            </w:pPr>
            <w:r>
              <w:rPr>
                <w:rFonts w:hint="eastAsia" w:cs="Times New Roman"/>
                <w:color w:val="auto"/>
              </w:rPr>
              <w:t>固体废物</w:t>
            </w:r>
            <w:r>
              <w:rPr>
                <w:rFonts w:hint="default" w:cs="Times New Roman"/>
                <w:color w:val="auto"/>
              </w:rPr>
              <w:t>污染防治措施</w:t>
            </w:r>
          </w:p>
          <w:p w14:paraId="3250D69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b w:val="0"/>
                <w:bCs/>
                <w:color w:val="auto"/>
                <w:kern w:val="2"/>
                <w:sz w:val="24"/>
                <w:szCs w:val="24"/>
                <w:vertAlign w:val="baseline"/>
                <w:lang w:val="en-US" w:eastAsia="zh-CN" w:bidi="ar-SA"/>
              </w:rPr>
            </w:pPr>
            <w:r>
              <w:rPr>
                <w:rFonts w:hint="eastAsia" w:ascii="Times New Roman" w:hAnsi="Times New Roman" w:eastAsia="宋体" w:cs="Times New Roman"/>
                <w:b w:val="0"/>
                <w:bCs/>
                <w:color w:val="auto"/>
                <w:kern w:val="2"/>
                <w:sz w:val="24"/>
                <w:szCs w:val="24"/>
                <w:lang w:val="en-US" w:eastAsia="zh-CN" w:bidi="ar-SA"/>
              </w:rPr>
              <w:t>顾北煤矿工业场地内现有危险废物暂存间4间，其中一间专门用于储存废油类物质，面积约100m</w:t>
            </w:r>
            <w:r>
              <w:rPr>
                <w:rFonts w:hint="eastAsia" w:ascii="Times New Roman" w:hAnsi="Times New Roman" w:eastAsia="宋体" w:cs="Times New Roman"/>
                <w:b w:val="0"/>
                <w:bCs/>
                <w:color w:val="auto"/>
                <w:kern w:val="2"/>
                <w:sz w:val="24"/>
                <w:szCs w:val="24"/>
                <w:vertAlign w:val="superscript"/>
                <w:lang w:val="en-US" w:eastAsia="zh-CN" w:bidi="ar-SA"/>
              </w:rPr>
              <w:t>2</w:t>
            </w:r>
            <w:r>
              <w:rPr>
                <w:rFonts w:hint="eastAsia" w:ascii="Times New Roman" w:hAnsi="Times New Roman" w:eastAsia="宋体" w:cs="Times New Roman"/>
                <w:b w:val="0"/>
                <w:bCs/>
                <w:color w:val="auto"/>
                <w:kern w:val="2"/>
                <w:sz w:val="24"/>
                <w:szCs w:val="24"/>
                <w:lang w:val="en-US" w:eastAsia="zh-CN" w:bidi="ar-SA"/>
              </w:rPr>
              <w:t>，危险废物暂存间内采取硬化防渗措施并设置了导流沟及收集池，张贴危险废物标识标牌，分区储存危险废物。本项目危废产生量较少，现有危险废物暂存间可以满足项目危废暂存。</w:t>
            </w:r>
          </w:p>
          <w:p w14:paraId="22165F31">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bCs/>
                <w:color w:val="auto"/>
                <w:sz w:val="24"/>
              </w:rPr>
              <w:t>本项目</w:t>
            </w:r>
            <w:r>
              <w:rPr>
                <w:rFonts w:hint="eastAsia" w:cs="Times New Roman"/>
                <w:color w:val="auto"/>
                <w:sz w:val="24"/>
              </w:rPr>
              <w:t>危险废物收集、贮存和运输应满足《危险废物收集</w:t>
            </w:r>
            <w:r>
              <w:rPr>
                <w:rFonts w:hint="eastAsia" w:cs="Times New Roman"/>
                <w:color w:val="auto"/>
                <w:sz w:val="24"/>
                <w:lang w:val="en-US" w:eastAsia="zh-CN"/>
              </w:rPr>
              <w:t xml:space="preserve"> </w:t>
            </w:r>
            <w:r>
              <w:rPr>
                <w:rFonts w:hint="eastAsia" w:cs="Times New Roman"/>
                <w:color w:val="auto"/>
                <w:sz w:val="24"/>
              </w:rPr>
              <w:t>贮存</w:t>
            </w:r>
            <w:r>
              <w:rPr>
                <w:rFonts w:hint="eastAsia" w:cs="Times New Roman"/>
                <w:color w:val="auto"/>
                <w:sz w:val="24"/>
                <w:lang w:val="en-US" w:eastAsia="zh-CN"/>
              </w:rPr>
              <w:t xml:space="preserve"> </w:t>
            </w:r>
            <w:r>
              <w:rPr>
                <w:rFonts w:hint="eastAsia" w:cs="Times New Roman"/>
                <w:color w:val="auto"/>
                <w:sz w:val="24"/>
              </w:rPr>
              <w:t>运输技术规范》（HJ2025-2012）相关要求，措施如下：</w:t>
            </w:r>
          </w:p>
          <w:p w14:paraId="6F64391A">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1）收集</w:t>
            </w:r>
          </w:p>
          <w:p w14:paraId="141B0A6A">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①采用专用容器进行收集，严格按照相关规定在产生源收集，并保证收集所用的包装桶完好无损，无腐蚀、损毁或其他导致其使用能效减弱的缺陷，设置警示标识，并及时安全转运或处理处置。</w:t>
            </w:r>
          </w:p>
          <w:p w14:paraId="62D3AD47">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②场内应设置应急接收装置和相应防渗（漏）措施，若发生泄漏，应及时收集，并清理现场。</w:t>
            </w:r>
          </w:p>
          <w:p w14:paraId="5B68DC6A">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③禁止将一般固废、生活垃圾等混入危险废物收集设施内。</w:t>
            </w:r>
          </w:p>
          <w:p w14:paraId="14CAC5DA">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2）暂存</w:t>
            </w:r>
          </w:p>
          <w:p w14:paraId="65E21769">
            <w:pPr>
              <w:pStyle w:val="17"/>
              <w:keepNext w:val="0"/>
              <w:keepLines w:val="0"/>
              <w:suppressLineNumbers w:val="0"/>
              <w:adjustRightInd w:val="0"/>
              <w:snapToGrid w:val="0"/>
              <w:spacing w:before="0" w:beforeAutospacing="0" w:after="0" w:afterAutospacing="0" w:line="360" w:lineRule="auto"/>
              <w:ind w:left="0" w:leftChars="0" w:right="0"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危废暂存间的设置满足《危险废物收集 贮存 运输技术规范》（HJ2025-2012）和《危险废物贮存污染控制标准》（GB18597-2023）中的环保要求。</w:t>
            </w:r>
          </w:p>
          <w:p w14:paraId="221D4042">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①危废暂存间选址、设计、标识、运行、安全防护和关闭等措施应按照《危险废物贮存</w:t>
            </w:r>
            <w:r>
              <w:rPr>
                <w:rFonts w:hint="eastAsia" w:cs="Times New Roman"/>
                <w:color w:val="auto"/>
                <w:sz w:val="24"/>
                <w:szCs w:val="24"/>
                <w:lang w:val="en-US" w:eastAsia="zh-CN"/>
              </w:rPr>
              <w:t>染控</w:t>
            </w:r>
            <w:r>
              <w:rPr>
                <w:rFonts w:hint="eastAsia" w:cs="Times New Roman"/>
                <w:color w:val="auto"/>
                <w:sz w:val="24"/>
              </w:rPr>
              <w:t>控制标准》的相关要求进行，贮存设施应根据危险废物的形态、物理化学性质、包装形式和污染物迁移途径，采取必要的防风、防晒、防雨、防漏、防渗、防腐以及其他环境污染防治措施，不应露天堆放危险废物。</w:t>
            </w:r>
          </w:p>
          <w:p w14:paraId="381F1F2D">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②贮存设施应根据危险废物的类别、数量、形态、物理化学性质和污染防治等要求设置必要的贮存分区，避免不相容的危险废物接触、混合。贮存库内不同贮存分区之间应采取隔离措施。隔离措施可根据危险废物特性采用过道、隔板或隔墙等方式。</w:t>
            </w:r>
          </w:p>
          <w:p w14:paraId="06E4BBBB">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③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 1 m 厚黏土层（渗透系数不大于 10</w:t>
            </w:r>
            <w:r>
              <w:rPr>
                <w:rFonts w:hint="eastAsia" w:cs="Times New Roman"/>
                <w:color w:val="auto"/>
                <w:sz w:val="24"/>
                <w:vertAlign w:val="superscript"/>
              </w:rPr>
              <w:t>-7</w:t>
            </w:r>
            <w:r>
              <w:rPr>
                <w:rFonts w:hint="eastAsia" w:cs="Times New Roman"/>
                <w:color w:val="auto"/>
                <w:sz w:val="24"/>
              </w:rPr>
              <w:t xml:space="preserve"> cm/s），或至少2 mm 厚高密度聚乙烯膜等人工防渗材料（渗透系数不大于 10</w:t>
            </w:r>
            <w:r>
              <w:rPr>
                <w:rFonts w:hint="eastAsia" w:cs="Times New Roman"/>
                <w:color w:val="auto"/>
                <w:sz w:val="24"/>
                <w:vertAlign w:val="superscript"/>
              </w:rPr>
              <w:t xml:space="preserve">-10 </w:t>
            </w:r>
            <w:r>
              <w:rPr>
                <w:rFonts w:hint="eastAsia" w:cs="Times New Roman"/>
                <w:color w:val="auto"/>
                <w:sz w:val="24"/>
              </w:rPr>
              <w:t>cm/s），或其他防渗性能等效的材料。</w:t>
            </w:r>
          </w:p>
          <w:p w14:paraId="13BDA9AE">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cs="Times New Roman"/>
                <w:color w:val="auto"/>
                <w:sz w:val="24"/>
              </w:rPr>
              <w:t>④在贮存库内或通过贮存分区方式贮存液态危险废物的，应具有液体泄漏堵截设施，堵截设施最小容积不应低于对应贮存区域最大液态废物容器容积或液态废物总储量 1/10（二者取较大者）；用于贮存可能产生渗滤液的危险废物的贮存库或贮存分区应设计渗滤液收集设施，收集设施容积应满足渗滤液的收集要求。</w:t>
            </w:r>
          </w:p>
          <w:p w14:paraId="1D259693">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ascii="宋体" w:hAnsi="宋体" w:cs="宋体"/>
                <w:color w:val="auto"/>
                <w:sz w:val="24"/>
              </w:rPr>
              <w:t>⑤</w:t>
            </w:r>
            <w:r>
              <w:rPr>
                <w:rFonts w:hint="eastAsia" w:cs="Times New Roman"/>
                <w:color w:val="auto"/>
                <w:sz w:val="24"/>
              </w:rPr>
              <w:t>液态危险废物应装入容器内贮存，或直接采用贮存池、贮存罐区贮存。使用容器盛装液态、半固态危险废物时，容器内部应留有适当的空间，以适应因温度变化等可能引发的收缩和膨胀，防止其导致容器渗漏或永久变形。容器和包装物材质、内衬应与盛装的危险废物相容。</w:t>
            </w:r>
          </w:p>
          <w:p w14:paraId="4CABFC1E">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ascii="宋体" w:hAnsi="宋体" w:cs="宋体"/>
                <w:color w:val="auto"/>
                <w:sz w:val="24"/>
              </w:rPr>
              <w:t>⑥</w:t>
            </w:r>
            <w:r>
              <w:rPr>
                <w:rFonts w:hint="eastAsia" w:cs="Times New Roman"/>
                <w:color w:val="auto"/>
                <w:sz w:val="24"/>
              </w:rPr>
              <w:t>危险废物贮存设施必须按照HJ1276-2022的规定设置警示标志。</w:t>
            </w:r>
          </w:p>
          <w:p w14:paraId="4F8B2461">
            <w:pPr>
              <w:keepNext w:val="0"/>
              <w:keepLines w:val="0"/>
              <w:widowControl/>
              <w:suppressLineNumbers w:val="0"/>
              <w:spacing w:before="0" w:beforeAutospacing="0" w:after="0" w:afterAutospacing="0" w:line="360" w:lineRule="auto"/>
              <w:ind w:left="0" w:right="0" w:firstLine="480" w:firstLineChars="200"/>
              <w:jc w:val="left"/>
              <w:rPr>
                <w:rFonts w:hint="eastAsia" w:cs="Times New Roman"/>
                <w:color w:val="auto"/>
                <w:sz w:val="24"/>
              </w:rPr>
            </w:pPr>
            <w:r>
              <w:rPr>
                <w:rFonts w:hint="eastAsia" w:ascii="宋体" w:hAnsi="宋体" w:cs="宋体"/>
                <w:color w:val="auto"/>
                <w:sz w:val="24"/>
              </w:rPr>
              <w:t>⑦</w:t>
            </w:r>
            <w:r>
              <w:rPr>
                <w:rFonts w:hint="eastAsia" w:cs="Times New Roman"/>
                <w:color w:val="auto"/>
                <w:sz w:val="24"/>
              </w:rPr>
              <w:t>危废暂存间内的危险废物需做到及时外运妥善处置，确保场内有足够接纳能力，避免场内危险废物暂存容量超过负荷导致收贮不合理，造成危废泄漏。</w:t>
            </w:r>
          </w:p>
          <w:p w14:paraId="6B356BD8">
            <w:pPr>
              <w:pStyle w:val="102"/>
              <w:keepNext w:val="0"/>
              <w:keepLines w:val="0"/>
              <w:suppressLineNumbers w:val="0"/>
              <w:spacing w:before="0" w:beforeAutospacing="0" w:after="0" w:afterAutospacing="0"/>
              <w:ind w:left="0" w:right="0" w:firstLine="480"/>
              <w:rPr>
                <w:rFonts w:hint="default" w:cs="Times New Roman"/>
                <w:b w:val="0"/>
                <w:bCs w:val="0"/>
                <w:color w:val="auto"/>
                <w:kern w:val="2"/>
                <w:szCs w:val="24"/>
                <w:lang w:val="en-US" w:eastAsia="zh-CN"/>
              </w:rPr>
            </w:pPr>
            <w:r>
              <w:rPr>
                <w:rFonts w:hint="eastAsia" w:cs="Times New Roman"/>
                <w:b w:val="0"/>
                <w:bCs w:val="0"/>
                <w:color w:val="auto"/>
                <w:kern w:val="2"/>
                <w:szCs w:val="24"/>
                <w:lang w:val="en-US" w:eastAsia="zh-CN"/>
              </w:rPr>
              <w:t>综上所述，本项目</w:t>
            </w:r>
            <w:r>
              <w:rPr>
                <w:rFonts w:hint="default" w:cs="Times New Roman"/>
                <w:b w:val="0"/>
                <w:bCs w:val="0"/>
                <w:color w:val="auto"/>
                <w:kern w:val="2"/>
                <w:szCs w:val="24"/>
                <w:lang w:val="en-US" w:eastAsia="zh-CN"/>
              </w:rPr>
              <w:t>固体废物进行了</w:t>
            </w:r>
            <w:r>
              <w:rPr>
                <w:rFonts w:hint="eastAsia" w:cs="Times New Roman"/>
                <w:b w:val="0"/>
                <w:bCs w:val="0"/>
                <w:color w:val="auto"/>
                <w:kern w:val="2"/>
                <w:szCs w:val="24"/>
                <w:lang w:val="en-US" w:eastAsia="zh-CN"/>
              </w:rPr>
              <w:t>合理的处理和处置，项目</w:t>
            </w:r>
            <w:r>
              <w:rPr>
                <w:rFonts w:hint="default" w:cs="Times New Roman"/>
                <w:b w:val="0"/>
                <w:bCs w:val="0"/>
                <w:color w:val="auto"/>
                <w:kern w:val="2"/>
                <w:szCs w:val="24"/>
                <w:lang w:val="en-US" w:eastAsia="zh-CN"/>
              </w:rPr>
              <w:t>固体废物对区域环境影响较小。</w:t>
            </w:r>
          </w:p>
          <w:p w14:paraId="43321A6D">
            <w:pPr>
              <w:keepNext w:val="0"/>
              <w:keepLines w:val="0"/>
              <w:suppressLineNumbers w:val="0"/>
              <w:spacing w:before="0" w:beforeAutospacing="0" w:after="0" w:afterAutospacing="0" w:line="360" w:lineRule="auto"/>
              <w:ind w:left="0" w:right="0" w:firstLine="482" w:firstLineChars="200"/>
              <w:rPr>
                <w:rFonts w:hint="default" w:cs="Times New Roman"/>
                <w:b/>
                <w:bCs/>
                <w:color w:val="auto"/>
                <w:sz w:val="24"/>
                <w:highlight w:val="none"/>
              </w:rPr>
            </w:pPr>
            <w:r>
              <w:rPr>
                <w:rFonts w:hint="eastAsia" w:cs="Times New Roman"/>
                <w:b/>
                <w:bCs/>
                <w:color w:val="auto"/>
                <w:sz w:val="24"/>
                <w:highlight w:val="none"/>
              </w:rPr>
              <w:t>五、土壤地下水环境影响和保护措施</w:t>
            </w:r>
          </w:p>
          <w:p w14:paraId="47A1FEA2">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w:t>
            </w:r>
            <w:r>
              <w:rPr>
                <w:rFonts w:hint="eastAsia" w:ascii="Times New Roman" w:hAnsi="Times New Roman" w:eastAsia="宋体" w:cs="Times New Roman"/>
                <w:color w:val="auto"/>
                <w:sz w:val="24"/>
                <w:lang w:eastAsia="zh-CN"/>
              </w:rPr>
              <w:t>项目</w:t>
            </w:r>
            <w:r>
              <w:rPr>
                <w:rFonts w:hint="eastAsia" w:ascii="Times New Roman" w:hAnsi="Times New Roman" w:eastAsia="宋体" w:cs="Times New Roman"/>
                <w:color w:val="auto"/>
                <w:sz w:val="24"/>
              </w:rPr>
              <w:t>所处区域的地质情况，本项目可能对</w:t>
            </w:r>
            <w:r>
              <w:rPr>
                <w:rFonts w:hint="eastAsia" w:ascii="Times New Roman" w:hAnsi="Times New Roman" w:eastAsia="宋体" w:cs="Times New Roman"/>
                <w:color w:val="auto"/>
                <w:sz w:val="24"/>
                <w:lang w:val="en-US" w:eastAsia="zh-CN"/>
              </w:rPr>
              <w:t>土壤</w:t>
            </w:r>
            <w:r>
              <w:rPr>
                <w:rFonts w:hint="eastAsia" w:ascii="Times New Roman" w:hAnsi="Times New Roman" w:eastAsia="宋体" w:cs="Times New Roman"/>
                <w:color w:val="auto"/>
                <w:sz w:val="24"/>
              </w:rPr>
              <w:t>地下水造成污染的区域主要为</w:t>
            </w:r>
            <w:r>
              <w:rPr>
                <w:rFonts w:hint="eastAsia" w:ascii="Times New Roman" w:hAnsi="Times New Roman" w:eastAsia="宋体" w:cs="Times New Roman"/>
                <w:color w:val="auto"/>
                <w:sz w:val="24"/>
                <w:lang w:val="en-US" w:eastAsia="zh-CN"/>
              </w:rPr>
              <w:t>循环水池防渗效果下降或者污水</w:t>
            </w:r>
            <w:r>
              <w:rPr>
                <w:rFonts w:hint="eastAsia" w:ascii="Times New Roman" w:hAnsi="Times New Roman" w:eastAsia="宋体" w:cs="Times New Roman"/>
                <w:color w:val="auto"/>
                <w:sz w:val="24"/>
              </w:rPr>
              <w:t>管路</w:t>
            </w:r>
            <w:r>
              <w:rPr>
                <w:rFonts w:hint="eastAsia" w:ascii="Times New Roman" w:hAnsi="Times New Roman" w:eastAsia="宋体" w:cs="Times New Roman"/>
                <w:color w:val="auto"/>
                <w:sz w:val="24"/>
                <w:lang w:val="en-US" w:eastAsia="zh-CN"/>
              </w:rPr>
              <w:t>破损</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主要影响途径为垂直入渗。建设单位在建设时循环水池和污水</w:t>
            </w:r>
            <w:r>
              <w:rPr>
                <w:rFonts w:hint="eastAsia" w:ascii="Times New Roman" w:hAnsi="Times New Roman" w:eastAsia="宋体" w:cs="Times New Roman"/>
                <w:color w:val="auto"/>
                <w:sz w:val="24"/>
              </w:rPr>
              <w:t>管路</w:t>
            </w:r>
            <w:r>
              <w:rPr>
                <w:rFonts w:hint="eastAsia" w:ascii="Times New Roman" w:hAnsi="Times New Roman" w:eastAsia="宋体" w:cs="Times New Roman"/>
                <w:color w:val="auto"/>
                <w:sz w:val="24"/>
                <w:lang w:val="en-US" w:eastAsia="zh-CN"/>
              </w:rPr>
              <w:t>已采取防渗措施，防范跑冒滴漏现象，项目废水不会通过垂直下渗途径对周围土壤地下水环境产生污染影响。建设单位在运营过程中还应做好以下防范措施：</w:t>
            </w:r>
          </w:p>
          <w:p w14:paraId="70A32AC7">
            <w:pPr>
              <w:keepNext w:val="0"/>
              <w:keepLines w:val="0"/>
              <w:widowControl/>
              <w:suppressLineNumbers w:val="0"/>
              <w:spacing w:before="0" w:beforeAutospacing="0" w:after="0" w:afterAutospacing="0" w:line="360" w:lineRule="auto"/>
              <w:ind w:left="0" w:right="0" w:firstLine="480" w:firstLineChars="200"/>
              <w:rPr>
                <w:rFonts w:hint="eastAsia" w:cs="Times New Roman"/>
                <w:color w:val="auto"/>
                <w:kern w:val="0"/>
                <w:sz w:val="24"/>
              </w:rPr>
            </w:pPr>
            <w:r>
              <w:rPr>
                <w:rFonts w:hint="eastAsia" w:cs="Times New Roman"/>
                <w:color w:val="auto"/>
                <w:kern w:val="0"/>
                <w:sz w:val="24"/>
              </w:rPr>
              <w:t>严格废水的管理，强调节约用水，定期检查排水管线、泵阀等关键部位，避免跑冒滴漏，做到污染物泄漏“早发现、早处理”。</w:t>
            </w:r>
            <w:r>
              <w:rPr>
                <w:rFonts w:hint="eastAsia" w:cs="Times New Roman"/>
                <w:color w:val="auto"/>
                <w:kern w:val="0"/>
                <w:sz w:val="24"/>
                <w:lang w:eastAsia="zh-CN"/>
              </w:rPr>
              <w:t>经落实以上措施后</w:t>
            </w:r>
            <w:r>
              <w:rPr>
                <w:rFonts w:hint="eastAsia" w:cs="Times New Roman"/>
                <w:color w:val="auto"/>
                <w:kern w:val="0"/>
                <w:sz w:val="24"/>
              </w:rPr>
              <w:t>，本项目不会对周围地下水、土壤产生不利影响。</w:t>
            </w:r>
          </w:p>
          <w:p w14:paraId="7A3A81E7">
            <w:pPr>
              <w:pStyle w:val="19"/>
              <w:keepNext w:val="0"/>
              <w:keepLines w:val="0"/>
              <w:suppressLineNumbers w:val="0"/>
              <w:spacing w:before="0" w:beforeAutospacing="0" w:after="0" w:afterAutospacing="0" w:line="360" w:lineRule="auto"/>
              <w:ind w:left="0" w:right="0" w:firstLine="482" w:firstLineChars="200"/>
              <w:jc w:val="both"/>
              <w:rPr>
                <w:rFonts w:hint="default" w:cs="Times New Roman"/>
                <w:b/>
                <w:bCs/>
                <w:color w:val="auto"/>
                <w:sz w:val="24"/>
                <w:lang w:val="en-US" w:eastAsia="zh-CN"/>
              </w:rPr>
            </w:pPr>
            <w:r>
              <w:rPr>
                <w:rFonts w:hint="eastAsia" w:cs="Times New Roman"/>
                <w:b/>
                <w:bCs/>
                <w:color w:val="auto"/>
                <w:sz w:val="24"/>
                <w:lang w:val="en-US" w:eastAsia="zh-CN"/>
              </w:rPr>
              <w:t>七、</w:t>
            </w:r>
            <w:r>
              <w:rPr>
                <w:rFonts w:hint="default" w:cs="Times New Roman"/>
                <w:b/>
                <w:bCs/>
                <w:color w:val="auto"/>
                <w:sz w:val="24"/>
                <w:lang w:val="en-US" w:eastAsia="zh-CN"/>
              </w:rPr>
              <w:t>环境风险分析</w:t>
            </w:r>
          </w:p>
          <w:p w14:paraId="150E5694">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highlight w:val="none"/>
              </w:rPr>
            </w:pPr>
            <w:r>
              <w:rPr>
                <w:rFonts w:hint="eastAsia" w:cs="Times New Roman"/>
                <w:color w:val="auto"/>
                <w:sz w:val="24"/>
                <w:highlight w:val="none"/>
              </w:rPr>
              <w:t>根据《建设项目环境风险评价技术导则》</w:t>
            </w:r>
            <w:r>
              <w:rPr>
                <w:rFonts w:hint="eastAsia" w:hAnsi="宋体" w:cs="Times New Roman"/>
                <w:color w:val="auto"/>
                <w:kern w:val="0"/>
                <w:sz w:val="24"/>
                <w:highlight w:val="none"/>
              </w:rPr>
              <w:t>（</w:t>
            </w:r>
            <w:r>
              <w:rPr>
                <w:rFonts w:hint="default" w:cs="Times New Roman"/>
                <w:color w:val="auto"/>
                <w:kern w:val="0"/>
                <w:sz w:val="24"/>
                <w:highlight w:val="none"/>
              </w:rPr>
              <w:t>HJ169-2018</w:t>
            </w:r>
            <w:r>
              <w:rPr>
                <w:rFonts w:hint="eastAsia" w:hAnsi="宋体" w:cs="Times New Roman"/>
                <w:color w:val="auto"/>
                <w:kern w:val="0"/>
                <w:sz w:val="24"/>
                <w:highlight w:val="none"/>
              </w:rPr>
              <w:t>）</w:t>
            </w:r>
            <w:r>
              <w:rPr>
                <w:rFonts w:hint="eastAsia" w:cs="Times New Roman"/>
                <w:color w:val="auto"/>
                <w:sz w:val="24"/>
                <w:highlight w:val="none"/>
              </w:rPr>
              <w:t>，本标准适用于涉及有毒有害和易燃易爆危险物质生产、使用、储存（包括使用管线输运）的建设项目可能发生的突发性事故（不包括人为破坏及自然灾害引发的事故）的环境风险评价。</w:t>
            </w:r>
          </w:p>
          <w:p w14:paraId="41EA4F7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本项目</w:t>
            </w:r>
            <w:r>
              <w:rPr>
                <w:rFonts w:hint="eastAsia" w:ascii="Times New Roman" w:hAnsi="Times New Roman" w:eastAsia="宋体" w:cs="Times New Roman"/>
                <w:color w:val="auto"/>
                <w:sz w:val="24"/>
                <w:highlight w:val="none"/>
                <w:lang w:eastAsia="zh-CN"/>
              </w:rPr>
              <w:t>抽采的瓦斯属于低浓度瓦斯，甲烷含量为</w:t>
            </w:r>
            <w:r>
              <w:rPr>
                <w:rFonts w:hint="eastAsia" w:ascii="Times New Roman" w:hAnsi="Times New Roman" w:eastAsia="宋体" w:cs="Times New Roman"/>
                <w:color w:val="auto"/>
                <w:sz w:val="24"/>
                <w:highlight w:val="none"/>
                <w:lang w:val="en-US" w:eastAsia="zh-CN"/>
              </w:rPr>
              <w:t>10%左右</w:t>
            </w:r>
            <w:r>
              <w:rPr>
                <w:rFonts w:hint="eastAsia" w:ascii="Times New Roman" w:hAnsi="Times New Roman" w:eastAsia="宋体" w:cs="Times New Roman"/>
                <w:color w:val="auto"/>
                <w:sz w:val="24"/>
                <w:highlight w:val="none"/>
                <w:lang w:eastAsia="zh-CN"/>
              </w:rPr>
              <w:t>，甲烷</w:t>
            </w:r>
            <w:r>
              <w:rPr>
                <w:rFonts w:hint="eastAsia" w:ascii="Times New Roman" w:hAnsi="Times New Roman" w:eastAsia="宋体" w:cs="Times New Roman"/>
                <w:color w:val="auto"/>
                <w:sz w:val="24"/>
                <w:highlight w:val="none"/>
                <w:lang w:val="en-US" w:eastAsia="zh-CN"/>
              </w:rPr>
              <w:t>是</w:t>
            </w:r>
            <w:r>
              <w:rPr>
                <w:rFonts w:hint="eastAsia" w:ascii="Times New Roman" w:hAnsi="Times New Roman" w:eastAsia="宋体" w:cs="Times New Roman"/>
                <w:color w:val="auto"/>
                <w:sz w:val="24"/>
                <w:highlight w:val="none"/>
              </w:rPr>
              <w:t>一种无毒、可燃的气体，属易燃、易爆物质，空气中的浓度在5%~15%之间时，一旦遇到火源或高温，就会发生爆炸</w:t>
            </w:r>
            <w:r>
              <w:rPr>
                <w:rFonts w:hint="default" w:ascii="Times New Roman" w:hAnsi="Times New Roman" w:eastAsia="宋体" w:cs="Times New Roman"/>
                <w:color w:val="auto"/>
                <w:sz w:val="24"/>
                <w:highlight w:val="none"/>
              </w:rPr>
              <w:t>。</w:t>
            </w:r>
          </w:p>
          <w:p w14:paraId="1711BE6B">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rPr>
            </w:pPr>
            <w:r>
              <w:rPr>
                <w:rFonts w:hint="eastAsia" w:cs="Times New Roman"/>
                <w:color w:val="auto"/>
                <w:sz w:val="24"/>
              </w:rPr>
              <w:t>1、环境风险潜势判断</w:t>
            </w:r>
          </w:p>
          <w:p w14:paraId="56D58A54">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rPr>
            </w:pPr>
            <w:r>
              <w:rPr>
                <w:rFonts w:hint="default" w:cs="Times New Roman"/>
                <w:color w:val="auto"/>
                <w:sz w:val="24"/>
              </w:rPr>
              <w:t>根据《建设项目环境风险评价技术导则》（HJ169-20</w:t>
            </w:r>
            <w:r>
              <w:rPr>
                <w:rFonts w:hint="eastAsia" w:cs="Times New Roman"/>
                <w:color w:val="auto"/>
                <w:sz w:val="24"/>
              </w:rPr>
              <w:t>18</w:t>
            </w:r>
            <w:r>
              <w:rPr>
                <w:rFonts w:hint="default" w:cs="Times New Roman"/>
                <w:color w:val="auto"/>
                <w:sz w:val="24"/>
              </w:rPr>
              <w:t>）中的相关要求，</w:t>
            </w:r>
            <w:r>
              <w:rPr>
                <w:rFonts w:hint="eastAsia" w:cs="Times New Roman"/>
                <w:color w:val="auto"/>
                <w:sz w:val="24"/>
              </w:rPr>
              <w:t>计算所涉及的每种危险物质在厂界内的最大存在总量与其在附录B中对应临界量的比值Q。</w:t>
            </w:r>
          </w:p>
          <w:p w14:paraId="1060D981">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rPr>
            </w:pPr>
            <w:r>
              <w:rPr>
                <w:rFonts w:hint="eastAsia" w:cs="Times New Roman"/>
                <w:color w:val="auto"/>
                <w:sz w:val="24"/>
              </w:rPr>
              <w:t>当只涉及一种危险物质时，计算该物质的总量与其临界量比值，即为Q；</w:t>
            </w:r>
          </w:p>
          <w:p w14:paraId="2DF3C096">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rPr>
            </w:pPr>
            <w:r>
              <w:rPr>
                <w:rFonts w:hint="eastAsia" w:cs="Times New Roman"/>
                <w:color w:val="auto"/>
                <w:sz w:val="24"/>
              </w:rPr>
              <w:t>当存在多种危险物质时，则按下式计算物质总量与其临界量比值（Q）；</w:t>
            </w:r>
          </w:p>
          <w:p w14:paraId="0ED5E129">
            <w:pPr>
              <w:keepNext w:val="0"/>
              <w:keepLines w:val="0"/>
              <w:suppressLineNumbers w:val="0"/>
              <w:spacing w:before="0" w:beforeAutospacing="0" w:after="0" w:afterAutospacing="0" w:line="360" w:lineRule="auto"/>
              <w:ind w:left="0" w:right="0" w:firstLine="480" w:firstLineChars="200"/>
              <w:jc w:val="center"/>
              <w:rPr>
                <w:rFonts w:hint="default" w:cs="Times New Roman"/>
                <w:color w:val="auto"/>
                <w:sz w:val="24"/>
                <w:szCs w:val="32"/>
              </w:rPr>
            </w:pPr>
            <w:r>
              <w:rPr>
                <w:rFonts w:hint="eastAsia" w:cs="Times New Roman"/>
                <w:color w:val="auto"/>
                <w:sz w:val="24"/>
                <w:szCs w:val="32"/>
              </w:rPr>
              <w:t>Q=</w:t>
            </w:r>
            <w:r>
              <w:rPr>
                <w:rFonts w:hint="default" w:cs="Times New Roman"/>
                <w:color w:val="auto"/>
                <w:sz w:val="24"/>
                <w:szCs w:val="32"/>
              </w:rPr>
              <w:t>q</w:t>
            </w:r>
            <w:r>
              <w:rPr>
                <w:rFonts w:hint="default" w:cs="Times New Roman"/>
                <w:color w:val="auto"/>
                <w:sz w:val="24"/>
                <w:szCs w:val="32"/>
                <w:vertAlign w:val="subscript"/>
              </w:rPr>
              <w:t>1</w:t>
            </w:r>
            <w:r>
              <w:rPr>
                <w:rFonts w:hint="default" w:cs="Times New Roman"/>
                <w:color w:val="auto"/>
                <w:sz w:val="24"/>
                <w:szCs w:val="32"/>
              </w:rPr>
              <w:t>/Q</w:t>
            </w:r>
            <w:r>
              <w:rPr>
                <w:rFonts w:hint="default" w:cs="Times New Roman"/>
                <w:color w:val="auto"/>
                <w:sz w:val="24"/>
                <w:szCs w:val="32"/>
                <w:vertAlign w:val="subscript"/>
              </w:rPr>
              <w:t>1</w:t>
            </w:r>
            <w:r>
              <w:rPr>
                <w:rFonts w:hint="default" w:cs="Times New Roman"/>
                <w:color w:val="auto"/>
                <w:sz w:val="24"/>
                <w:szCs w:val="32"/>
              </w:rPr>
              <w:t>+ q</w:t>
            </w:r>
            <w:r>
              <w:rPr>
                <w:rFonts w:hint="default" w:cs="Times New Roman"/>
                <w:color w:val="auto"/>
                <w:sz w:val="24"/>
                <w:szCs w:val="32"/>
                <w:vertAlign w:val="subscript"/>
              </w:rPr>
              <w:t>2</w:t>
            </w:r>
            <w:r>
              <w:rPr>
                <w:rFonts w:hint="default" w:cs="Times New Roman"/>
                <w:color w:val="auto"/>
                <w:sz w:val="24"/>
                <w:szCs w:val="32"/>
              </w:rPr>
              <w:t>/Q</w:t>
            </w:r>
            <w:r>
              <w:rPr>
                <w:rFonts w:hint="default" w:cs="Times New Roman"/>
                <w:color w:val="auto"/>
                <w:sz w:val="24"/>
                <w:szCs w:val="32"/>
                <w:vertAlign w:val="subscript"/>
              </w:rPr>
              <w:t>2</w:t>
            </w:r>
            <w:r>
              <w:rPr>
                <w:rFonts w:hint="default" w:cs="Times New Roman"/>
                <w:color w:val="auto"/>
                <w:sz w:val="24"/>
                <w:szCs w:val="32"/>
              </w:rPr>
              <w:t>……+ q</w:t>
            </w:r>
            <w:r>
              <w:rPr>
                <w:rFonts w:hint="default" w:cs="Times New Roman"/>
                <w:color w:val="auto"/>
                <w:sz w:val="24"/>
                <w:szCs w:val="32"/>
                <w:vertAlign w:val="subscript"/>
              </w:rPr>
              <w:t>n</w:t>
            </w:r>
            <w:r>
              <w:rPr>
                <w:rFonts w:hint="default" w:cs="Times New Roman"/>
                <w:color w:val="auto"/>
                <w:sz w:val="24"/>
                <w:szCs w:val="32"/>
              </w:rPr>
              <w:t>/Q</w:t>
            </w:r>
            <w:r>
              <w:rPr>
                <w:rFonts w:hint="default" w:cs="Times New Roman"/>
                <w:color w:val="auto"/>
                <w:sz w:val="24"/>
                <w:szCs w:val="32"/>
                <w:vertAlign w:val="subscript"/>
              </w:rPr>
              <w:t>n</w:t>
            </w:r>
          </w:p>
          <w:p w14:paraId="6AF24DC3">
            <w:pPr>
              <w:pStyle w:val="6"/>
              <w:keepNext w:val="0"/>
              <w:keepLines w:val="0"/>
              <w:suppressLineNumbers w:val="0"/>
              <w:spacing w:before="0" w:beforeAutospacing="0" w:after="0" w:afterAutospacing="0" w:line="360" w:lineRule="auto"/>
              <w:ind w:left="0" w:right="0" w:firstLine="480"/>
              <w:rPr>
                <w:rFonts w:hint="default" w:cs="Times New Roman"/>
                <w:color w:val="auto"/>
                <w:szCs w:val="24"/>
              </w:rPr>
            </w:pPr>
            <w:r>
              <w:rPr>
                <w:rFonts w:hint="default" w:hAnsi="宋体" w:cs="Times New Roman"/>
                <w:color w:val="auto"/>
                <w:szCs w:val="24"/>
              </w:rPr>
              <w:t>式中</w:t>
            </w:r>
            <w:r>
              <w:rPr>
                <w:rFonts w:hint="default" w:cs="Times New Roman"/>
                <w:color w:val="auto"/>
                <w:szCs w:val="24"/>
              </w:rPr>
              <w:t>q</w:t>
            </w:r>
            <w:r>
              <w:rPr>
                <w:rFonts w:hint="default" w:cs="Times New Roman"/>
                <w:color w:val="auto"/>
                <w:szCs w:val="24"/>
                <w:vertAlign w:val="subscript"/>
              </w:rPr>
              <w:t>1</w:t>
            </w:r>
            <w:r>
              <w:rPr>
                <w:rFonts w:hint="default" w:hAnsi="宋体" w:cs="Times New Roman"/>
                <w:color w:val="auto"/>
                <w:szCs w:val="24"/>
              </w:rPr>
              <w:t>，</w:t>
            </w:r>
            <w:r>
              <w:rPr>
                <w:rFonts w:hint="default" w:cs="Times New Roman"/>
                <w:color w:val="auto"/>
                <w:szCs w:val="24"/>
              </w:rPr>
              <w:t>q</w:t>
            </w:r>
            <w:r>
              <w:rPr>
                <w:rFonts w:hint="default" w:cs="Times New Roman"/>
                <w:color w:val="auto"/>
                <w:szCs w:val="24"/>
                <w:vertAlign w:val="subscript"/>
              </w:rPr>
              <w:t>2</w:t>
            </w:r>
            <w:r>
              <w:rPr>
                <w:rFonts w:hint="default" w:cs="Times New Roman"/>
                <w:color w:val="auto"/>
                <w:szCs w:val="24"/>
              </w:rPr>
              <w:t>…</w:t>
            </w:r>
            <w:r>
              <w:rPr>
                <w:rFonts w:hint="default" w:hAnsi="宋体" w:cs="Times New Roman"/>
                <w:color w:val="auto"/>
                <w:szCs w:val="24"/>
              </w:rPr>
              <w:t>，</w:t>
            </w:r>
            <w:r>
              <w:rPr>
                <w:rFonts w:hint="default" w:cs="Times New Roman"/>
                <w:color w:val="auto"/>
                <w:szCs w:val="24"/>
              </w:rPr>
              <w:t>q</w:t>
            </w:r>
            <w:r>
              <w:rPr>
                <w:rFonts w:hint="default" w:cs="Times New Roman"/>
                <w:color w:val="auto"/>
                <w:szCs w:val="24"/>
                <w:vertAlign w:val="subscript"/>
              </w:rPr>
              <w:t>n</w:t>
            </w:r>
            <w:r>
              <w:rPr>
                <w:rFonts w:hint="default" w:hAnsi="宋体" w:cs="Times New Roman"/>
                <w:color w:val="auto"/>
                <w:szCs w:val="24"/>
              </w:rPr>
              <w:t>为每种危险物质的最大存在总量，</w:t>
            </w:r>
            <w:r>
              <w:rPr>
                <w:rFonts w:hint="default" w:cs="Times New Roman"/>
                <w:color w:val="auto"/>
                <w:szCs w:val="24"/>
              </w:rPr>
              <w:t>t</w:t>
            </w:r>
            <w:r>
              <w:rPr>
                <w:rFonts w:hint="default" w:hAnsi="宋体" w:cs="Times New Roman"/>
                <w:color w:val="auto"/>
                <w:szCs w:val="24"/>
              </w:rPr>
              <w:t>。</w:t>
            </w:r>
          </w:p>
          <w:p w14:paraId="77482660">
            <w:pPr>
              <w:pStyle w:val="6"/>
              <w:keepNext w:val="0"/>
              <w:keepLines w:val="0"/>
              <w:suppressLineNumbers w:val="0"/>
              <w:spacing w:before="0" w:beforeAutospacing="0" w:after="0" w:afterAutospacing="0" w:line="360" w:lineRule="auto"/>
              <w:ind w:left="0" w:right="0" w:firstLine="480"/>
              <w:rPr>
                <w:rFonts w:hint="default" w:cs="Times New Roman"/>
                <w:color w:val="auto"/>
                <w:szCs w:val="24"/>
              </w:rPr>
            </w:pPr>
            <w:r>
              <w:rPr>
                <w:rFonts w:hint="default" w:cs="Times New Roman"/>
                <w:color w:val="auto"/>
                <w:szCs w:val="24"/>
              </w:rPr>
              <w:t>Q</w:t>
            </w:r>
            <w:r>
              <w:rPr>
                <w:rFonts w:hint="default" w:cs="Times New Roman"/>
                <w:color w:val="auto"/>
                <w:szCs w:val="24"/>
                <w:vertAlign w:val="subscript"/>
              </w:rPr>
              <w:t>1</w:t>
            </w:r>
            <w:r>
              <w:rPr>
                <w:rFonts w:hint="default" w:hAnsi="宋体" w:cs="Times New Roman"/>
                <w:color w:val="auto"/>
                <w:szCs w:val="24"/>
              </w:rPr>
              <w:t>，</w:t>
            </w:r>
            <w:r>
              <w:rPr>
                <w:rFonts w:hint="default" w:cs="Times New Roman"/>
                <w:color w:val="auto"/>
                <w:szCs w:val="24"/>
              </w:rPr>
              <w:t>Q</w:t>
            </w:r>
            <w:r>
              <w:rPr>
                <w:rFonts w:hint="default" w:cs="Times New Roman"/>
                <w:color w:val="auto"/>
                <w:szCs w:val="24"/>
                <w:vertAlign w:val="subscript"/>
              </w:rPr>
              <w:t>2</w:t>
            </w:r>
            <w:r>
              <w:rPr>
                <w:rFonts w:hint="default" w:cs="Times New Roman"/>
                <w:color w:val="auto"/>
                <w:szCs w:val="24"/>
              </w:rPr>
              <w:t>…Q</w:t>
            </w:r>
            <w:r>
              <w:rPr>
                <w:rFonts w:hint="default" w:cs="Times New Roman"/>
                <w:color w:val="auto"/>
                <w:szCs w:val="24"/>
                <w:vertAlign w:val="subscript"/>
              </w:rPr>
              <w:t>n</w:t>
            </w:r>
            <w:r>
              <w:rPr>
                <w:rFonts w:hint="default" w:hAnsi="宋体" w:cs="Times New Roman"/>
                <w:color w:val="auto"/>
                <w:szCs w:val="24"/>
              </w:rPr>
              <w:t>为每种危险物质的临界量，</w:t>
            </w:r>
            <w:r>
              <w:rPr>
                <w:rFonts w:hint="default" w:cs="Times New Roman"/>
                <w:color w:val="auto"/>
                <w:szCs w:val="24"/>
              </w:rPr>
              <w:t>t</w:t>
            </w:r>
            <w:r>
              <w:rPr>
                <w:rFonts w:hint="default" w:hAnsi="宋体" w:cs="Times New Roman"/>
                <w:color w:val="auto"/>
                <w:szCs w:val="24"/>
              </w:rPr>
              <w:t>。</w:t>
            </w:r>
          </w:p>
          <w:p w14:paraId="0AA0629F">
            <w:pPr>
              <w:pStyle w:val="6"/>
              <w:keepNext w:val="0"/>
              <w:keepLines w:val="0"/>
              <w:suppressLineNumbers w:val="0"/>
              <w:spacing w:before="0" w:beforeAutospacing="0" w:after="0" w:afterAutospacing="0" w:line="360" w:lineRule="auto"/>
              <w:ind w:left="0" w:right="0" w:firstLine="480"/>
              <w:rPr>
                <w:rFonts w:hint="default" w:cs="Times New Roman"/>
                <w:color w:val="auto"/>
                <w:szCs w:val="24"/>
              </w:rPr>
            </w:pPr>
            <w:r>
              <w:rPr>
                <w:rFonts w:hint="default" w:hAnsi="宋体" w:cs="Times New Roman"/>
                <w:color w:val="auto"/>
                <w:szCs w:val="24"/>
              </w:rPr>
              <w:t>当</w:t>
            </w:r>
            <w:r>
              <w:rPr>
                <w:rFonts w:hint="default" w:cs="Times New Roman"/>
                <w:color w:val="auto"/>
                <w:szCs w:val="24"/>
              </w:rPr>
              <w:t>Q</w:t>
            </w:r>
            <w:r>
              <w:rPr>
                <w:rFonts w:hint="default" w:hAnsi="宋体" w:cs="Times New Roman"/>
                <w:color w:val="auto"/>
                <w:szCs w:val="24"/>
              </w:rPr>
              <w:t>＜</w:t>
            </w:r>
            <w:r>
              <w:rPr>
                <w:rFonts w:hint="default" w:cs="Times New Roman"/>
                <w:color w:val="auto"/>
                <w:szCs w:val="24"/>
              </w:rPr>
              <w:t>1</w:t>
            </w:r>
            <w:r>
              <w:rPr>
                <w:rFonts w:hint="default" w:hAnsi="宋体" w:cs="Times New Roman"/>
                <w:color w:val="auto"/>
                <w:szCs w:val="24"/>
              </w:rPr>
              <w:t>时，该项目的环境风险潜势为</w:t>
            </w:r>
            <w:r>
              <w:rPr>
                <w:rFonts w:hint="default" w:ascii="宋体" w:hAnsi="宋体" w:cs="Times New Roman"/>
                <w:color w:val="auto"/>
                <w:szCs w:val="24"/>
              </w:rPr>
              <w:t>Ⅰ</w:t>
            </w:r>
            <w:r>
              <w:rPr>
                <w:rFonts w:hint="default" w:hAnsi="宋体" w:cs="Times New Roman"/>
                <w:color w:val="auto"/>
                <w:szCs w:val="24"/>
              </w:rPr>
              <w:t>。</w:t>
            </w:r>
          </w:p>
          <w:p w14:paraId="68BDABD7">
            <w:pPr>
              <w:pStyle w:val="6"/>
              <w:keepNext w:val="0"/>
              <w:keepLines w:val="0"/>
              <w:suppressLineNumbers w:val="0"/>
              <w:spacing w:before="0" w:beforeAutospacing="0" w:after="0" w:afterAutospacing="0" w:line="360" w:lineRule="auto"/>
              <w:ind w:left="0" w:right="0" w:firstLine="480"/>
              <w:rPr>
                <w:rFonts w:hint="default" w:hAnsi="宋体" w:cs="Times New Roman"/>
                <w:color w:val="auto"/>
                <w:szCs w:val="24"/>
              </w:rPr>
            </w:pPr>
            <w:r>
              <w:rPr>
                <w:rFonts w:hint="default" w:hAnsi="宋体" w:cs="Times New Roman"/>
                <w:color w:val="auto"/>
                <w:szCs w:val="24"/>
              </w:rPr>
              <w:t>当</w:t>
            </w:r>
            <w:r>
              <w:rPr>
                <w:rFonts w:hint="default" w:cs="Times New Roman"/>
                <w:color w:val="auto"/>
                <w:szCs w:val="24"/>
              </w:rPr>
              <w:t>Q≥1</w:t>
            </w:r>
            <w:r>
              <w:rPr>
                <w:rFonts w:hint="default" w:hAnsi="宋体" w:cs="Times New Roman"/>
                <w:color w:val="auto"/>
                <w:szCs w:val="24"/>
              </w:rPr>
              <w:t>时，将</w:t>
            </w:r>
            <w:r>
              <w:rPr>
                <w:rFonts w:hint="default" w:cs="Times New Roman"/>
                <w:color w:val="auto"/>
                <w:szCs w:val="24"/>
              </w:rPr>
              <w:t>Q</w:t>
            </w:r>
            <w:r>
              <w:rPr>
                <w:rFonts w:hint="default" w:hAnsi="宋体" w:cs="Times New Roman"/>
                <w:color w:val="auto"/>
                <w:szCs w:val="24"/>
              </w:rPr>
              <w:t>值划分为：（</w:t>
            </w:r>
            <w:r>
              <w:rPr>
                <w:rFonts w:hint="default" w:cs="Times New Roman"/>
                <w:color w:val="auto"/>
                <w:szCs w:val="24"/>
              </w:rPr>
              <w:t>1</w:t>
            </w:r>
            <w:r>
              <w:rPr>
                <w:rFonts w:hint="default" w:hAnsi="宋体" w:cs="Times New Roman"/>
                <w:color w:val="auto"/>
                <w:szCs w:val="24"/>
              </w:rPr>
              <w:t>）</w:t>
            </w:r>
            <w:r>
              <w:rPr>
                <w:rFonts w:hint="default" w:cs="Times New Roman"/>
                <w:color w:val="auto"/>
                <w:szCs w:val="24"/>
              </w:rPr>
              <w:t>1≤Q</w:t>
            </w:r>
            <w:r>
              <w:rPr>
                <w:rFonts w:hint="default" w:hAnsi="宋体" w:cs="Times New Roman"/>
                <w:color w:val="auto"/>
                <w:szCs w:val="24"/>
              </w:rPr>
              <w:t>＜</w:t>
            </w:r>
            <w:r>
              <w:rPr>
                <w:rFonts w:hint="default" w:cs="Times New Roman"/>
                <w:color w:val="auto"/>
                <w:szCs w:val="24"/>
              </w:rPr>
              <w:t>10</w:t>
            </w:r>
            <w:r>
              <w:rPr>
                <w:rFonts w:hint="default" w:hAnsi="宋体" w:cs="Times New Roman"/>
                <w:color w:val="auto"/>
                <w:szCs w:val="24"/>
              </w:rPr>
              <w:t>；（</w:t>
            </w:r>
            <w:r>
              <w:rPr>
                <w:rFonts w:hint="default" w:cs="Times New Roman"/>
                <w:color w:val="auto"/>
                <w:szCs w:val="24"/>
              </w:rPr>
              <w:t>2</w:t>
            </w:r>
            <w:r>
              <w:rPr>
                <w:rFonts w:hint="default" w:hAnsi="宋体" w:cs="Times New Roman"/>
                <w:color w:val="auto"/>
                <w:szCs w:val="24"/>
              </w:rPr>
              <w:t>）</w:t>
            </w:r>
            <w:r>
              <w:rPr>
                <w:rFonts w:hint="default" w:cs="Times New Roman"/>
                <w:color w:val="auto"/>
                <w:szCs w:val="24"/>
              </w:rPr>
              <w:t>10≤Q</w:t>
            </w:r>
            <w:r>
              <w:rPr>
                <w:rFonts w:hint="default" w:hAnsi="宋体" w:cs="Times New Roman"/>
                <w:color w:val="auto"/>
                <w:szCs w:val="24"/>
              </w:rPr>
              <w:t>＜</w:t>
            </w:r>
            <w:r>
              <w:rPr>
                <w:rFonts w:hint="default" w:cs="Times New Roman"/>
                <w:color w:val="auto"/>
                <w:szCs w:val="24"/>
              </w:rPr>
              <w:t>100</w:t>
            </w:r>
            <w:r>
              <w:rPr>
                <w:rFonts w:hint="default" w:hAnsi="宋体" w:cs="Times New Roman"/>
                <w:color w:val="auto"/>
                <w:szCs w:val="24"/>
              </w:rPr>
              <w:t>；（</w:t>
            </w:r>
            <w:r>
              <w:rPr>
                <w:rFonts w:hint="default" w:cs="Times New Roman"/>
                <w:color w:val="auto"/>
                <w:szCs w:val="24"/>
              </w:rPr>
              <w:t>3</w:t>
            </w:r>
            <w:r>
              <w:rPr>
                <w:rFonts w:hint="default" w:hAnsi="宋体" w:cs="Times New Roman"/>
                <w:color w:val="auto"/>
                <w:szCs w:val="24"/>
              </w:rPr>
              <w:t>）</w:t>
            </w:r>
            <w:r>
              <w:rPr>
                <w:rFonts w:hint="default" w:cs="Times New Roman"/>
                <w:color w:val="auto"/>
                <w:szCs w:val="24"/>
              </w:rPr>
              <w:t>Q≥100</w:t>
            </w:r>
            <w:r>
              <w:rPr>
                <w:rFonts w:hint="default" w:hAnsi="宋体" w:cs="Times New Roman"/>
                <w:color w:val="auto"/>
                <w:szCs w:val="24"/>
              </w:rPr>
              <w:t>。</w:t>
            </w:r>
          </w:p>
          <w:p w14:paraId="5B54C32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hAnsi="宋体" w:cs="Times New Roman"/>
                <w:color w:val="auto"/>
                <w:kern w:val="0"/>
                <w:sz w:val="24"/>
              </w:rPr>
            </w:pPr>
            <w:r>
              <w:rPr>
                <w:rFonts w:hint="eastAsia" w:cs="Times New Roman"/>
                <w:color w:val="auto"/>
                <w:kern w:val="0"/>
                <w:sz w:val="24"/>
                <w:highlight w:val="none"/>
                <w:lang w:val="en-US" w:eastAsia="zh-CN"/>
              </w:rPr>
              <w:t>顾北煤矿瓦斯抽采泵站内不设置</w:t>
            </w:r>
            <w:r>
              <w:rPr>
                <w:rFonts w:hint="eastAsia" w:ascii="Times New Roman" w:hAnsi="Times New Roman" w:eastAsia="宋体" w:cs="Times New Roman"/>
                <w:color w:val="auto"/>
                <w:sz w:val="24"/>
                <w:highlight w:val="none"/>
                <w:lang w:eastAsia="zh-CN"/>
              </w:rPr>
              <w:t>瓦斯</w:t>
            </w:r>
            <w:r>
              <w:rPr>
                <w:rFonts w:hint="eastAsia" w:cs="Times New Roman"/>
                <w:color w:val="auto"/>
                <w:kern w:val="0"/>
                <w:sz w:val="24"/>
                <w:highlight w:val="none"/>
                <w:lang w:val="en-US" w:eastAsia="zh-CN"/>
              </w:rPr>
              <w:t>储罐，仅抽采管道内有</w:t>
            </w:r>
            <w:r>
              <w:rPr>
                <w:rFonts w:hint="eastAsia" w:ascii="Times New Roman" w:hAnsi="Times New Roman" w:eastAsia="宋体" w:cs="Times New Roman"/>
                <w:color w:val="auto"/>
                <w:sz w:val="24"/>
                <w:highlight w:val="none"/>
                <w:lang w:eastAsia="zh-CN"/>
              </w:rPr>
              <w:t>瓦斯</w:t>
            </w:r>
            <w:r>
              <w:rPr>
                <w:rFonts w:hint="eastAsia" w:cs="Times New Roman"/>
                <w:color w:val="auto"/>
                <w:kern w:val="0"/>
                <w:sz w:val="24"/>
                <w:highlight w:val="none"/>
                <w:lang w:val="en-US" w:eastAsia="zh-CN"/>
              </w:rPr>
              <w:t>，地面</w:t>
            </w:r>
            <w:r>
              <w:rPr>
                <w:rFonts w:hint="eastAsia" w:ascii="Times New Roman" w:hAnsi="Times New Roman" w:eastAsia="宋体" w:cs="Times New Roman"/>
                <w:color w:val="auto"/>
                <w:sz w:val="24"/>
                <w:highlight w:val="none"/>
                <w:lang w:eastAsia="zh-CN"/>
              </w:rPr>
              <w:t>瓦斯</w:t>
            </w:r>
            <w:r>
              <w:rPr>
                <w:rFonts w:hint="eastAsia" w:cs="Times New Roman"/>
                <w:color w:val="auto"/>
                <w:kern w:val="0"/>
                <w:sz w:val="24"/>
                <w:highlight w:val="none"/>
                <w:lang w:val="en-US" w:eastAsia="zh-CN"/>
              </w:rPr>
              <w:t>抽采管道DN600、DN800，长度均为600米。</w:t>
            </w:r>
            <w:r>
              <w:rPr>
                <w:rFonts w:hint="default" w:ascii="Times New Roman" w:hAnsi="Times New Roman" w:cs="Times New Roman"/>
                <w:bCs/>
                <w:color w:val="auto"/>
                <w:sz w:val="24"/>
                <w:szCs w:val="24"/>
                <w:highlight w:val="none"/>
              </w:rPr>
              <w:t>甲烷浓度取15%，</w:t>
            </w:r>
            <w:r>
              <w:rPr>
                <w:rFonts w:hint="default" w:ascii="Times New Roman" w:hAnsi="Times New Roman" w:cs="Times New Roman"/>
                <w:bCs/>
                <w:color w:val="auto"/>
                <w:sz w:val="24"/>
                <w:szCs w:val="24"/>
                <w:highlight w:val="none"/>
                <w:lang w:eastAsia="zh-CN"/>
              </w:rPr>
              <w:t>因此本项目</w:t>
            </w:r>
            <w:r>
              <w:rPr>
                <w:rFonts w:hint="default" w:ascii="Times New Roman" w:hAnsi="Times New Roman" w:cs="Times New Roman"/>
                <w:bCs/>
                <w:color w:val="auto"/>
                <w:sz w:val="24"/>
                <w:szCs w:val="24"/>
                <w:highlight w:val="none"/>
              </w:rPr>
              <w:t>最大在线量为</w:t>
            </w:r>
            <w:r>
              <w:rPr>
                <w:rFonts w:hint="default" w:ascii="Times New Roman" w:hAnsi="Times New Roman" w:cs="Times New Roman"/>
                <w:color w:val="auto"/>
                <w:sz w:val="24"/>
                <w:szCs w:val="24"/>
                <w:highlight w:val="none"/>
              </w:rPr>
              <w:t>3.14×0.4</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600</w:t>
            </w:r>
            <w:r>
              <w:rPr>
                <w:rFonts w:hint="default" w:ascii="Times New Roman" w:hAnsi="Times New Roman" w:cs="Times New Roman"/>
                <w:color w:val="auto"/>
                <w:sz w:val="24"/>
                <w:szCs w:val="24"/>
                <w:highlight w:val="none"/>
              </w:rPr>
              <w:t>×15%×0.717</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3.14×0.</w:t>
            </w: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600</w:t>
            </w:r>
            <w:r>
              <w:rPr>
                <w:rFonts w:hint="default" w:ascii="Times New Roman" w:hAnsi="Times New Roman" w:cs="Times New Roman"/>
                <w:color w:val="auto"/>
                <w:sz w:val="24"/>
                <w:szCs w:val="24"/>
                <w:highlight w:val="none"/>
              </w:rPr>
              <w:t>×15%×0.717=</w:t>
            </w:r>
            <w:r>
              <w:rPr>
                <w:rFonts w:hint="eastAsia" w:ascii="Times New Roman" w:hAnsi="Times New Roman" w:cs="Times New Roman"/>
                <w:color w:val="auto"/>
                <w:sz w:val="24"/>
                <w:szCs w:val="24"/>
                <w:highlight w:val="none"/>
                <w:lang w:val="en-US" w:eastAsia="zh-CN"/>
              </w:rPr>
              <w:t>50.64</w:t>
            </w:r>
            <w:r>
              <w:rPr>
                <w:rFonts w:hint="default" w:ascii="Times New Roman" w:hAnsi="Times New Roman" w:cs="Times New Roman"/>
                <w:color w:val="auto"/>
                <w:sz w:val="24"/>
                <w:szCs w:val="24"/>
                <w:highlight w:val="none"/>
              </w:rPr>
              <w:t>kg</w:t>
            </w:r>
            <w:r>
              <w:rPr>
                <w:rFonts w:hint="default" w:ascii="Times New Roman" w:hAnsi="Times New Roman" w:cs="Times New Roman"/>
                <w:bCs/>
                <w:color w:val="auto"/>
                <w:sz w:val="24"/>
                <w:szCs w:val="24"/>
                <w:highlight w:val="none"/>
              </w:rPr>
              <w:t>。</w:t>
            </w:r>
            <w:r>
              <w:rPr>
                <w:rFonts w:hint="eastAsia" w:cs="Times New Roman"/>
                <w:color w:val="auto"/>
                <w:sz w:val="24"/>
              </w:rPr>
              <w:t>本项目危险物质存储见下表</w:t>
            </w:r>
            <w:r>
              <w:rPr>
                <w:rFonts w:hint="eastAsia" w:hAnsi="宋体" w:cs="Times New Roman"/>
                <w:color w:val="auto"/>
                <w:sz w:val="24"/>
              </w:rPr>
              <w:t>。</w:t>
            </w:r>
          </w:p>
          <w:p w14:paraId="0F9847A1">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ascii="Times New Roman" w:hAnsi="Times New Roman" w:eastAsia="宋体" w:cs="Times New Roman"/>
                <w:snapToGrid/>
                <w:color w:val="auto"/>
                <w:szCs w:val="24"/>
              </w:rPr>
            </w:pPr>
            <w:r>
              <w:rPr>
                <w:rFonts w:hint="eastAsia" w:ascii="Times New Roman" w:hAnsi="Times New Roman" w:eastAsia="宋体" w:cs="Times New Roman"/>
                <w:snapToGrid/>
                <w:color w:val="auto"/>
                <w:szCs w:val="24"/>
              </w:rPr>
              <w:t xml:space="preserve"> </w:t>
            </w:r>
            <w:r>
              <w:rPr>
                <w:rFonts w:hint="eastAsia" w:ascii="Times New Roman" w:hAnsi="Times New Roman" w:eastAsia="宋体" w:cs="Times New Roman"/>
                <w:snapToGrid/>
                <w:color w:val="auto"/>
                <w:sz w:val="24"/>
                <w:szCs w:val="24"/>
                <w:lang w:eastAsia="zh-CN"/>
              </w:rPr>
              <w:t>风险</w:t>
            </w:r>
            <w:r>
              <w:rPr>
                <w:rFonts w:hint="default" w:ascii="Times New Roman" w:hAnsi="Times New Roman" w:eastAsia="宋体" w:cs="Times New Roman"/>
                <w:snapToGrid/>
                <w:color w:val="auto"/>
                <w:sz w:val="24"/>
                <w:szCs w:val="24"/>
              </w:rPr>
              <w:t>物质储存情况一览表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1565"/>
              <w:gridCol w:w="1884"/>
              <w:gridCol w:w="2216"/>
              <w:gridCol w:w="1258"/>
              <w:gridCol w:w="917"/>
            </w:tblGrid>
            <w:tr w14:paraId="0E8FC76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98" w:type="pct"/>
                  <w:noWrap w:val="0"/>
                  <w:vAlign w:val="center"/>
                </w:tcPr>
                <w:p w14:paraId="400C7A69">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危险物质名称</w:t>
                  </w:r>
                </w:p>
              </w:tc>
              <w:tc>
                <w:tcPr>
                  <w:tcW w:w="1201" w:type="pct"/>
                  <w:noWrap w:val="0"/>
                  <w:vAlign w:val="center"/>
                </w:tcPr>
                <w:p w14:paraId="1CD7822B">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环境风险物质编号</w:t>
                  </w:r>
                </w:p>
              </w:tc>
              <w:tc>
                <w:tcPr>
                  <w:tcW w:w="1413" w:type="pct"/>
                  <w:noWrap w:val="0"/>
                  <w:vAlign w:val="center"/>
                </w:tcPr>
                <w:p w14:paraId="534EB1D7">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最大在线（贮存）量（t）</w:t>
                  </w:r>
                </w:p>
              </w:tc>
              <w:tc>
                <w:tcPr>
                  <w:tcW w:w="802" w:type="pct"/>
                  <w:noWrap w:val="0"/>
                  <w:vAlign w:val="center"/>
                </w:tcPr>
                <w:p w14:paraId="7B39AF4A">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临界量</w:t>
                  </w:r>
                </w:p>
                <w:p w14:paraId="06D566C6">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（t）</w:t>
                  </w:r>
                </w:p>
              </w:tc>
              <w:tc>
                <w:tcPr>
                  <w:tcW w:w="584" w:type="pct"/>
                  <w:noWrap w:val="0"/>
                  <w:vAlign w:val="center"/>
                </w:tcPr>
                <w:p w14:paraId="00F742C0">
                  <w:pPr>
                    <w:keepNext w:val="0"/>
                    <w:keepLines w:val="0"/>
                    <w:widowControl/>
                    <w:suppressLineNumbers w:val="0"/>
                    <w:spacing w:before="0" w:beforeAutospacing="0" w:after="0" w:afterAutospacing="0"/>
                    <w:ind w:left="0" w:right="0"/>
                    <w:jc w:val="center"/>
                    <w:rPr>
                      <w:rFonts w:hint="eastAsia" w:cs="Times New Roman"/>
                      <w:color w:val="auto"/>
                      <w:szCs w:val="21"/>
                    </w:rPr>
                  </w:pPr>
                  <w:r>
                    <w:rPr>
                      <w:rFonts w:hint="default" w:cs="Times New Roman"/>
                      <w:color w:val="auto"/>
                      <w:kern w:val="0"/>
                      <w:szCs w:val="21"/>
                      <w:lang w:bidi="ar"/>
                    </w:rPr>
                    <w:t>qi/Qi</w:t>
                  </w:r>
                </w:p>
              </w:tc>
            </w:tr>
            <w:tr w14:paraId="65310A3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98" w:type="pct"/>
                  <w:noWrap w:val="0"/>
                  <w:vAlign w:val="center"/>
                </w:tcPr>
                <w:p w14:paraId="37998CAA">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lang w:eastAsia="zh-CN"/>
                    </w:rPr>
                    <w:t>瓦斯（</w:t>
                  </w:r>
                  <w:r>
                    <w:rPr>
                      <w:rFonts w:hint="eastAsia" w:cs="Times New Roman"/>
                      <w:bCs/>
                      <w:color w:val="auto"/>
                      <w:szCs w:val="21"/>
                    </w:rPr>
                    <w:t>甲烷</w:t>
                  </w:r>
                  <w:r>
                    <w:rPr>
                      <w:rFonts w:hint="eastAsia" w:cs="Times New Roman"/>
                      <w:bCs/>
                      <w:color w:val="auto"/>
                      <w:szCs w:val="21"/>
                      <w:lang w:eastAsia="zh-CN"/>
                    </w:rPr>
                    <w:t>）</w:t>
                  </w:r>
                </w:p>
              </w:tc>
              <w:tc>
                <w:tcPr>
                  <w:tcW w:w="1201" w:type="pct"/>
                  <w:noWrap w:val="0"/>
                  <w:vAlign w:val="center"/>
                </w:tcPr>
                <w:p w14:paraId="6A249415">
                  <w:pPr>
                    <w:keepNext w:val="0"/>
                    <w:keepLines w:val="0"/>
                    <w:suppressLineNumbers w:val="0"/>
                    <w:spacing w:before="0" w:beforeAutospacing="0" w:after="0" w:afterAutospacing="0"/>
                    <w:ind w:left="0" w:right="0"/>
                    <w:jc w:val="center"/>
                    <w:rPr>
                      <w:rFonts w:hint="default" w:cs="Times New Roman"/>
                      <w:bCs/>
                      <w:color w:val="auto"/>
                      <w:szCs w:val="21"/>
                    </w:rPr>
                  </w:pPr>
                  <w:r>
                    <w:rPr>
                      <w:rFonts w:hint="eastAsia" w:cs="Times New Roman"/>
                      <w:color w:val="auto"/>
                    </w:rPr>
                    <w:t>74-82-8</w:t>
                  </w:r>
                </w:p>
              </w:tc>
              <w:tc>
                <w:tcPr>
                  <w:tcW w:w="1413" w:type="pct"/>
                  <w:noWrap w:val="0"/>
                  <w:vAlign w:val="center"/>
                </w:tcPr>
                <w:p w14:paraId="04C42169">
                  <w:pPr>
                    <w:keepNext w:val="0"/>
                    <w:keepLines w:val="0"/>
                    <w:suppressLineNumbers w:val="0"/>
                    <w:tabs>
                      <w:tab w:val="left" w:pos="720"/>
                    </w:tabs>
                    <w:spacing w:before="0" w:beforeAutospacing="0" w:after="0" w:afterAutospacing="0"/>
                    <w:ind w:left="0" w:right="0"/>
                    <w:jc w:val="center"/>
                    <w:rPr>
                      <w:rFonts w:hint="default" w:eastAsia="宋体" w:cs="Times New Roman"/>
                      <w:bCs/>
                      <w:color w:val="auto"/>
                      <w:szCs w:val="21"/>
                      <w:lang w:val="en-US" w:eastAsia="zh-CN"/>
                    </w:rPr>
                  </w:pPr>
                  <w:r>
                    <w:rPr>
                      <w:rFonts w:hint="eastAsia" w:cs="Times New Roman"/>
                      <w:bCs/>
                      <w:color w:val="auto"/>
                      <w:szCs w:val="21"/>
                      <w:lang w:val="en-US" w:eastAsia="zh-CN"/>
                    </w:rPr>
                    <w:t>0.051</w:t>
                  </w:r>
                </w:p>
              </w:tc>
              <w:tc>
                <w:tcPr>
                  <w:tcW w:w="802" w:type="pct"/>
                  <w:noWrap w:val="0"/>
                  <w:vAlign w:val="center"/>
                </w:tcPr>
                <w:p w14:paraId="2BA97581">
                  <w:pPr>
                    <w:keepNext w:val="0"/>
                    <w:keepLines w:val="0"/>
                    <w:suppressLineNumbers w:val="0"/>
                    <w:spacing w:before="0" w:beforeAutospacing="0" w:after="0" w:afterAutospacing="0"/>
                    <w:ind w:left="0" w:right="0"/>
                    <w:jc w:val="center"/>
                    <w:rPr>
                      <w:rFonts w:hint="default" w:cs="Times New Roman"/>
                      <w:bCs/>
                      <w:color w:val="auto"/>
                      <w:szCs w:val="21"/>
                    </w:rPr>
                  </w:pPr>
                  <w:r>
                    <w:rPr>
                      <w:rFonts w:hint="eastAsia" w:cs="Times New Roman"/>
                      <w:bCs/>
                      <w:color w:val="auto"/>
                      <w:szCs w:val="21"/>
                    </w:rPr>
                    <w:t>10</w:t>
                  </w:r>
                </w:p>
              </w:tc>
              <w:tc>
                <w:tcPr>
                  <w:tcW w:w="584" w:type="pct"/>
                  <w:noWrap w:val="0"/>
                  <w:vAlign w:val="center"/>
                </w:tcPr>
                <w:p w14:paraId="6F6406D5">
                  <w:pPr>
                    <w:keepNext w:val="0"/>
                    <w:keepLines w:val="0"/>
                    <w:widowControl/>
                    <w:suppressLineNumbers w:val="0"/>
                    <w:spacing w:before="0" w:beforeAutospacing="0" w:after="0" w:afterAutospacing="0"/>
                    <w:ind w:left="0" w:right="0"/>
                    <w:jc w:val="center"/>
                    <w:rPr>
                      <w:rFonts w:hint="default" w:eastAsia="宋体" w:cs="Times New Roman"/>
                      <w:color w:val="auto"/>
                      <w:kern w:val="0"/>
                      <w:szCs w:val="21"/>
                      <w:lang w:val="en-US" w:eastAsia="zh-CN" w:bidi="ar"/>
                    </w:rPr>
                  </w:pPr>
                  <w:r>
                    <w:rPr>
                      <w:rFonts w:hint="eastAsia" w:cs="Times New Roman"/>
                      <w:color w:val="auto"/>
                      <w:kern w:val="0"/>
                      <w:szCs w:val="21"/>
                      <w:lang w:bidi="ar"/>
                    </w:rPr>
                    <w:t>0.00</w:t>
                  </w:r>
                  <w:r>
                    <w:rPr>
                      <w:rFonts w:hint="eastAsia" w:cs="Times New Roman"/>
                      <w:color w:val="auto"/>
                      <w:kern w:val="0"/>
                      <w:szCs w:val="21"/>
                      <w:lang w:val="en-US" w:eastAsia="zh-CN" w:bidi="ar"/>
                    </w:rPr>
                    <w:t>51</w:t>
                  </w:r>
                </w:p>
              </w:tc>
            </w:tr>
          </w:tbl>
          <w:p w14:paraId="1C41C007">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rPr>
            </w:pPr>
            <w:r>
              <w:rPr>
                <w:rFonts w:hint="eastAsia" w:cs="Times New Roman"/>
                <w:color w:val="auto"/>
                <w:sz w:val="24"/>
              </w:rPr>
              <w:t>由上表可知，本项目Q=0.00</w:t>
            </w:r>
            <w:r>
              <w:rPr>
                <w:rFonts w:hint="eastAsia" w:cs="Times New Roman"/>
                <w:color w:val="auto"/>
                <w:sz w:val="24"/>
                <w:lang w:val="en-US" w:eastAsia="zh-CN"/>
              </w:rPr>
              <w:t>51</w:t>
            </w:r>
            <w:r>
              <w:rPr>
                <w:rFonts w:hint="eastAsia" w:cs="Times New Roman"/>
                <w:color w:val="auto"/>
                <w:sz w:val="24"/>
              </w:rPr>
              <w:t>＜1，根据《建设项目环境风险评价技术导则》（HJ169-2018）附录C中C.1.1确定该项目环境风险潜势为Ⅰ，确定本项目环境风险评价工作等级为简单分析。</w:t>
            </w:r>
          </w:p>
          <w:p w14:paraId="0A8981B4">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rPr>
            </w:pPr>
            <w:r>
              <w:rPr>
                <w:rFonts w:hint="eastAsia" w:cs="Times New Roman"/>
                <w:color w:val="auto"/>
                <w:sz w:val="24"/>
              </w:rPr>
              <w:t>2、环境风险分析</w:t>
            </w:r>
          </w:p>
          <w:p w14:paraId="6D508B97">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rPr>
            </w:pPr>
            <w:r>
              <w:rPr>
                <w:rFonts w:hint="eastAsia" w:cs="Times New Roman"/>
                <w:color w:val="auto"/>
                <w:sz w:val="24"/>
              </w:rPr>
              <w:t>本项目涉及的风险物质为瓦斯气，具有易燃易爆特性。项目生产设施风险因素见下表。</w:t>
            </w:r>
          </w:p>
          <w:p w14:paraId="44621D8F">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ascii="Times New Roman" w:hAnsi="Times New Roman" w:eastAsia="宋体" w:cs="Times New Roman"/>
                <w:snapToGrid/>
                <w:color w:val="auto"/>
                <w:sz w:val="24"/>
                <w:szCs w:val="24"/>
              </w:rPr>
            </w:pPr>
            <w:r>
              <w:rPr>
                <w:rFonts w:hint="default" w:ascii="Times New Roman" w:hAnsi="Times New Roman" w:eastAsia="宋体" w:cs="Times New Roman"/>
                <w:snapToGrid/>
                <w:color w:val="auto"/>
                <w:sz w:val="24"/>
                <w:szCs w:val="24"/>
              </w:rPr>
              <w:t>建设项目环境风险识别表</w:t>
            </w:r>
          </w:p>
          <w:tbl>
            <w:tblPr>
              <w:tblStyle w:val="28"/>
              <w:tblW w:w="7441"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204"/>
              <w:gridCol w:w="1249"/>
              <w:gridCol w:w="1463"/>
              <w:gridCol w:w="1521"/>
              <w:gridCol w:w="1583"/>
            </w:tblGrid>
            <w:tr w14:paraId="2BFCA09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421" w:type="dxa"/>
                  <w:noWrap w:val="0"/>
                  <w:vAlign w:val="center"/>
                </w:tcPr>
                <w:p w14:paraId="027D1D01">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序号</w:t>
                  </w:r>
                </w:p>
              </w:tc>
              <w:tc>
                <w:tcPr>
                  <w:tcW w:w="1204" w:type="dxa"/>
                  <w:noWrap w:val="0"/>
                  <w:vAlign w:val="center"/>
                </w:tcPr>
                <w:p w14:paraId="62C2636F">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风险单元</w:t>
                  </w:r>
                </w:p>
              </w:tc>
              <w:tc>
                <w:tcPr>
                  <w:tcW w:w="1249" w:type="dxa"/>
                  <w:noWrap w:val="0"/>
                  <w:vAlign w:val="center"/>
                </w:tcPr>
                <w:p w14:paraId="5FE6D312">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主要危险物质</w:t>
                  </w:r>
                </w:p>
              </w:tc>
              <w:tc>
                <w:tcPr>
                  <w:tcW w:w="1463" w:type="dxa"/>
                  <w:noWrap w:val="0"/>
                  <w:vAlign w:val="center"/>
                </w:tcPr>
                <w:p w14:paraId="61BA9735">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环境风险类型</w:t>
                  </w:r>
                </w:p>
              </w:tc>
              <w:tc>
                <w:tcPr>
                  <w:tcW w:w="1521" w:type="dxa"/>
                  <w:noWrap w:val="0"/>
                  <w:vAlign w:val="center"/>
                </w:tcPr>
                <w:p w14:paraId="34654BAC">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环境影响途径</w:t>
                  </w:r>
                </w:p>
              </w:tc>
              <w:tc>
                <w:tcPr>
                  <w:tcW w:w="1583" w:type="dxa"/>
                  <w:noWrap w:val="0"/>
                  <w:vAlign w:val="center"/>
                </w:tcPr>
                <w:p w14:paraId="1F3B6F4D">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可能受影响的环境要素</w:t>
                  </w:r>
                </w:p>
              </w:tc>
            </w:tr>
            <w:tr w14:paraId="2472FA6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421" w:type="dxa"/>
                  <w:noWrap w:val="0"/>
                  <w:vAlign w:val="center"/>
                </w:tcPr>
                <w:p w14:paraId="66A0B375">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1</w:t>
                  </w:r>
                </w:p>
              </w:tc>
              <w:tc>
                <w:tcPr>
                  <w:tcW w:w="1204" w:type="dxa"/>
                  <w:noWrap w:val="0"/>
                  <w:vAlign w:val="center"/>
                </w:tcPr>
                <w:p w14:paraId="0C10870A">
                  <w:pPr>
                    <w:keepNext w:val="0"/>
                    <w:keepLines w:val="0"/>
                    <w:suppressLineNumbers w:val="0"/>
                    <w:tabs>
                      <w:tab w:val="left" w:pos="720"/>
                    </w:tabs>
                    <w:spacing w:before="0" w:beforeAutospacing="0" w:after="0" w:afterAutospacing="0"/>
                    <w:ind w:left="0" w:right="0"/>
                    <w:jc w:val="center"/>
                    <w:rPr>
                      <w:rFonts w:hint="eastAsia" w:eastAsia="宋体" w:cs="Times New Roman"/>
                      <w:bCs/>
                      <w:color w:val="auto"/>
                      <w:szCs w:val="21"/>
                      <w:lang w:eastAsia="zh-CN"/>
                    </w:rPr>
                  </w:pPr>
                  <w:r>
                    <w:rPr>
                      <w:rFonts w:hint="eastAsia" w:cs="Times New Roman"/>
                      <w:bCs/>
                      <w:color w:val="auto"/>
                      <w:szCs w:val="21"/>
                    </w:rPr>
                    <w:t>瓦斯输送系统</w:t>
                  </w:r>
                  <w:r>
                    <w:rPr>
                      <w:rFonts w:hint="eastAsia" w:cs="Times New Roman"/>
                      <w:bCs/>
                      <w:color w:val="auto"/>
                      <w:szCs w:val="21"/>
                      <w:lang w:eastAsia="zh-CN"/>
                    </w:rPr>
                    <w:t>、抽采泵站</w:t>
                  </w:r>
                </w:p>
              </w:tc>
              <w:tc>
                <w:tcPr>
                  <w:tcW w:w="1249" w:type="dxa"/>
                  <w:noWrap w:val="0"/>
                  <w:vAlign w:val="center"/>
                </w:tcPr>
                <w:p w14:paraId="089FEACF">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瓦斯</w:t>
                  </w:r>
                </w:p>
              </w:tc>
              <w:tc>
                <w:tcPr>
                  <w:tcW w:w="1463" w:type="dxa"/>
                  <w:noWrap w:val="0"/>
                  <w:vAlign w:val="center"/>
                </w:tcPr>
                <w:p w14:paraId="71125B6F">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 xml:space="preserve"> 发生泄漏、火灾、爆炸事故</w:t>
                  </w:r>
                </w:p>
              </w:tc>
              <w:tc>
                <w:tcPr>
                  <w:tcW w:w="1521" w:type="dxa"/>
                  <w:noWrap w:val="0"/>
                  <w:vAlign w:val="center"/>
                </w:tcPr>
                <w:p w14:paraId="46989037">
                  <w:pPr>
                    <w:keepNext w:val="0"/>
                    <w:keepLines w:val="0"/>
                    <w:suppressLineNumbers w:val="0"/>
                    <w:tabs>
                      <w:tab w:val="left" w:pos="720"/>
                    </w:tabs>
                    <w:spacing w:before="0" w:beforeAutospacing="0" w:after="0" w:afterAutospacing="0"/>
                    <w:ind w:left="0" w:right="0"/>
                    <w:rPr>
                      <w:rFonts w:hint="eastAsia" w:cs="Times New Roman"/>
                      <w:bCs/>
                      <w:color w:val="auto"/>
                      <w:szCs w:val="21"/>
                    </w:rPr>
                  </w:pPr>
                  <w:r>
                    <w:rPr>
                      <w:rFonts w:hint="eastAsia" w:cs="Times New Roman"/>
                      <w:bCs/>
                      <w:color w:val="auto"/>
                      <w:szCs w:val="21"/>
                    </w:rPr>
                    <w:t>随大气扩散、下渗、地表径流等</w:t>
                  </w:r>
                </w:p>
              </w:tc>
              <w:tc>
                <w:tcPr>
                  <w:tcW w:w="1583" w:type="dxa"/>
                  <w:noWrap w:val="0"/>
                  <w:vAlign w:val="center"/>
                </w:tcPr>
                <w:p w14:paraId="16C10B25">
                  <w:pPr>
                    <w:keepNext w:val="0"/>
                    <w:keepLines w:val="0"/>
                    <w:suppressLineNumbers w:val="0"/>
                    <w:tabs>
                      <w:tab w:val="left" w:pos="720"/>
                    </w:tabs>
                    <w:spacing w:before="0" w:beforeAutospacing="0" w:after="0" w:afterAutospacing="0"/>
                    <w:ind w:left="0" w:right="0"/>
                    <w:jc w:val="center"/>
                    <w:rPr>
                      <w:rFonts w:hint="eastAsia" w:cs="Times New Roman"/>
                      <w:bCs/>
                      <w:color w:val="auto"/>
                      <w:szCs w:val="21"/>
                    </w:rPr>
                  </w:pPr>
                  <w:r>
                    <w:rPr>
                      <w:rFonts w:hint="eastAsia" w:cs="Times New Roman"/>
                      <w:bCs/>
                      <w:color w:val="auto"/>
                      <w:szCs w:val="21"/>
                    </w:rPr>
                    <w:t>周围环境空气、地下水环境、土壤环境</w:t>
                  </w:r>
                </w:p>
              </w:tc>
            </w:tr>
          </w:tbl>
          <w:p w14:paraId="40C4C5C3">
            <w:pPr>
              <w:pStyle w:val="10"/>
              <w:keepNext w:val="0"/>
              <w:keepLines w:val="0"/>
              <w:suppressLineNumbers w:val="0"/>
              <w:adjustRightInd w:val="0"/>
              <w:spacing w:before="0" w:beforeAutospacing="0" w:after="0" w:afterAutospacing="0" w:line="360" w:lineRule="auto"/>
              <w:ind w:left="0" w:right="0" w:firstLine="480" w:firstLineChars="200"/>
              <w:rPr>
                <w:rFonts w:hint="eastAsia"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bidi="ar-SA"/>
              </w:rPr>
              <w:t>当瓦斯输送管路发生泄漏，泄漏物质遇明火或者高温会发生火灾、爆炸事故，在发生火灾爆炸后如果不及时处</w:t>
            </w:r>
            <w:r>
              <w:rPr>
                <w:rFonts w:hint="eastAsia" w:cs="Times New Roman"/>
                <w:color w:val="auto"/>
                <w:kern w:val="2"/>
                <w:sz w:val="24"/>
                <w:szCs w:val="24"/>
                <w:lang w:val="en-US" w:eastAsia="zh-CN"/>
              </w:rPr>
              <w:t>理，可燃物燃烧产生大量的烟尘、二氧化碳、SO</w:t>
            </w:r>
            <w:r>
              <w:rPr>
                <w:rFonts w:hint="eastAsia" w:cs="Times New Roman"/>
                <w:color w:val="auto"/>
                <w:kern w:val="2"/>
                <w:sz w:val="24"/>
                <w:szCs w:val="24"/>
                <w:vertAlign w:val="subscript"/>
                <w:lang w:val="en-US" w:eastAsia="zh-CN"/>
              </w:rPr>
              <w:t>2</w:t>
            </w:r>
            <w:r>
              <w:rPr>
                <w:rFonts w:hint="eastAsia" w:cs="Times New Roman"/>
                <w:color w:val="auto"/>
                <w:kern w:val="2"/>
                <w:sz w:val="24"/>
                <w:szCs w:val="24"/>
                <w:lang w:val="en-US" w:eastAsia="zh-CN"/>
              </w:rPr>
              <w:t>、NO</w:t>
            </w:r>
            <w:r>
              <w:rPr>
                <w:rFonts w:hint="eastAsia" w:cs="Times New Roman"/>
                <w:color w:val="auto"/>
                <w:kern w:val="2"/>
                <w:sz w:val="24"/>
                <w:szCs w:val="24"/>
                <w:vertAlign w:val="subscript"/>
                <w:lang w:val="en-US" w:eastAsia="zh-CN"/>
              </w:rPr>
              <w:t>X</w:t>
            </w:r>
            <w:r>
              <w:rPr>
                <w:rFonts w:hint="eastAsia" w:cs="Times New Roman"/>
                <w:color w:val="auto"/>
                <w:kern w:val="2"/>
                <w:sz w:val="24"/>
                <w:szCs w:val="24"/>
                <w:lang w:val="en-US" w:eastAsia="zh-CN"/>
              </w:rPr>
              <w:t>和CO等有毒有害气体，有毒有害气体扩散，影响周围人群及空气质量。灭火过程中还会产生消防废水，如果收集处理不当，会对周边地表水体产生影响。</w:t>
            </w:r>
          </w:p>
          <w:p w14:paraId="031B80E8">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sz w:val="24"/>
                <w:highlight w:val="yellow"/>
              </w:rPr>
            </w:pPr>
            <w:r>
              <w:rPr>
                <w:rFonts w:hint="eastAsia" w:cs="Times New Roman"/>
                <w:color w:val="auto"/>
                <w:sz w:val="24"/>
                <w:highlight w:val="none"/>
              </w:rPr>
              <w:t>3、环境防范措施</w:t>
            </w:r>
          </w:p>
          <w:p w14:paraId="090DEEA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1）瓦斯抽采管路的防范措施</w:t>
            </w:r>
          </w:p>
          <w:p w14:paraId="019D28C5">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r>
              <w:rPr>
                <w:rFonts w:hint="eastAsia" w:cs="Times New Roman"/>
                <w:color w:val="auto"/>
                <w:sz w:val="24"/>
              </w:rPr>
              <w:t>瓦斯</w:t>
            </w:r>
            <w:r>
              <w:rPr>
                <w:rFonts w:hint="eastAsia" w:ascii="Times New Roman" w:hAnsi="Times New Roman" w:eastAsia="宋体" w:cs="Times New Roman"/>
                <w:color w:val="auto"/>
                <w:kern w:val="2"/>
                <w:sz w:val="24"/>
                <w:szCs w:val="24"/>
                <w:lang w:val="en-US" w:eastAsia="zh-CN" w:bidi="ar-SA"/>
              </w:rPr>
              <w:t>抽采管路</w:t>
            </w:r>
            <w:r>
              <w:rPr>
                <w:rFonts w:hint="eastAsia" w:cs="Times New Roman"/>
                <w:color w:val="auto"/>
                <w:sz w:val="24"/>
              </w:rPr>
              <w:t>采用高强度的优质管材，</w:t>
            </w:r>
            <w:r>
              <w:rPr>
                <w:rFonts w:hint="eastAsia" w:ascii="Times New Roman" w:hAnsi="Times New Roman" w:eastAsia="宋体" w:cs="Times New Roman"/>
                <w:color w:val="auto"/>
                <w:kern w:val="2"/>
                <w:sz w:val="24"/>
                <w:szCs w:val="24"/>
                <w:lang w:val="en-US" w:eastAsia="zh-CN" w:bidi="ar-SA"/>
              </w:rPr>
              <w:t>为防止瓦斯抽采管路锈蚀，安装前应对管内外涂抹防腐剂(如沥青、油漆、红丹粉等)，管路投入使用前要进行漏气试验，瓦斯抽采管路每隔10m涂以明显标志，以区别于其它管路。</w:t>
            </w:r>
          </w:p>
          <w:p w14:paraId="73C3E31F">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（2）抽采巷道、抽采钻场，要严格执行《煤矿安全规程》的有关规定，加强通风，严防瓦斯超限；对不通风的瓦斯抽采钻场、高抽巷要按规定设置栅栏，揭示警标。</w:t>
            </w:r>
          </w:p>
          <w:p w14:paraId="716D2B97">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（3）建立健全瓦斯专业抽采队伍，并经常组织技术培训、岗位练兵和技术考核，不断提高技术水平，同时还要建立各工种作业规程及岗位责任制，使各项工作有章可循。</w:t>
            </w:r>
          </w:p>
          <w:p w14:paraId="3FC338D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（4）瓦斯抽采管路应与供电、信号、照明、通讯、监控等线路分开敷设。采取防冻措施。</w:t>
            </w:r>
          </w:p>
          <w:p w14:paraId="74D44036">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（5）瓦斯抽采主管路距建筑物的距离大于5m，距动力电缆大于1m，距水管和排水沟大于5m，距铁路大于4m，距木电线杆大于2m。</w:t>
            </w:r>
          </w:p>
          <w:p w14:paraId="7EC57504">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（6）瓦斯抽采管路与其他建筑物相交时，其垂直距离大于0.15m，与动力电缆，照明电缆和电话线大于0.5m，且距相交建筑物2m范围内，管路不准有接头。</w:t>
            </w:r>
          </w:p>
          <w:p w14:paraId="778C8470">
            <w:pPr>
              <w:keepNext w:val="0"/>
              <w:keepLines w:val="0"/>
              <w:suppressLineNumbers w:val="0"/>
              <w:adjustRightInd w:val="0"/>
              <w:snapToGrid w:val="0"/>
              <w:spacing w:before="0" w:beforeAutospacing="0" w:after="0" w:afterAutospacing="0" w:line="360" w:lineRule="auto"/>
              <w:ind w:left="0" w:right="0" w:firstLine="720" w:firstLineChars="3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2．瓦斯抽采泵站安全防范措施</w:t>
            </w:r>
          </w:p>
          <w:p w14:paraId="6F8EED8B">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（1）抽采站的泵房用不燃性材料建筑，耐火等级为二级。</w:t>
            </w:r>
          </w:p>
          <w:p w14:paraId="33BA4571">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（2）瓦斯抽采泵站进、出气管路，装设有防回火、防回气、防爆炸的安全装置。</w:t>
            </w:r>
          </w:p>
          <w:p w14:paraId="099A0836">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瓦斯抽采泵站内设有避雷装置，距进风井口和主要建筑物的距离应大于50m，并用围墙保护，瓦斯泵房内及周围20m范围以内，禁止有明火，瓦斯抽采泵站进、出口放空管应高出房脊3m以上，其位置以尽量靠近泵房为宜，放空管上设置避雷装置。</w:t>
            </w:r>
          </w:p>
          <w:p w14:paraId="3001A8D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lang w:val="en-US" w:eastAsia="zh-CN"/>
              </w:rPr>
              <w:t>所有电气设备设漏电保护器及安全接地。</w:t>
            </w:r>
            <w:r>
              <w:rPr>
                <w:rFonts w:hint="default" w:ascii="Times New Roman" w:hAnsi="Times New Roman" w:eastAsia="宋体" w:cs="Times New Roman"/>
                <w:color w:val="auto"/>
                <w:sz w:val="24"/>
              </w:rPr>
              <w:t>项目电气设备均采用防爆型，并有煤矿安全标志。</w:t>
            </w:r>
            <w:r>
              <w:rPr>
                <w:rFonts w:hint="default" w:ascii="Times New Roman" w:hAnsi="Times New Roman" w:eastAsia="宋体" w:cs="Times New Roman"/>
                <w:color w:val="auto"/>
                <w:sz w:val="24"/>
                <w:lang w:val="en-US" w:eastAsia="zh-CN"/>
              </w:rPr>
              <w:t>厂区内布置防雷装置。</w:t>
            </w:r>
          </w:p>
          <w:p w14:paraId="690CEEE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val="en-US" w:eastAsia="zh-CN"/>
              </w:rPr>
              <w:t xml:space="preserve">各种电压等级电气设备的安全净距均不小于有关规程所要求的最小净距，电气的隔离开关与相应的断路器接地刀闸之间，按“五防”要求，装设损伤闭锁装置以提高安全性。 </w:t>
            </w:r>
          </w:p>
          <w:p w14:paraId="0D4B185B">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rPr>
            </w:pPr>
            <w:r>
              <w:rPr>
                <w:rFonts w:hint="eastAsia" w:cs="Times New Roman"/>
                <w:color w:val="auto"/>
                <w:sz w:val="24"/>
                <w:lang w:val="en-US" w:eastAsia="zh-CN"/>
              </w:rPr>
              <w:t>3、</w:t>
            </w:r>
            <w:r>
              <w:rPr>
                <w:rFonts w:hint="eastAsia" w:cs="Times New Roman"/>
                <w:color w:val="auto"/>
                <w:sz w:val="24"/>
              </w:rPr>
              <w:t>安全</w:t>
            </w:r>
            <w:r>
              <w:rPr>
                <w:rFonts w:hint="eastAsia" w:cs="Times New Roman"/>
                <w:color w:val="auto"/>
                <w:sz w:val="24"/>
                <w:lang w:eastAsia="zh-CN"/>
              </w:rPr>
              <w:t>管理</w:t>
            </w:r>
            <w:r>
              <w:rPr>
                <w:rFonts w:hint="eastAsia" w:cs="Times New Roman"/>
                <w:color w:val="auto"/>
                <w:sz w:val="24"/>
              </w:rPr>
              <w:t>防范措施</w:t>
            </w:r>
          </w:p>
          <w:p w14:paraId="0BF44D27">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rPr>
            </w:pPr>
            <w:r>
              <w:rPr>
                <w:rFonts w:hint="eastAsia" w:cs="Times New Roman"/>
                <w:color w:val="auto"/>
                <w:sz w:val="24"/>
              </w:rPr>
              <w:t>制定以防为主的应急</w:t>
            </w:r>
            <w:r>
              <w:rPr>
                <w:rFonts w:hint="eastAsia" w:cs="Times New Roman"/>
                <w:color w:val="auto"/>
                <w:sz w:val="24"/>
                <w:lang w:eastAsia="zh-CN"/>
              </w:rPr>
              <w:t>措施</w:t>
            </w:r>
            <w:r>
              <w:rPr>
                <w:rFonts w:hint="eastAsia" w:cs="Times New Roman"/>
                <w:color w:val="auto"/>
                <w:sz w:val="24"/>
              </w:rPr>
              <w:t>，事故发生实行统一指挥，首先要第一时间通知抽放站，及时排空管线内的瓦斯，以防爆炸。</w:t>
            </w:r>
          </w:p>
          <w:p w14:paraId="303B9C72">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rPr>
            </w:pPr>
            <w:r>
              <w:rPr>
                <w:rFonts w:hint="eastAsia" w:cs="Times New Roman"/>
                <w:color w:val="auto"/>
                <w:sz w:val="24"/>
              </w:rPr>
              <w:t>必须严格按照相关防火、防爆设计要求进行设计和施工，并配备相应的保护工程；加强工艺系统的自动控制的应用，同时应加强对系统设备的维护保养；应设立专人进行巡视、检查、维护工作；严格岗位操作规程，加强操作人员的岗位培训和职业素质教肓，提高安全意识，实施规范核查；油库做好标志，严禁不相关人员进入；配备足够的救灾防毒器具、消防器及防护用品。设置CH</w:t>
            </w:r>
            <w:r>
              <w:rPr>
                <w:rFonts w:hint="eastAsia" w:cs="Times New Roman"/>
                <w:color w:val="auto"/>
                <w:sz w:val="24"/>
                <w:vertAlign w:val="subscript"/>
              </w:rPr>
              <w:t xml:space="preserve"> 4</w:t>
            </w:r>
            <w:r>
              <w:rPr>
                <w:rFonts w:hint="eastAsia" w:cs="Times New Roman"/>
                <w:color w:val="auto"/>
                <w:sz w:val="24"/>
              </w:rPr>
              <w:t>检测报警系统和连动控制系统，设置火灾自动报警系统、消防栓和自动消防喷头等装置。</w:t>
            </w:r>
          </w:p>
          <w:p w14:paraId="4D94CBA0">
            <w:pPr>
              <w:pStyle w:val="102"/>
              <w:keepNext w:val="0"/>
              <w:keepLines w:val="0"/>
              <w:suppressLineNumbers w:val="0"/>
              <w:spacing w:before="0" w:beforeAutospacing="0" w:after="0" w:afterAutospacing="0"/>
              <w:ind w:left="0" w:right="0" w:firstLine="480"/>
              <w:rPr>
                <w:rFonts w:hint="default" w:cs="Times New Roman"/>
                <w:b w:val="0"/>
                <w:bCs w:val="0"/>
                <w:color w:val="auto"/>
                <w:kern w:val="2"/>
                <w:szCs w:val="24"/>
                <w:lang w:val="en-US" w:eastAsia="zh-CN"/>
              </w:rPr>
            </w:pPr>
            <w:r>
              <w:rPr>
                <w:rFonts w:hint="default" w:cs="Times New Roman"/>
                <w:b w:val="0"/>
                <w:bCs w:val="0"/>
                <w:color w:val="auto"/>
                <w:kern w:val="2"/>
                <w:szCs w:val="24"/>
                <w:lang w:val="en-US" w:eastAsia="zh-CN"/>
              </w:rPr>
              <w:t>依据《安徽省环保厅转发环保部企业事业单位突发环境事件应急预案备案管理办法（试行）的通知》（皖环函[2015]号 221 号），建设单位应参照《突发环境事件应急预案管理暂行办法》，</w:t>
            </w:r>
            <w:r>
              <w:rPr>
                <w:rFonts w:hint="eastAsia" w:cs="Times New Roman"/>
                <w:b w:val="0"/>
                <w:bCs w:val="0"/>
                <w:color w:val="auto"/>
                <w:kern w:val="2"/>
                <w:szCs w:val="24"/>
                <w:lang w:val="en-US" w:eastAsia="zh-CN"/>
              </w:rPr>
              <w:t>及时修编本单位</w:t>
            </w:r>
            <w:r>
              <w:rPr>
                <w:rFonts w:hint="default" w:cs="Times New Roman"/>
                <w:b w:val="0"/>
                <w:bCs w:val="0"/>
                <w:color w:val="auto"/>
                <w:kern w:val="2"/>
                <w:szCs w:val="24"/>
                <w:lang w:val="en-US" w:eastAsia="zh-CN"/>
              </w:rPr>
              <w:t>环境风险应急预案，</w:t>
            </w:r>
            <w:r>
              <w:rPr>
                <w:rFonts w:hint="eastAsia" w:cs="Times New Roman"/>
                <w:b w:val="0"/>
                <w:bCs w:val="0"/>
                <w:color w:val="auto"/>
                <w:kern w:val="2"/>
                <w:szCs w:val="24"/>
                <w:lang w:val="en-US" w:eastAsia="zh-CN"/>
              </w:rPr>
              <w:t>分析本泵站的环境风险并制定相关应急措施，</w:t>
            </w:r>
            <w:r>
              <w:rPr>
                <w:rFonts w:hint="default" w:cs="Times New Roman"/>
                <w:b w:val="0"/>
                <w:bCs w:val="0"/>
                <w:color w:val="auto"/>
                <w:kern w:val="2"/>
                <w:szCs w:val="24"/>
                <w:lang w:val="en-US" w:eastAsia="zh-CN"/>
              </w:rPr>
              <w:t>报当地环境主管部门备案，组织专业队伍学习和演练，提高队伍实战能力，防患于未然，以便应急救援工作的顺利开展。</w:t>
            </w:r>
          </w:p>
          <w:p w14:paraId="2F4524D0">
            <w:pPr>
              <w:keepNext w:val="0"/>
              <w:keepLines w:val="0"/>
              <w:suppressLineNumbers w:val="0"/>
              <w:spacing w:before="0" w:beforeAutospacing="0" w:after="0" w:afterAutospacing="0" w:line="360" w:lineRule="auto"/>
              <w:ind w:left="0" w:right="0" w:firstLine="480" w:firstLineChars="200"/>
              <w:rPr>
                <w:rFonts w:hint="default" w:cs="Times New Roman"/>
                <w:color w:val="auto"/>
              </w:rPr>
            </w:pPr>
            <w:r>
              <w:rPr>
                <w:rFonts w:hint="eastAsia" w:cs="Times New Roman"/>
                <w:color w:val="auto"/>
                <w:sz w:val="24"/>
              </w:rPr>
              <w:t>综上所述，本项目主要环境风险来自瓦斯输送管道，存在泄漏并由此引起的火灾爆炸及次生危害带来的环境影响。建设单位</w:t>
            </w:r>
            <w:r>
              <w:rPr>
                <w:rFonts w:hint="default" w:cs="Times New Roman"/>
                <w:color w:val="auto"/>
                <w:sz w:val="24"/>
              </w:rPr>
              <w:t>经采取相应</w:t>
            </w:r>
            <w:r>
              <w:rPr>
                <w:rFonts w:hint="eastAsia" w:cs="Times New Roman"/>
                <w:color w:val="auto"/>
                <w:sz w:val="24"/>
              </w:rPr>
              <w:t>预防</w:t>
            </w:r>
            <w:r>
              <w:rPr>
                <w:rFonts w:hint="default" w:cs="Times New Roman"/>
                <w:color w:val="auto"/>
                <w:sz w:val="24"/>
              </w:rPr>
              <w:t>措施，能大大减少事故发生概率，如一旦发生事故，</w:t>
            </w:r>
            <w:r>
              <w:rPr>
                <w:rFonts w:hint="eastAsia" w:cs="Times New Roman"/>
                <w:color w:val="auto"/>
                <w:sz w:val="24"/>
              </w:rPr>
              <w:t>也</w:t>
            </w:r>
            <w:r>
              <w:rPr>
                <w:rFonts w:hint="default" w:cs="Times New Roman"/>
                <w:color w:val="auto"/>
                <w:sz w:val="24"/>
              </w:rPr>
              <w:t>能迅速采取有力措施，减小对环境</w:t>
            </w:r>
            <w:r>
              <w:rPr>
                <w:rFonts w:hint="eastAsia" w:cs="Times New Roman"/>
                <w:color w:val="auto"/>
                <w:sz w:val="24"/>
              </w:rPr>
              <w:t>的</w:t>
            </w:r>
            <w:r>
              <w:rPr>
                <w:rFonts w:hint="default" w:cs="Times New Roman"/>
                <w:color w:val="auto"/>
                <w:sz w:val="24"/>
              </w:rPr>
              <w:t>污染</w:t>
            </w:r>
            <w:r>
              <w:rPr>
                <w:rFonts w:hint="eastAsia" w:cs="Times New Roman"/>
                <w:color w:val="auto"/>
                <w:sz w:val="24"/>
              </w:rPr>
              <w:t>，</w:t>
            </w:r>
            <w:r>
              <w:rPr>
                <w:rFonts w:hint="default" w:cs="Times New Roman"/>
                <w:color w:val="auto"/>
                <w:sz w:val="24"/>
              </w:rPr>
              <w:t>其潜在的事故风险是可以防范的。因此项目的建设，从</w:t>
            </w:r>
            <w:r>
              <w:rPr>
                <w:rFonts w:hint="eastAsia" w:cs="Times New Roman"/>
                <w:color w:val="auto"/>
                <w:sz w:val="24"/>
              </w:rPr>
              <w:t>环境</w:t>
            </w:r>
            <w:r>
              <w:rPr>
                <w:rFonts w:hint="default" w:cs="Times New Roman"/>
                <w:color w:val="auto"/>
                <w:sz w:val="24"/>
              </w:rPr>
              <w:t>风险评价的角度是可行的。</w:t>
            </w:r>
          </w:p>
        </w:tc>
      </w:tr>
      <w:tr w14:paraId="1DC46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05" w:hRule="atLeast"/>
          <w:jc w:val="center"/>
        </w:trPr>
        <w:tc>
          <w:tcPr>
            <w:tcW w:w="224" w:type="pct"/>
            <w:noWrap w:val="0"/>
            <w:vAlign w:val="center"/>
          </w:tcPr>
          <w:p w14:paraId="309B9148">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spacing w:val="10"/>
                <w:szCs w:val="21"/>
              </w:rPr>
            </w:pPr>
            <w:r>
              <w:rPr>
                <w:rFonts w:hint="eastAsia" w:ascii="宋体" w:hAnsi="宋体" w:cs="Times New Roman"/>
                <w:bCs/>
                <w:color w:val="auto"/>
                <w:szCs w:val="21"/>
              </w:rPr>
              <w:t>环保投资</w:t>
            </w:r>
          </w:p>
        </w:tc>
        <w:tc>
          <w:tcPr>
            <w:tcW w:w="4775" w:type="pct"/>
            <w:noWrap w:val="0"/>
            <w:vAlign w:val="top"/>
          </w:tcPr>
          <w:p w14:paraId="43B1EEB3">
            <w:pPr>
              <w:keepNext w:val="0"/>
              <w:keepLines w:val="0"/>
              <w:suppressLineNumbers w:val="0"/>
              <w:spacing w:before="0" w:beforeAutospacing="0" w:after="0" w:afterAutospacing="0" w:line="360" w:lineRule="auto"/>
              <w:ind w:left="0" w:right="0" w:firstLine="480" w:firstLineChars="200"/>
              <w:rPr>
                <w:rFonts w:hint="default" w:cs="Times New Roman"/>
                <w:b/>
                <w:color w:val="auto"/>
                <w:sz w:val="24"/>
                <w:highlight w:val="none"/>
              </w:rPr>
            </w:pPr>
            <w:r>
              <w:rPr>
                <w:rFonts w:hint="default" w:cs="Times New Roman"/>
                <w:color w:val="auto"/>
                <w:sz w:val="24"/>
              </w:rPr>
              <w:t>本项目总投资</w:t>
            </w:r>
            <w:r>
              <w:rPr>
                <w:rFonts w:hint="default" w:cs="Times New Roman"/>
                <w:color w:val="auto"/>
                <w:sz w:val="24"/>
                <w:highlight w:val="none"/>
              </w:rPr>
              <w:t>为</w:t>
            </w:r>
            <w:r>
              <w:rPr>
                <w:rFonts w:hint="eastAsia" w:cs="Times New Roman"/>
                <w:color w:val="auto"/>
                <w:sz w:val="24"/>
                <w:lang w:val="en-US" w:eastAsia="zh-CN"/>
              </w:rPr>
              <w:t>1257.</w:t>
            </w:r>
            <w:r>
              <w:rPr>
                <w:rFonts w:hint="eastAsia" w:cs="Times New Roman"/>
                <w:color w:val="auto"/>
                <w:sz w:val="24"/>
                <w:highlight w:val="none"/>
                <w:lang w:val="en-US" w:eastAsia="zh-CN"/>
              </w:rPr>
              <w:t>1万元</w:t>
            </w:r>
            <w:r>
              <w:rPr>
                <w:rFonts w:hint="default" w:cs="Times New Roman"/>
                <w:color w:val="auto"/>
                <w:sz w:val="24"/>
                <w:highlight w:val="none"/>
              </w:rPr>
              <w:t>，环保总投资合计</w:t>
            </w:r>
            <w:r>
              <w:rPr>
                <w:rFonts w:hint="eastAsia" w:cs="Times New Roman"/>
                <w:color w:val="auto"/>
                <w:sz w:val="24"/>
                <w:highlight w:val="none"/>
                <w:lang w:val="en-US" w:eastAsia="zh-CN"/>
              </w:rPr>
              <w:t>11</w:t>
            </w:r>
            <w:r>
              <w:rPr>
                <w:rFonts w:hint="default" w:cs="Times New Roman"/>
                <w:color w:val="auto"/>
                <w:sz w:val="24"/>
                <w:highlight w:val="none"/>
              </w:rPr>
              <w:t>万元，所占比例为</w:t>
            </w:r>
            <w:r>
              <w:rPr>
                <w:rFonts w:hint="eastAsia" w:cs="Times New Roman"/>
                <w:color w:val="auto"/>
                <w:sz w:val="24"/>
                <w:highlight w:val="none"/>
                <w:lang w:val="en-US" w:eastAsia="zh-CN"/>
              </w:rPr>
              <w:t>0.87</w:t>
            </w:r>
            <w:r>
              <w:rPr>
                <w:rFonts w:hint="default" w:cs="Times New Roman"/>
                <w:color w:val="auto"/>
                <w:sz w:val="24"/>
                <w:highlight w:val="none"/>
              </w:rPr>
              <w:t>%。环保投资概算见下</w:t>
            </w:r>
            <w:r>
              <w:rPr>
                <w:rFonts w:hint="eastAsia" w:cs="Times New Roman"/>
                <w:color w:val="auto"/>
                <w:sz w:val="24"/>
                <w:highlight w:val="none"/>
              </w:rPr>
              <w:t>表</w:t>
            </w:r>
            <w:r>
              <w:rPr>
                <w:rFonts w:hint="default" w:cs="Times New Roman"/>
                <w:color w:val="auto"/>
                <w:sz w:val="24"/>
                <w:highlight w:val="none"/>
              </w:rPr>
              <w:t>所示</w:t>
            </w:r>
            <w:r>
              <w:rPr>
                <w:rFonts w:hint="eastAsia" w:cs="Times New Roman"/>
                <w:color w:val="auto"/>
                <w:sz w:val="24"/>
                <w:highlight w:val="none"/>
              </w:rPr>
              <w:t>。</w:t>
            </w:r>
          </w:p>
          <w:p w14:paraId="573FB684">
            <w:pPr>
              <w:pStyle w:val="71"/>
              <w:keepNext w:val="0"/>
              <w:keepLines w:val="0"/>
              <w:numPr>
                <w:ilvl w:val="1"/>
                <w:numId w:val="4"/>
              </w:numPr>
              <w:suppressLineNumbers w:val="0"/>
              <w:tabs>
                <w:tab w:val="left" w:pos="1680"/>
                <w:tab w:val="clear" w:pos="1440"/>
              </w:tabs>
              <w:spacing w:before="0" w:beforeAutospacing="0" w:afterAutospacing="0" w:line="240" w:lineRule="auto"/>
              <w:ind w:left="3290" w:leftChars="0" w:right="0" w:hanging="1620" w:firstLineChars="0"/>
              <w:jc w:val="both"/>
              <w:rPr>
                <w:rFonts w:hint="default" w:cs="Times New Roman"/>
                <w:b/>
                <w:color w:val="auto"/>
                <w:sz w:val="24"/>
                <w:highlight w:val="none"/>
              </w:rPr>
            </w:pPr>
            <w:r>
              <w:rPr>
                <w:rFonts w:hint="default" w:cs="Times New Roman"/>
                <w:b/>
                <w:color w:val="auto"/>
                <w:sz w:val="24"/>
                <w:highlight w:val="none"/>
              </w:rPr>
              <w:t>建设项目</w:t>
            </w:r>
            <w:r>
              <w:rPr>
                <w:rFonts w:hint="eastAsia" w:cs="Times New Roman"/>
                <w:b/>
                <w:color w:val="auto"/>
                <w:sz w:val="24"/>
                <w:highlight w:val="none"/>
              </w:rPr>
              <w:t>环保投资估算</w:t>
            </w:r>
            <w:r>
              <w:rPr>
                <w:rFonts w:hint="default" w:cs="Times New Roman"/>
                <w:b/>
                <w:color w:val="auto"/>
                <w:sz w:val="24"/>
                <w:highlight w:val="none"/>
              </w:rPr>
              <w:t>一览表</w:t>
            </w:r>
          </w:p>
          <w:tbl>
            <w:tblPr>
              <w:tblStyle w:val="28"/>
              <w:tblW w:w="75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399"/>
              <w:gridCol w:w="1201"/>
              <w:gridCol w:w="2781"/>
              <w:gridCol w:w="1295"/>
            </w:tblGrid>
            <w:tr w14:paraId="78081F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01" w:type="dxa"/>
                  <w:noWrap w:val="0"/>
                  <w:vAlign w:val="center"/>
                </w:tcPr>
                <w:p w14:paraId="34FD7BBE">
                  <w:pPr>
                    <w:keepNext w:val="0"/>
                    <w:keepLines w:val="0"/>
                    <w:suppressLineNumbers w:val="0"/>
                    <w:adjustRightInd w:val="0"/>
                    <w:snapToGrid w:val="0"/>
                    <w:spacing w:before="0" w:beforeAutospacing="0" w:after="0" w:afterAutospacing="0"/>
                    <w:ind w:left="0" w:right="0"/>
                    <w:jc w:val="center"/>
                    <w:rPr>
                      <w:rFonts w:hint="default" w:cs="Times New Roman"/>
                      <w:b/>
                      <w:bCs/>
                      <w:color w:val="auto"/>
                      <w:szCs w:val="21"/>
                    </w:rPr>
                  </w:pPr>
                  <w:r>
                    <w:rPr>
                      <w:rFonts w:hint="default" w:cs="Times New Roman"/>
                      <w:b/>
                      <w:bCs/>
                      <w:color w:val="auto"/>
                      <w:szCs w:val="21"/>
                    </w:rPr>
                    <w:t>类型</w:t>
                  </w:r>
                </w:p>
              </w:tc>
              <w:tc>
                <w:tcPr>
                  <w:tcW w:w="1399" w:type="dxa"/>
                  <w:noWrap w:val="0"/>
                  <w:vAlign w:val="center"/>
                </w:tcPr>
                <w:p w14:paraId="04B164BD">
                  <w:pPr>
                    <w:keepNext w:val="0"/>
                    <w:keepLines w:val="0"/>
                    <w:suppressLineNumbers w:val="0"/>
                    <w:adjustRightInd w:val="0"/>
                    <w:snapToGrid w:val="0"/>
                    <w:spacing w:before="0" w:beforeAutospacing="0" w:after="0" w:afterAutospacing="0"/>
                    <w:ind w:left="0" w:right="0"/>
                    <w:jc w:val="center"/>
                    <w:rPr>
                      <w:rFonts w:hint="eastAsia" w:cs="Times New Roman"/>
                      <w:b/>
                      <w:bCs/>
                      <w:color w:val="auto"/>
                      <w:szCs w:val="21"/>
                    </w:rPr>
                  </w:pPr>
                  <w:r>
                    <w:rPr>
                      <w:rFonts w:hint="eastAsia" w:cs="Times New Roman"/>
                      <w:b/>
                      <w:bCs/>
                      <w:color w:val="auto"/>
                      <w:szCs w:val="21"/>
                    </w:rPr>
                    <w:t>污染源</w:t>
                  </w:r>
                </w:p>
              </w:tc>
              <w:tc>
                <w:tcPr>
                  <w:tcW w:w="1201" w:type="dxa"/>
                  <w:noWrap w:val="0"/>
                  <w:vAlign w:val="center"/>
                </w:tcPr>
                <w:p w14:paraId="0A822735">
                  <w:pPr>
                    <w:keepNext w:val="0"/>
                    <w:keepLines w:val="0"/>
                    <w:suppressLineNumbers w:val="0"/>
                    <w:adjustRightInd w:val="0"/>
                    <w:snapToGrid w:val="0"/>
                    <w:spacing w:before="0" w:beforeAutospacing="0" w:after="0" w:afterAutospacing="0"/>
                    <w:ind w:left="0" w:right="0"/>
                    <w:jc w:val="center"/>
                    <w:rPr>
                      <w:rFonts w:hint="default" w:cs="Times New Roman"/>
                      <w:b/>
                      <w:bCs/>
                      <w:color w:val="auto"/>
                      <w:szCs w:val="21"/>
                    </w:rPr>
                  </w:pPr>
                  <w:r>
                    <w:rPr>
                      <w:rFonts w:hint="eastAsia" w:cs="Times New Roman"/>
                      <w:b/>
                      <w:bCs/>
                      <w:color w:val="auto"/>
                      <w:szCs w:val="21"/>
                    </w:rPr>
                    <w:t>污染</w:t>
                  </w:r>
                  <w:r>
                    <w:rPr>
                      <w:rFonts w:hint="default" w:cs="Times New Roman"/>
                      <w:b/>
                      <w:bCs/>
                      <w:color w:val="auto"/>
                      <w:szCs w:val="21"/>
                    </w:rPr>
                    <w:t>因子</w:t>
                  </w:r>
                </w:p>
              </w:tc>
              <w:tc>
                <w:tcPr>
                  <w:tcW w:w="2781" w:type="dxa"/>
                  <w:noWrap w:val="0"/>
                  <w:vAlign w:val="center"/>
                </w:tcPr>
                <w:p w14:paraId="748646EA">
                  <w:pPr>
                    <w:keepNext w:val="0"/>
                    <w:keepLines w:val="0"/>
                    <w:suppressLineNumbers w:val="0"/>
                    <w:adjustRightInd w:val="0"/>
                    <w:snapToGrid w:val="0"/>
                    <w:spacing w:before="0" w:beforeAutospacing="0" w:after="0" w:afterAutospacing="0"/>
                    <w:ind w:left="0" w:right="0"/>
                    <w:jc w:val="center"/>
                    <w:rPr>
                      <w:rFonts w:hint="eastAsia" w:cs="Times New Roman"/>
                      <w:b/>
                      <w:bCs/>
                      <w:color w:val="auto"/>
                      <w:szCs w:val="21"/>
                    </w:rPr>
                  </w:pPr>
                  <w:r>
                    <w:rPr>
                      <w:rFonts w:hint="eastAsia" w:cs="Times New Roman"/>
                      <w:b/>
                      <w:bCs/>
                      <w:color w:val="auto"/>
                      <w:szCs w:val="21"/>
                    </w:rPr>
                    <w:t>环保措施</w:t>
                  </w:r>
                </w:p>
              </w:tc>
              <w:tc>
                <w:tcPr>
                  <w:tcW w:w="1295" w:type="dxa"/>
                  <w:noWrap w:val="0"/>
                  <w:vAlign w:val="center"/>
                </w:tcPr>
                <w:p w14:paraId="0F8C21B0">
                  <w:pPr>
                    <w:keepNext w:val="0"/>
                    <w:keepLines w:val="0"/>
                    <w:suppressLineNumbers w:val="0"/>
                    <w:adjustRightInd w:val="0"/>
                    <w:snapToGrid w:val="0"/>
                    <w:spacing w:before="0" w:beforeAutospacing="0" w:after="0" w:afterAutospacing="0"/>
                    <w:ind w:left="0" w:right="0"/>
                    <w:jc w:val="center"/>
                    <w:rPr>
                      <w:rFonts w:hint="default" w:cs="Times New Roman"/>
                      <w:b/>
                      <w:bCs/>
                      <w:color w:val="auto"/>
                      <w:szCs w:val="21"/>
                    </w:rPr>
                  </w:pPr>
                  <w:r>
                    <w:rPr>
                      <w:rFonts w:hint="default" w:cs="Times New Roman"/>
                      <w:b/>
                      <w:bCs/>
                      <w:color w:val="auto"/>
                      <w:szCs w:val="21"/>
                    </w:rPr>
                    <w:t>环保投资</w:t>
                  </w:r>
                </w:p>
                <w:p w14:paraId="4809876E">
                  <w:pPr>
                    <w:keepNext w:val="0"/>
                    <w:keepLines w:val="0"/>
                    <w:suppressLineNumbers w:val="0"/>
                    <w:adjustRightInd w:val="0"/>
                    <w:snapToGrid w:val="0"/>
                    <w:spacing w:before="0" w:beforeAutospacing="0" w:after="0" w:afterAutospacing="0"/>
                    <w:ind w:left="0" w:right="0"/>
                    <w:jc w:val="center"/>
                    <w:rPr>
                      <w:rFonts w:hint="default" w:cs="Times New Roman"/>
                      <w:b/>
                      <w:bCs/>
                      <w:color w:val="auto"/>
                      <w:szCs w:val="21"/>
                    </w:rPr>
                  </w:pPr>
                  <w:r>
                    <w:rPr>
                      <w:rFonts w:hint="default" w:cs="Times New Roman"/>
                      <w:b/>
                      <w:bCs/>
                      <w:color w:val="auto"/>
                      <w:szCs w:val="21"/>
                    </w:rPr>
                    <w:t>（万元）</w:t>
                  </w:r>
                </w:p>
              </w:tc>
            </w:tr>
            <w:tr w14:paraId="7EB50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01" w:type="dxa"/>
                  <w:vMerge w:val="restart"/>
                  <w:noWrap w:val="0"/>
                  <w:vAlign w:val="center"/>
                </w:tcPr>
                <w:p w14:paraId="30B91F0C">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rPr>
                  </w:pPr>
                  <w:r>
                    <w:rPr>
                      <w:rFonts w:hint="default" w:cs="Times New Roman"/>
                      <w:color w:val="auto"/>
                      <w:szCs w:val="21"/>
                    </w:rPr>
                    <w:t>废气</w:t>
                  </w:r>
                </w:p>
              </w:tc>
              <w:tc>
                <w:tcPr>
                  <w:tcW w:w="1399" w:type="dxa"/>
                  <w:noWrap w:val="0"/>
                  <w:vAlign w:val="center"/>
                </w:tcPr>
                <w:p w14:paraId="5BBCC8D3">
                  <w:pPr>
                    <w:keepNext w:val="0"/>
                    <w:keepLines w:val="0"/>
                    <w:suppressLineNumbers w:val="0"/>
                    <w:tabs>
                      <w:tab w:val="left" w:pos="3225"/>
                    </w:tabs>
                    <w:adjustRightInd w:val="0"/>
                    <w:snapToGrid w:val="0"/>
                    <w:spacing w:before="0" w:beforeAutospacing="0" w:after="0" w:afterAutospacing="0"/>
                    <w:ind w:left="0" w:right="0"/>
                    <w:jc w:val="center"/>
                    <w:rPr>
                      <w:rFonts w:hint="eastAsia" w:eastAsia="宋体" w:cs="Times New Roman"/>
                      <w:color w:val="auto"/>
                      <w:sz w:val="21"/>
                      <w:szCs w:val="21"/>
                      <w:lang w:eastAsia="zh-CN"/>
                    </w:rPr>
                  </w:pPr>
                  <w:r>
                    <w:rPr>
                      <w:rFonts w:hint="eastAsia" w:cs="Times New Roman"/>
                      <w:color w:val="auto"/>
                      <w:sz w:val="21"/>
                      <w:szCs w:val="21"/>
                      <w:lang w:eastAsia="zh-CN"/>
                    </w:rPr>
                    <w:t>施工期扬尘</w:t>
                  </w:r>
                </w:p>
              </w:tc>
              <w:tc>
                <w:tcPr>
                  <w:tcW w:w="1201" w:type="dxa"/>
                  <w:noWrap w:val="0"/>
                  <w:vAlign w:val="center"/>
                </w:tcPr>
                <w:p w14:paraId="1DFE7A13">
                  <w:pPr>
                    <w:keepNext w:val="0"/>
                    <w:keepLines w:val="0"/>
                    <w:suppressLineNumbers w:val="0"/>
                    <w:tabs>
                      <w:tab w:val="left" w:pos="3225"/>
                    </w:tabs>
                    <w:adjustRightInd w:val="0"/>
                    <w:snapToGrid w:val="0"/>
                    <w:spacing w:before="0" w:beforeAutospacing="0" w:after="0" w:afterAutospacing="0"/>
                    <w:ind w:left="0" w:right="0"/>
                    <w:jc w:val="center"/>
                    <w:rPr>
                      <w:rFonts w:hint="eastAsia" w:eastAsia="宋体" w:cs="Times New Roman"/>
                      <w:color w:val="auto"/>
                      <w:sz w:val="21"/>
                      <w:szCs w:val="21"/>
                      <w:lang w:val="en-US" w:eastAsia="zh-CN"/>
                    </w:rPr>
                  </w:pPr>
                  <w:r>
                    <w:rPr>
                      <w:rFonts w:hint="eastAsia" w:eastAsia="宋体" w:cs="Times New Roman"/>
                      <w:color w:val="auto"/>
                      <w:sz w:val="21"/>
                      <w:szCs w:val="21"/>
                      <w:lang w:eastAsia="zh-CN"/>
                    </w:rPr>
                    <w:t>颗粒物</w:t>
                  </w:r>
                </w:p>
              </w:tc>
              <w:tc>
                <w:tcPr>
                  <w:tcW w:w="2781" w:type="dxa"/>
                  <w:noWrap w:val="0"/>
                  <w:vAlign w:val="center"/>
                </w:tcPr>
                <w:p w14:paraId="37F4C7DB">
                  <w:pPr>
                    <w:keepNext w:val="0"/>
                    <w:keepLines w:val="0"/>
                    <w:suppressLineNumbers w:val="0"/>
                    <w:tabs>
                      <w:tab w:val="left" w:pos="3225"/>
                    </w:tabs>
                    <w:adjustRightInd w:val="0"/>
                    <w:snapToGrid w:val="0"/>
                    <w:spacing w:before="0" w:beforeAutospacing="0" w:after="0" w:afterAutospacing="0"/>
                    <w:ind w:left="0" w:right="0"/>
                    <w:jc w:val="center"/>
                    <w:rPr>
                      <w:rFonts w:hint="default" w:eastAsia="宋体" w:cs="Times New Roman"/>
                      <w:color w:val="auto"/>
                      <w:szCs w:val="21"/>
                      <w:lang w:val="en-US" w:eastAsia="zh-CN"/>
                    </w:rPr>
                  </w:pPr>
                  <w:r>
                    <w:rPr>
                      <w:rFonts w:hint="eastAsia" w:cs="Times New Roman"/>
                      <w:color w:val="auto"/>
                      <w:szCs w:val="21"/>
                      <w:lang w:val="en-US" w:eastAsia="zh-CN"/>
                    </w:rPr>
                    <w:t>施工场地洒水抑尘</w:t>
                  </w:r>
                </w:p>
              </w:tc>
              <w:tc>
                <w:tcPr>
                  <w:tcW w:w="1295" w:type="dxa"/>
                  <w:noWrap w:val="0"/>
                  <w:vAlign w:val="center"/>
                </w:tcPr>
                <w:p w14:paraId="317DB19F">
                  <w:pPr>
                    <w:keepNext w:val="0"/>
                    <w:keepLines w:val="0"/>
                    <w:widowControl/>
                    <w:suppressLineNumbers w:val="0"/>
                    <w:spacing w:before="0" w:beforeAutospacing="0" w:after="0" w:afterAutospacing="0"/>
                    <w:ind w:left="0" w:right="0"/>
                    <w:jc w:val="center"/>
                    <w:textAlignment w:val="center"/>
                    <w:rPr>
                      <w:rFonts w:hint="eastAsia" w:eastAsia="宋体" w:cs="Times New Roman"/>
                      <w:color w:val="auto"/>
                      <w:szCs w:val="21"/>
                      <w:lang w:eastAsia="zh-CN"/>
                    </w:rPr>
                  </w:pPr>
                  <w:r>
                    <w:rPr>
                      <w:rFonts w:hint="eastAsia" w:cs="Times New Roman"/>
                      <w:color w:val="auto"/>
                      <w:kern w:val="0"/>
                      <w:szCs w:val="21"/>
                      <w:lang w:val="en-US" w:eastAsia="zh-CN" w:bidi="ar"/>
                    </w:rPr>
                    <w:t>2</w:t>
                  </w:r>
                </w:p>
              </w:tc>
            </w:tr>
            <w:tr w14:paraId="625F2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901" w:type="dxa"/>
                  <w:vMerge w:val="continue"/>
                  <w:noWrap w:val="0"/>
                  <w:vAlign w:val="center"/>
                </w:tcPr>
                <w:p w14:paraId="0194553C">
                  <w:pPr>
                    <w:keepNext w:val="0"/>
                    <w:keepLines w:val="0"/>
                    <w:widowControl/>
                    <w:suppressLineNumbers w:val="0"/>
                    <w:spacing w:before="0" w:beforeAutospacing="0" w:after="0" w:afterAutospacing="0"/>
                    <w:ind w:left="0" w:right="0"/>
                    <w:jc w:val="center"/>
                    <w:textAlignment w:val="center"/>
                    <w:rPr>
                      <w:rFonts w:hint="default" w:cs="Times New Roman"/>
                      <w:color w:val="auto"/>
                    </w:rPr>
                  </w:pPr>
                </w:p>
              </w:tc>
              <w:tc>
                <w:tcPr>
                  <w:tcW w:w="1399" w:type="dxa"/>
                  <w:noWrap w:val="0"/>
                  <w:vAlign w:val="center"/>
                </w:tcPr>
                <w:p w14:paraId="00E6B129">
                  <w:pPr>
                    <w:keepNext w:val="0"/>
                    <w:keepLines w:val="0"/>
                    <w:widowControl/>
                    <w:suppressLineNumbers w:val="0"/>
                    <w:spacing w:before="0" w:beforeAutospacing="0" w:after="0" w:afterAutospacing="0"/>
                    <w:ind w:left="0" w:right="0"/>
                    <w:jc w:val="center"/>
                    <w:textAlignment w:val="center"/>
                    <w:rPr>
                      <w:rFonts w:hint="eastAsia" w:cs="Times New Roman"/>
                      <w:color w:val="auto"/>
                      <w:sz w:val="21"/>
                      <w:szCs w:val="21"/>
                      <w:lang w:eastAsia="zh-CN"/>
                    </w:rPr>
                  </w:pPr>
                  <w:r>
                    <w:rPr>
                      <w:rFonts w:hint="eastAsia" w:cs="Times New Roman"/>
                      <w:color w:val="auto"/>
                      <w:sz w:val="21"/>
                      <w:szCs w:val="21"/>
                      <w:lang w:eastAsia="zh-CN"/>
                    </w:rPr>
                    <w:t>施工期机械尾气</w:t>
                  </w:r>
                </w:p>
              </w:tc>
              <w:tc>
                <w:tcPr>
                  <w:tcW w:w="1201" w:type="dxa"/>
                  <w:noWrap w:val="0"/>
                  <w:vAlign w:val="center"/>
                </w:tcPr>
                <w:p w14:paraId="522FF893">
                  <w:pPr>
                    <w:keepNext w:val="0"/>
                    <w:keepLines w:val="0"/>
                    <w:widowControl/>
                    <w:suppressLineNumbers w:val="0"/>
                    <w:spacing w:before="0" w:beforeAutospacing="0" w:after="0" w:afterAutospacing="0"/>
                    <w:ind w:left="0" w:right="0"/>
                    <w:jc w:val="center"/>
                    <w:textAlignment w:val="center"/>
                    <w:rPr>
                      <w:rFonts w:hint="eastAsia" w:eastAsia="宋体" w:cs="Times New Roman"/>
                      <w:color w:val="auto"/>
                      <w:sz w:val="21"/>
                      <w:szCs w:val="21"/>
                      <w:lang w:val="en-US" w:eastAsia="zh-CN"/>
                    </w:rPr>
                  </w:pPr>
                  <w:r>
                    <w:rPr>
                      <w:rFonts w:hint="eastAsia" w:cs="Times New Roman"/>
                      <w:color w:val="auto"/>
                      <w:sz w:val="21"/>
                      <w:szCs w:val="21"/>
                      <w:lang w:val="en-US" w:eastAsia="zh-CN"/>
                    </w:rPr>
                    <w:t>CH、CO、氮氧化物</w:t>
                  </w:r>
                </w:p>
              </w:tc>
              <w:tc>
                <w:tcPr>
                  <w:tcW w:w="2781" w:type="dxa"/>
                  <w:noWrap w:val="0"/>
                  <w:vAlign w:val="center"/>
                </w:tcPr>
                <w:p w14:paraId="66113073">
                  <w:pPr>
                    <w:keepNext w:val="0"/>
                    <w:keepLines w:val="0"/>
                    <w:widowControl/>
                    <w:suppressLineNumbers w:val="0"/>
                    <w:spacing w:before="0" w:beforeAutospacing="0" w:after="0" w:afterAutospacing="0"/>
                    <w:ind w:left="0" w:right="0"/>
                    <w:jc w:val="left"/>
                    <w:rPr>
                      <w:rFonts w:hint="eastAsia" w:cs="Times New Roman"/>
                      <w:color w:val="auto"/>
                      <w:szCs w:val="21"/>
                      <w:lang w:eastAsia="zh-CN"/>
                    </w:rPr>
                  </w:pPr>
                  <w:r>
                    <w:rPr>
                      <w:rFonts w:hint="eastAsia" w:ascii="Times New Roman" w:hAnsi="Times New Roman" w:eastAsia="宋体" w:cs="Times New Roman"/>
                      <w:color w:val="auto"/>
                      <w:szCs w:val="21"/>
                      <w:lang w:val="en-US" w:eastAsia="zh-CN"/>
                    </w:rPr>
                    <w:t>选用环保型施工机械</w:t>
                  </w:r>
                </w:p>
              </w:tc>
              <w:tc>
                <w:tcPr>
                  <w:tcW w:w="1295" w:type="dxa"/>
                  <w:noWrap w:val="0"/>
                  <w:vAlign w:val="center"/>
                </w:tcPr>
                <w:p w14:paraId="38ED48D7">
                  <w:pPr>
                    <w:keepNext w:val="0"/>
                    <w:keepLines w:val="0"/>
                    <w:widowControl/>
                    <w:suppressLineNumbers w:val="0"/>
                    <w:spacing w:before="0" w:beforeAutospacing="0" w:after="0" w:afterAutospacing="0"/>
                    <w:ind w:left="0" w:right="0"/>
                    <w:jc w:val="center"/>
                    <w:textAlignment w:val="center"/>
                    <w:rPr>
                      <w:rFonts w:hint="default" w:cs="Times New Roman"/>
                      <w:color w:val="auto"/>
                      <w:szCs w:val="21"/>
                      <w:lang w:val="en-US" w:eastAsia="zh-CN"/>
                    </w:rPr>
                  </w:pPr>
                  <w:r>
                    <w:rPr>
                      <w:rFonts w:hint="eastAsia" w:cs="Times New Roman"/>
                      <w:color w:val="auto"/>
                      <w:szCs w:val="21"/>
                      <w:lang w:val="en-US" w:eastAsia="zh-CN"/>
                    </w:rPr>
                    <w:t>0</w:t>
                  </w:r>
                </w:p>
              </w:tc>
            </w:tr>
            <w:tr w14:paraId="3B6313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01" w:type="dxa"/>
                  <w:noWrap w:val="0"/>
                  <w:vAlign w:val="center"/>
                </w:tcPr>
                <w:p w14:paraId="529A275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废水</w:t>
                  </w:r>
                </w:p>
              </w:tc>
              <w:tc>
                <w:tcPr>
                  <w:tcW w:w="1399" w:type="dxa"/>
                  <w:noWrap w:val="0"/>
                  <w:vAlign w:val="center"/>
                </w:tcPr>
                <w:p w14:paraId="7883516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循环水系统定期排污水</w:t>
                  </w:r>
                </w:p>
              </w:tc>
              <w:tc>
                <w:tcPr>
                  <w:tcW w:w="1201" w:type="dxa"/>
                  <w:noWrap w:val="0"/>
                  <w:vAlign w:val="center"/>
                </w:tcPr>
                <w:p w14:paraId="39D4D4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SS、TDS</w:t>
                  </w:r>
                </w:p>
              </w:tc>
              <w:tc>
                <w:tcPr>
                  <w:tcW w:w="2781" w:type="dxa"/>
                  <w:noWrap w:val="0"/>
                  <w:vAlign w:val="center"/>
                </w:tcPr>
                <w:p w14:paraId="17C0BE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依托现有矿井水处理站处理</w:t>
                  </w:r>
                </w:p>
              </w:tc>
              <w:tc>
                <w:tcPr>
                  <w:tcW w:w="1295" w:type="dxa"/>
                  <w:noWrap w:val="0"/>
                  <w:vAlign w:val="center"/>
                </w:tcPr>
                <w:p w14:paraId="53664D27">
                  <w:pPr>
                    <w:keepNext w:val="0"/>
                    <w:keepLines w:val="0"/>
                    <w:widowControl/>
                    <w:suppressLineNumbers w:val="0"/>
                    <w:spacing w:before="0" w:beforeAutospacing="0" w:after="0" w:afterAutospacing="0"/>
                    <w:ind w:left="0" w:right="0"/>
                    <w:jc w:val="center"/>
                    <w:textAlignment w:val="center"/>
                    <w:rPr>
                      <w:rFonts w:hint="default" w:eastAsia="宋体" w:cs="Times New Roman"/>
                      <w:color w:val="auto"/>
                      <w:szCs w:val="21"/>
                      <w:lang w:val="en-US" w:eastAsia="zh-CN"/>
                    </w:rPr>
                  </w:pPr>
                  <w:r>
                    <w:rPr>
                      <w:rFonts w:hint="eastAsia" w:eastAsia="宋体" w:cs="Times New Roman"/>
                      <w:color w:val="auto"/>
                      <w:szCs w:val="21"/>
                      <w:lang w:val="en-US" w:eastAsia="zh-CN"/>
                    </w:rPr>
                    <w:t>2</w:t>
                  </w:r>
                </w:p>
              </w:tc>
            </w:tr>
            <w:tr w14:paraId="48169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01" w:type="dxa"/>
                  <w:noWrap w:val="0"/>
                  <w:vAlign w:val="center"/>
                </w:tcPr>
                <w:p w14:paraId="05180F96">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rPr>
                  </w:pPr>
                  <w:r>
                    <w:rPr>
                      <w:rFonts w:hint="default" w:cs="Times New Roman"/>
                      <w:color w:val="auto"/>
                      <w:szCs w:val="21"/>
                    </w:rPr>
                    <w:t>噪声</w:t>
                  </w:r>
                </w:p>
              </w:tc>
              <w:tc>
                <w:tcPr>
                  <w:tcW w:w="1399" w:type="dxa"/>
                  <w:noWrap w:val="0"/>
                  <w:vAlign w:val="center"/>
                </w:tcPr>
                <w:p w14:paraId="6153D453">
                  <w:pPr>
                    <w:keepNext w:val="0"/>
                    <w:keepLines w:val="0"/>
                    <w:suppressLineNumbers w:val="0"/>
                    <w:adjustRightInd w:val="0"/>
                    <w:snapToGrid w:val="0"/>
                    <w:spacing w:before="0" w:beforeAutospacing="0" w:after="0" w:afterAutospacing="0"/>
                    <w:ind w:left="0" w:right="0"/>
                    <w:jc w:val="center"/>
                    <w:rPr>
                      <w:rFonts w:hint="default" w:cs="Times New Roman"/>
                      <w:color w:val="auto"/>
                      <w:sz w:val="21"/>
                      <w:szCs w:val="21"/>
                    </w:rPr>
                  </w:pPr>
                  <w:r>
                    <w:rPr>
                      <w:rFonts w:hint="eastAsia" w:cs="Times New Roman"/>
                      <w:color w:val="auto"/>
                      <w:sz w:val="21"/>
                      <w:szCs w:val="21"/>
                      <w:lang w:eastAsia="zh-CN"/>
                    </w:rPr>
                    <w:t>各类泵</w:t>
                  </w:r>
                  <w:r>
                    <w:rPr>
                      <w:rFonts w:hint="eastAsia" w:cs="Times New Roman"/>
                      <w:color w:val="auto"/>
                      <w:sz w:val="21"/>
                      <w:szCs w:val="21"/>
                    </w:rPr>
                    <w:t>等</w:t>
                  </w:r>
                </w:p>
              </w:tc>
              <w:tc>
                <w:tcPr>
                  <w:tcW w:w="1201" w:type="dxa"/>
                  <w:noWrap w:val="0"/>
                  <w:vAlign w:val="center"/>
                </w:tcPr>
                <w:p w14:paraId="051CB8F7">
                  <w:pPr>
                    <w:keepNext w:val="0"/>
                    <w:keepLines w:val="0"/>
                    <w:suppressLineNumbers w:val="0"/>
                    <w:adjustRightInd w:val="0"/>
                    <w:snapToGrid w:val="0"/>
                    <w:spacing w:before="0" w:beforeAutospacing="0" w:after="0" w:afterAutospacing="0"/>
                    <w:ind w:left="0" w:right="0"/>
                    <w:jc w:val="center"/>
                    <w:rPr>
                      <w:rFonts w:hint="default" w:cs="Times New Roman"/>
                      <w:color w:val="auto"/>
                      <w:sz w:val="21"/>
                      <w:szCs w:val="21"/>
                    </w:rPr>
                  </w:pPr>
                  <w:r>
                    <w:rPr>
                      <w:rFonts w:hint="default" w:cs="Times New Roman"/>
                      <w:color w:val="auto"/>
                      <w:sz w:val="21"/>
                      <w:szCs w:val="21"/>
                    </w:rPr>
                    <w:t>Leq(A)</w:t>
                  </w:r>
                </w:p>
              </w:tc>
              <w:tc>
                <w:tcPr>
                  <w:tcW w:w="2781" w:type="dxa"/>
                  <w:noWrap w:val="0"/>
                  <w:vAlign w:val="center"/>
                </w:tcPr>
                <w:p w14:paraId="535BE59D">
                  <w:pPr>
                    <w:keepNext w:val="0"/>
                    <w:keepLines w:val="0"/>
                    <w:suppressLineNumbers w:val="0"/>
                    <w:adjustRightInd w:val="0"/>
                    <w:snapToGrid w:val="0"/>
                    <w:spacing w:before="0" w:beforeAutospacing="0" w:after="0" w:afterAutospacing="0"/>
                    <w:ind w:left="0" w:right="0"/>
                    <w:jc w:val="center"/>
                    <w:rPr>
                      <w:rFonts w:hint="eastAsia" w:eastAsia="宋体" w:cs="Times New Roman"/>
                      <w:color w:val="auto"/>
                      <w:szCs w:val="21"/>
                      <w:lang w:eastAsia="zh-CN"/>
                    </w:rPr>
                  </w:pPr>
                  <w:r>
                    <w:rPr>
                      <w:rFonts w:hint="default" w:cs="Times New Roman"/>
                      <w:color w:val="auto"/>
                      <w:szCs w:val="21"/>
                    </w:rPr>
                    <w:t>合理选型、基础减振</w:t>
                  </w:r>
                  <w:r>
                    <w:rPr>
                      <w:rFonts w:hint="eastAsia" w:cs="Times New Roman"/>
                      <w:color w:val="auto"/>
                      <w:szCs w:val="21"/>
                      <w:lang w:eastAsia="zh-CN"/>
                    </w:rPr>
                    <w:t>、厂房隔声</w:t>
                  </w:r>
                </w:p>
              </w:tc>
              <w:tc>
                <w:tcPr>
                  <w:tcW w:w="1295" w:type="dxa"/>
                  <w:noWrap w:val="0"/>
                  <w:vAlign w:val="center"/>
                </w:tcPr>
                <w:p w14:paraId="2D61E374">
                  <w:pPr>
                    <w:keepNext w:val="0"/>
                    <w:keepLines w:val="0"/>
                    <w:widowControl/>
                    <w:suppressLineNumbers w:val="0"/>
                    <w:spacing w:before="0" w:beforeAutospacing="0" w:after="0" w:afterAutospacing="0"/>
                    <w:ind w:left="0" w:right="0"/>
                    <w:jc w:val="center"/>
                    <w:textAlignment w:val="center"/>
                    <w:rPr>
                      <w:rFonts w:hint="default" w:eastAsia="宋体" w:cs="Times New Roman"/>
                      <w:color w:val="auto"/>
                      <w:szCs w:val="21"/>
                      <w:lang w:val="en-US" w:eastAsia="zh-CN"/>
                    </w:rPr>
                  </w:pPr>
                  <w:r>
                    <w:rPr>
                      <w:rFonts w:hint="eastAsia" w:eastAsia="宋体" w:cs="Times New Roman"/>
                      <w:color w:val="auto"/>
                      <w:szCs w:val="21"/>
                      <w:lang w:val="en-US" w:eastAsia="zh-CN"/>
                    </w:rPr>
                    <w:t>5</w:t>
                  </w:r>
                </w:p>
              </w:tc>
            </w:tr>
            <w:tr w14:paraId="023ED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1" w:type="dxa"/>
                  <w:vMerge w:val="restart"/>
                  <w:noWrap w:val="0"/>
                  <w:vAlign w:val="center"/>
                </w:tcPr>
                <w:p w14:paraId="65A02F5C">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rPr>
                  </w:pPr>
                  <w:r>
                    <w:rPr>
                      <w:rFonts w:hint="eastAsia" w:cs="Times New Roman"/>
                      <w:color w:val="auto"/>
                      <w:szCs w:val="21"/>
                      <w:lang w:eastAsia="zh-CN"/>
                    </w:rPr>
                    <w:t>固体废物</w:t>
                  </w:r>
                </w:p>
              </w:tc>
              <w:tc>
                <w:tcPr>
                  <w:tcW w:w="1399" w:type="dxa"/>
                  <w:noWrap w:val="0"/>
                  <w:vAlign w:val="center"/>
                </w:tcPr>
                <w:p w14:paraId="533F661B">
                  <w:pPr>
                    <w:keepNext w:val="0"/>
                    <w:keepLines w:val="0"/>
                    <w:suppressLineNumbers w:val="0"/>
                    <w:tabs>
                      <w:tab w:val="left" w:pos="3225"/>
                    </w:tabs>
                    <w:adjustRightInd w:val="0"/>
                    <w:snapToGrid w:val="0"/>
                    <w:spacing w:before="0" w:beforeAutospacing="0" w:after="0" w:afterAutospacing="0"/>
                    <w:ind w:left="0" w:right="0"/>
                    <w:jc w:val="center"/>
                    <w:rPr>
                      <w:rFonts w:hint="eastAsia" w:cs="Times New Roman"/>
                      <w:snapToGrid w:val="0"/>
                      <w:color w:val="auto"/>
                      <w:kern w:val="2"/>
                      <w:sz w:val="21"/>
                      <w:szCs w:val="21"/>
                      <w:lang w:val="en-US" w:eastAsia="zh-CN" w:bidi="ar-SA"/>
                    </w:rPr>
                  </w:pPr>
                  <w:r>
                    <w:rPr>
                      <w:rFonts w:hint="eastAsia" w:cs="Times New Roman"/>
                      <w:snapToGrid w:val="0"/>
                      <w:color w:val="auto"/>
                      <w:sz w:val="21"/>
                      <w:szCs w:val="21"/>
                    </w:rPr>
                    <w:t>生产设备</w:t>
                  </w:r>
                </w:p>
              </w:tc>
              <w:tc>
                <w:tcPr>
                  <w:tcW w:w="1201" w:type="dxa"/>
                  <w:noWrap w:val="0"/>
                  <w:vAlign w:val="center"/>
                </w:tcPr>
                <w:p w14:paraId="5EEBAFFF">
                  <w:pPr>
                    <w:keepNext w:val="0"/>
                    <w:keepLines w:val="0"/>
                    <w:suppressLineNumbers w:val="0"/>
                    <w:tabs>
                      <w:tab w:val="left" w:pos="3225"/>
                    </w:tabs>
                    <w:adjustRightInd w:val="0"/>
                    <w:snapToGrid w:val="0"/>
                    <w:spacing w:before="0" w:beforeAutospacing="0" w:after="0" w:afterAutospacing="0"/>
                    <w:ind w:left="0" w:right="0"/>
                    <w:jc w:val="center"/>
                    <w:rPr>
                      <w:rFonts w:hint="eastAsia" w:cs="Times New Roman"/>
                      <w:color w:val="auto"/>
                      <w:kern w:val="2"/>
                      <w:sz w:val="21"/>
                      <w:szCs w:val="21"/>
                      <w:lang w:val="en-US" w:eastAsia="zh-CN" w:bidi="ar-SA"/>
                    </w:rPr>
                  </w:pPr>
                  <w:r>
                    <w:rPr>
                      <w:rFonts w:hint="eastAsia" w:cs="Times New Roman"/>
                      <w:color w:val="auto"/>
                      <w:sz w:val="21"/>
                      <w:szCs w:val="21"/>
                    </w:rPr>
                    <w:t>废润滑油</w:t>
                  </w:r>
                </w:p>
              </w:tc>
              <w:tc>
                <w:tcPr>
                  <w:tcW w:w="2781" w:type="dxa"/>
                  <w:vMerge w:val="restart"/>
                  <w:noWrap w:val="0"/>
                  <w:vAlign w:val="center"/>
                </w:tcPr>
                <w:p w14:paraId="4F37141E">
                  <w:pPr>
                    <w:keepNext w:val="0"/>
                    <w:keepLines w:val="0"/>
                    <w:suppressLineNumbers w:val="0"/>
                    <w:adjustRightInd w:val="0"/>
                    <w:snapToGrid w:val="0"/>
                    <w:spacing w:before="0" w:beforeAutospacing="0" w:after="0" w:afterAutospacing="0"/>
                    <w:ind w:left="0" w:right="0"/>
                    <w:jc w:val="center"/>
                    <w:rPr>
                      <w:rFonts w:hint="eastAsia" w:cs="Times New Roman"/>
                      <w:color w:val="auto"/>
                      <w:szCs w:val="21"/>
                    </w:rPr>
                  </w:pPr>
                  <w:r>
                    <w:rPr>
                      <w:rFonts w:hint="eastAsia" w:cs="Times New Roman"/>
                      <w:color w:val="auto"/>
                      <w:szCs w:val="21"/>
                      <w:lang w:eastAsia="zh-CN"/>
                    </w:rPr>
                    <w:t>危废</w:t>
                  </w:r>
                  <w:r>
                    <w:rPr>
                      <w:rFonts w:hint="eastAsia" w:cs="Times New Roman"/>
                      <w:color w:val="auto"/>
                      <w:szCs w:val="21"/>
                      <w:lang w:val="en-US" w:eastAsia="zh-CN"/>
                    </w:rPr>
                    <w:t>暂存间、</w:t>
                  </w:r>
                  <w:r>
                    <w:rPr>
                      <w:rFonts w:hint="eastAsia" w:cs="Times New Roman"/>
                      <w:color w:val="auto"/>
                      <w:szCs w:val="21"/>
                    </w:rPr>
                    <w:t>委托有资质单位处理</w:t>
                  </w:r>
                </w:p>
                <w:p w14:paraId="5C624E3A">
                  <w:pPr>
                    <w:keepNext w:val="0"/>
                    <w:keepLines w:val="0"/>
                    <w:suppressLineNumbers w:val="0"/>
                    <w:adjustRightInd w:val="0"/>
                    <w:snapToGrid w:val="0"/>
                    <w:spacing w:before="0" w:beforeAutospacing="0" w:after="0" w:afterAutospacing="0"/>
                    <w:ind w:left="0" w:right="0"/>
                    <w:jc w:val="center"/>
                    <w:rPr>
                      <w:rFonts w:hint="eastAsia" w:cs="Times New Roman"/>
                      <w:color w:val="auto"/>
                      <w:szCs w:val="21"/>
                    </w:rPr>
                  </w:pPr>
                </w:p>
              </w:tc>
              <w:tc>
                <w:tcPr>
                  <w:tcW w:w="1295" w:type="dxa"/>
                  <w:vMerge w:val="restart"/>
                  <w:noWrap w:val="0"/>
                  <w:vAlign w:val="center"/>
                </w:tcPr>
                <w:p w14:paraId="25E2C3F5">
                  <w:pPr>
                    <w:keepNext w:val="0"/>
                    <w:keepLines w:val="0"/>
                    <w:widowControl/>
                    <w:suppressLineNumbers w:val="0"/>
                    <w:spacing w:before="0" w:beforeAutospacing="0" w:after="0" w:afterAutospacing="0"/>
                    <w:ind w:left="0" w:right="0"/>
                    <w:jc w:val="center"/>
                    <w:textAlignment w:val="center"/>
                    <w:rPr>
                      <w:rFonts w:hint="eastAsia" w:eastAsia="宋体" w:cs="Times New Roman"/>
                      <w:color w:val="auto"/>
                      <w:szCs w:val="21"/>
                      <w:lang w:val="en-US" w:eastAsia="zh-CN"/>
                    </w:rPr>
                  </w:pPr>
                  <w:r>
                    <w:rPr>
                      <w:rFonts w:hint="eastAsia" w:cs="Times New Roman"/>
                      <w:color w:val="auto"/>
                      <w:szCs w:val="21"/>
                      <w:lang w:val="en-US" w:eastAsia="zh-CN"/>
                    </w:rPr>
                    <w:t>2</w:t>
                  </w:r>
                </w:p>
              </w:tc>
            </w:tr>
            <w:tr w14:paraId="1E83B4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1" w:type="dxa"/>
                  <w:vMerge w:val="continue"/>
                  <w:noWrap w:val="0"/>
                  <w:vAlign w:val="center"/>
                </w:tcPr>
                <w:p w14:paraId="29BA6E37">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rPr>
                  </w:pPr>
                </w:p>
              </w:tc>
              <w:tc>
                <w:tcPr>
                  <w:tcW w:w="1399" w:type="dxa"/>
                  <w:noWrap w:val="0"/>
                  <w:vAlign w:val="center"/>
                </w:tcPr>
                <w:p w14:paraId="0FDE2862">
                  <w:pPr>
                    <w:keepNext w:val="0"/>
                    <w:keepLines w:val="0"/>
                    <w:suppressLineNumbers w:val="0"/>
                    <w:tabs>
                      <w:tab w:val="left" w:pos="3225"/>
                    </w:tabs>
                    <w:adjustRightInd w:val="0"/>
                    <w:snapToGrid w:val="0"/>
                    <w:spacing w:before="0" w:beforeAutospacing="0" w:after="0" w:afterAutospacing="0"/>
                    <w:ind w:left="0" w:right="0"/>
                    <w:jc w:val="center"/>
                    <w:rPr>
                      <w:rFonts w:hint="eastAsia" w:cs="Times New Roman"/>
                      <w:color w:val="auto"/>
                      <w:kern w:val="2"/>
                      <w:sz w:val="21"/>
                      <w:szCs w:val="21"/>
                      <w:lang w:val="en-US" w:eastAsia="zh-CN" w:bidi="ar-SA"/>
                    </w:rPr>
                  </w:pPr>
                  <w:r>
                    <w:rPr>
                      <w:rFonts w:hint="eastAsia" w:cs="Times New Roman"/>
                      <w:snapToGrid w:val="0"/>
                      <w:color w:val="auto"/>
                      <w:sz w:val="21"/>
                      <w:szCs w:val="21"/>
                    </w:rPr>
                    <w:t>生产设备</w:t>
                  </w:r>
                </w:p>
              </w:tc>
              <w:tc>
                <w:tcPr>
                  <w:tcW w:w="1201" w:type="dxa"/>
                  <w:noWrap w:val="0"/>
                  <w:vAlign w:val="center"/>
                </w:tcPr>
                <w:p w14:paraId="2F0575ED">
                  <w:pPr>
                    <w:keepNext w:val="0"/>
                    <w:keepLines w:val="0"/>
                    <w:suppressLineNumbers w:val="0"/>
                    <w:tabs>
                      <w:tab w:val="left" w:pos="3225"/>
                    </w:tabs>
                    <w:adjustRightInd w:val="0"/>
                    <w:snapToGrid w:val="0"/>
                    <w:spacing w:before="0" w:beforeAutospacing="0" w:after="0" w:afterAutospacing="0"/>
                    <w:ind w:left="0" w:right="0"/>
                    <w:jc w:val="center"/>
                    <w:rPr>
                      <w:rFonts w:hint="eastAsia" w:eastAsia="宋体" w:cs="Times New Roman"/>
                      <w:color w:val="auto"/>
                      <w:kern w:val="2"/>
                      <w:sz w:val="21"/>
                      <w:szCs w:val="21"/>
                      <w:lang w:val="en-US" w:eastAsia="zh-CN" w:bidi="ar-SA"/>
                    </w:rPr>
                  </w:pPr>
                  <w:r>
                    <w:rPr>
                      <w:rFonts w:hint="eastAsia" w:cs="Times New Roman"/>
                      <w:color w:val="auto"/>
                      <w:sz w:val="21"/>
                      <w:szCs w:val="21"/>
                    </w:rPr>
                    <w:t>废油桶</w:t>
                  </w:r>
                  <w:r>
                    <w:rPr>
                      <w:rFonts w:hint="eastAsia" w:cs="Times New Roman"/>
                      <w:color w:val="auto"/>
                      <w:sz w:val="21"/>
                      <w:szCs w:val="21"/>
                      <w:lang w:eastAsia="zh-CN"/>
                    </w:rPr>
                    <w:t>、</w:t>
                  </w:r>
                </w:p>
              </w:tc>
              <w:tc>
                <w:tcPr>
                  <w:tcW w:w="2781" w:type="dxa"/>
                  <w:vMerge w:val="continue"/>
                  <w:noWrap w:val="0"/>
                  <w:vAlign w:val="center"/>
                </w:tcPr>
                <w:p w14:paraId="2656C7FB">
                  <w:pPr>
                    <w:keepNext w:val="0"/>
                    <w:keepLines w:val="0"/>
                    <w:suppressLineNumbers w:val="0"/>
                    <w:adjustRightInd w:val="0"/>
                    <w:snapToGrid w:val="0"/>
                    <w:spacing w:before="0" w:beforeAutospacing="0" w:after="0" w:afterAutospacing="0"/>
                    <w:ind w:left="0" w:right="0"/>
                    <w:jc w:val="center"/>
                    <w:rPr>
                      <w:rFonts w:hint="default" w:cs="Times New Roman"/>
                      <w:snapToGrid w:val="0"/>
                      <w:color w:val="auto"/>
                      <w:kern w:val="0"/>
                      <w:szCs w:val="21"/>
                    </w:rPr>
                  </w:pPr>
                </w:p>
              </w:tc>
              <w:tc>
                <w:tcPr>
                  <w:tcW w:w="1295" w:type="dxa"/>
                  <w:vMerge w:val="continue"/>
                  <w:noWrap w:val="0"/>
                  <w:vAlign w:val="center"/>
                </w:tcPr>
                <w:p w14:paraId="553508C5">
                  <w:pPr>
                    <w:keepNext w:val="0"/>
                    <w:keepLines w:val="0"/>
                    <w:widowControl/>
                    <w:suppressLineNumbers w:val="0"/>
                    <w:spacing w:before="0" w:beforeAutospacing="0" w:after="0" w:afterAutospacing="0"/>
                    <w:ind w:left="0" w:right="0"/>
                    <w:jc w:val="center"/>
                    <w:textAlignment w:val="center"/>
                    <w:rPr>
                      <w:rFonts w:hint="eastAsia" w:cs="Times New Roman"/>
                      <w:color w:val="auto"/>
                      <w:szCs w:val="21"/>
                    </w:rPr>
                  </w:pPr>
                </w:p>
              </w:tc>
            </w:tr>
            <w:tr w14:paraId="4E8C0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1" w:type="dxa"/>
                  <w:vMerge w:val="continue"/>
                  <w:noWrap w:val="0"/>
                  <w:vAlign w:val="center"/>
                </w:tcPr>
                <w:p w14:paraId="6E92EFFA">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rPr>
                  </w:pPr>
                </w:p>
              </w:tc>
              <w:tc>
                <w:tcPr>
                  <w:tcW w:w="1399" w:type="dxa"/>
                  <w:noWrap w:val="0"/>
                  <w:vAlign w:val="center"/>
                </w:tcPr>
                <w:p w14:paraId="6C2DF1F4">
                  <w:pPr>
                    <w:keepNext w:val="0"/>
                    <w:keepLines w:val="0"/>
                    <w:suppressLineNumbers w:val="0"/>
                    <w:tabs>
                      <w:tab w:val="left" w:pos="3225"/>
                    </w:tabs>
                    <w:adjustRightInd w:val="0"/>
                    <w:snapToGrid w:val="0"/>
                    <w:spacing w:before="0" w:beforeAutospacing="0" w:after="0" w:afterAutospacing="0"/>
                    <w:ind w:left="0" w:right="0"/>
                    <w:jc w:val="center"/>
                    <w:rPr>
                      <w:rFonts w:hint="eastAsia" w:ascii="Times New Roman" w:hAnsi="Times New Roman" w:eastAsia="宋体" w:cs="Times New Roman"/>
                      <w:snapToGrid w:val="0"/>
                      <w:color w:val="auto"/>
                      <w:kern w:val="2"/>
                      <w:sz w:val="21"/>
                      <w:szCs w:val="21"/>
                      <w:lang w:val="en-US" w:eastAsia="zh-CN" w:bidi="ar-SA"/>
                    </w:rPr>
                  </w:pPr>
                  <w:r>
                    <w:rPr>
                      <w:rFonts w:hint="eastAsia" w:cs="Times New Roman"/>
                      <w:snapToGrid w:val="0"/>
                      <w:color w:val="auto"/>
                      <w:szCs w:val="21"/>
                    </w:rPr>
                    <w:t>生产设备</w:t>
                  </w:r>
                </w:p>
              </w:tc>
              <w:tc>
                <w:tcPr>
                  <w:tcW w:w="1201" w:type="dxa"/>
                  <w:noWrap w:val="0"/>
                  <w:vAlign w:val="center"/>
                </w:tcPr>
                <w:p w14:paraId="101D2F60">
                  <w:pPr>
                    <w:keepNext w:val="0"/>
                    <w:keepLines w:val="0"/>
                    <w:suppressLineNumbers w:val="0"/>
                    <w:tabs>
                      <w:tab w:val="left" w:pos="3225"/>
                    </w:tabs>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Cs w:val="21"/>
                      <w:lang w:eastAsia="zh-CN"/>
                    </w:rPr>
                    <w:t>含油抹布</w:t>
                  </w:r>
                </w:p>
              </w:tc>
              <w:tc>
                <w:tcPr>
                  <w:tcW w:w="2781" w:type="dxa"/>
                  <w:vMerge w:val="continue"/>
                  <w:noWrap w:val="0"/>
                  <w:vAlign w:val="center"/>
                </w:tcPr>
                <w:p w14:paraId="33FFB6BA">
                  <w:pPr>
                    <w:keepNext w:val="0"/>
                    <w:keepLines w:val="0"/>
                    <w:suppressLineNumbers w:val="0"/>
                    <w:adjustRightInd w:val="0"/>
                    <w:snapToGrid w:val="0"/>
                    <w:spacing w:before="0" w:beforeAutospacing="0" w:after="0" w:afterAutospacing="0"/>
                    <w:ind w:left="0" w:right="0"/>
                    <w:jc w:val="center"/>
                    <w:rPr>
                      <w:rFonts w:hint="default" w:cs="Times New Roman"/>
                      <w:snapToGrid w:val="0"/>
                      <w:color w:val="auto"/>
                      <w:kern w:val="0"/>
                      <w:szCs w:val="21"/>
                    </w:rPr>
                  </w:pPr>
                </w:p>
              </w:tc>
              <w:tc>
                <w:tcPr>
                  <w:tcW w:w="1295" w:type="dxa"/>
                  <w:vMerge w:val="continue"/>
                  <w:noWrap w:val="0"/>
                  <w:vAlign w:val="center"/>
                </w:tcPr>
                <w:p w14:paraId="59772ACF">
                  <w:pPr>
                    <w:keepNext w:val="0"/>
                    <w:keepLines w:val="0"/>
                    <w:widowControl/>
                    <w:suppressLineNumbers w:val="0"/>
                    <w:spacing w:before="0" w:beforeAutospacing="0" w:after="0" w:afterAutospacing="0"/>
                    <w:ind w:left="0" w:right="0"/>
                    <w:jc w:val="center"/>
                    <w:textAlignment w:val="center"/>
                    <w:rPr>
                      <w:rFonts w:hint="eastAsia" w:cs="Times New Roman"/>
                      <w:color w:val="auto"/>
                      <w:szCs w:val="21"/>
                    </w:rPr>
                  </w:pPr>
                </w:p>
              </w:tc>
            </w:tr>
            <w:tr w14:paraId="4EE3D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1" w:type="dxa"/>
                  <w:vMerge w:val="continue"/>
                  <w:noWrap w:val="0"/>
                  <w:vAlign w:val="center"/>
                </w:tcPr>
                <w:p w14:paraId="6C6C2A71">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rPr>
                  </w:pPr>
                </w:p>
              </w:tc>
              <w:tc>
                <w:tcPr>
                  <w:tcW w:w="1399" w:type="dxa"/>
                  <w:noWrap w:val="0"/>
                  <w:vAlign w:val="center"/>
                </w:tcPr>
                <w:p w14:paraId="48062D14">
                  <w:pPr>
                    <w:keepNext w:val="0"/>
                    <w:keepLines w:val="0"/>
                    <w:suppressLineNumbers w:val="0"/>
                    <w:tabs>
                      <w:tab w:val="left" w:pos="3225"/>
                    </w:tabs>
                    <w:adjustRightInd w:val="0"/>
                    <w:snapToGrid w:val="0"/>
                    <w:spacing w:before="0" w:beforeAutospacing="0" w:after="0" w:afterAutospacing="0"/>
                    <w:ind w:left="0" w:right="0"/>
                    <w:jc w:val="center"/>
                    <w:rPr>
                      <w:rFonts w:hint="eastAsia" w:eastAsia="宋体" w:cs="Times New Roman"/>
                      <w:snapToGrid w:val="0"/>
                      <w:color w:val="auto"/>
                      <w:szCs w:val="21"/>
                      <w:lang w:val="en-US" w:eastAsia="zh-CN"/>
                    </w:rPr>
                  </w:pPr>
                  <w:r>
                    <w:rPr>
                      <w:rFonts w:hint="eastAsia" w:cs="Times New Roman"/>
                      <w:snapToGrid w:val="0"/>
                      <w:color w:val="auto"/>
                      <w:szCs w:val="21"/>
                      <w:lang w:val="en-US" w:eastAsia="zh-CN"/>
                    </w:rPr>
                    <w:t>水处理</w:t>
                  </w:r>
                </w:p>
              </w:tc>
              <w:tc>
                <w:tcPr>
                  <w:tcW w:w="1201" w:type="dxa"/>
                  <w:noWrap w:val="0"/>
                  <w:vAlign w:val="center"/>
                </w:tcPr>
                <w:p w14:paraId="0A9E2496">
                  <w:pPr>
                    <w:keepNext w:val="0"/>
                    <w:keepLines w:val="0"/>
                    <w:suppressLineNumbers w:val="0"/>
                    <w:tabs>
                      <w:tab w:val="left" w:pos="3225"/>
                    </w:tabs>
                    <w:adjustRightInd w:val="0"/>
                    <w:snapToGrid w:val="0"/>
                    <w:spacing w:before="0" w:beforeAutospacing="0" w:after="0" w:afterAutospacing="0"/>
                    <w:ind w:left="0" w:right="0"/>
                    <w:jc w:val="center"/>
                    <w:rPr>
                      <w:rFonts w:hint="default" w:cs="Times New Roman"/>
                      <w:color w:val="auto"/>
                      <w:szCs w:val="21"/>
                      <w:lang w:val="en-US" w:eastAsia="zh-CN"/>
                    </w:rPr>
                  </w:pPr>
                  <w:r>
                    <w:rPr>
                      <w:rFonts w:hint="eastAsia" w:cs="Times New Roman"/>
                      <w:color w:val="auto"/>
                      <w:szCs w:val="21"/>
                      <w:lang w:val="en-US" w:eastAsia="zh-CN"/>
                    </w:rPr>
                    <w:t>废包装桶</w:t>
                  </w:r>
                </w:p>
              </w:tc>
              <w:tc>
                <w:tcPr>
                  <w:tcW w:w="2781" w:type="dxa"/>
                  <w:noWrap w:val="0"/>
                  <w:vAlign w:val="center"/>
                </w:tcPr>
                <w:p w14:paraId="0CE0D300">
                  <w:pPr>
                    <w:keepNext w:val="0"/>
                    <w:keepLines w:val="0"/>
                    <w:suppressLineNumbers w:val="0"/>
                    <w:adjustRightInd w:val="0"/>
                    <w:snapToGrid w:val="0"/>
                    <w:spacing w:before="0" w:beforeAutospacing="0" w:after="0" w:afterAutospacing="0"/>
                    <w:ind w:left="0" w:right="0"/>
                    <w:jc w:val="center"/>
                    <w:rPr>
                      <w:rFonts w:hint="default" w:eastAsia="宋体" w:cs="Times New Roman"/>
                      <w:snapToGrid w:val="0"/>
                      <w:color w:val="auto"/>
                      <w:kern w:val="0"/>
                      <w:szCs w:val="21"/>
                      <w:lang w:val="en-US" w:eastAsia="zh-CN"/>
                    </w:rPr>
                  </w:pPr>
                  <w:r>
                    <w:rPr>
                      <w:rFonts w:hint="eastAsia" w:cs="Times New Roman"/>
                      <w:snapToGrid w:val="0"/>
                      <w:color w:val="auto"/>
                      <w:kern w:val="0"/>
                      <w:szCs w:val="21"/>
                      <w:lang w:val="en-US" w:eastAsia="zh-CN"/>
                    </w:rPr>
                    <w:t>厂家定期回收</w:t>
                  </w:r>
                </w:p>
              </w:tc>
              <w:tc>
                <w:tcPr>
                  <w:tcW w:w="1295" w:type="dxa"/>
                  <w:noWrap w:val="0"/>
                  <w:vAlign w:val="center"/>
                </w:tcPr>
                <w:p w14:paraId="255B1228">
                  <w:pPr>
                    <w:keepNext w:val="0"/>
                    <w:keepLines w:val="0"/>
                    <w:widowControl/>
                    <w:suppressLineNumbers w:val="0"/>
                    <w:spacing w:before="0" w:beforeAutospacing="0" w:after="0" w:afterAutospacing="0"/>
                    <w:ind w:left="0" w:right="0"/>
                    <w:jc w:val="center"/>
                    <w:textAlignment w:val="center"/>
                    <w:rPr>
                      <w:rFonts w:hint="eastAsia" w:eastAsia="宋体" w:cs="Times New Roman"/>
                      <w:color w:val="auto"/>
                      <w:szCs w:val="21"/>
                      <w:lang w:val="en-US" w:eastAsia="zh-CN"/>
                    </w:rPr>
                  </w:pPr>
                  <w:r>
                    <w:rPr>
                      <w:rFonts w:hint="eastAsia" w:cs="Times New Roman"/>
                      <w:color w:val="auto"/>
                      <w:szCs w:val="21"/>
                      <w:lang w:val="en-US" w:eastAsia="zh-CN"/>
                    </w:rPr>
                    <w:t>0</w:t>
                  </w:r>
                </w:p>
              </w:tc>
            </w:tr>
            <w:tr w14:paraId="76B97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300" w:type="dxa"/>
                  <w:gridSpan w:val="2"/>
                  <w:noWrap w:val="0"/>
                  <w:vAlign w:val="center"/>
                </w:tcPr>
                <w:p w14:paraId="06313E2A">
                  <w:pPr>
                    <w:keepNext w:val="0"/>
                    <w:keepLines w:val="0"/>
                    <w:suppressLineNumbers w:val="0"/>
                    <w:adjustRightInd w:val="0"/>
                    <w:snapToGrid w:val="0"/>
                    <w:spacing w:before="0" w:beforeAutospacing="0" w:after="0" w:afterAutospacing="0"/>
                    <w:ind w:left="0" w:right="0"/>
                    <w:jc w:val="center"/>
                    <w:rPr>
                      <w:rFonts w:hint="default" w:cs="Times New Roman"/>
                      <w:color w:val="auto"/>
                      <w:szCs w:val="21"/>
                    </w:rPr>
                  </w:pPr>
                  <w:r>
                    <w:rPr>
                      <w:rFonts w:hint="default" w:cs="Times New Roman"/>
                      <w:color w:val="auto"/>
                      <w:szCs w:val="21"/>
                    </w:rPr>
                    <w:t>合计</w:t>
                  </w:r>
                </w:p>
              </w:tc>
              <w:tc>
                <w:tcPr>
                  <w:tcW w:w="3982" w:type="dxa"/>
                  <w:gridSpan w:val="2"/>
                  <w:noWrap w:val="0"/>
                  <w:vAlign w:val="center"/>
                </w:tcPr>
                <w:p w14:paraId="4F241CEB">
                  <w:pPr>
                    <w:keepNext w:val="0"/>
                    <w:keepLines w:val="0"/>
                    <w:suppressLineNumbers w:val="0"/>
                    <w:spacing w:before="0" w:beforeAutospacing="0" w:after="0" w:afterAutospacing="0"/>
                    <w:ind w:left="0" w:right="0"/>
                    <w:jc w:val="center"/>
                    <w:rPr>
                      <w:rFonts w:hint="eastAsia" w:eastAsia="宋体" w:cs="Times New Roman"/>
                      <w:color w:val="auto"/>
                      <w:szCs w:val="21"/>
                      <w:lang w:val="en-US" w:eastAsia="zh-CN"/>
                    </w:rPr>
                  </w:pPr>
                  <w:r>
                    <w:rPr>
                      <w:rFonts w:hint="eastAsia" w:cs="Times New Roman"/>
                      <w:color w:val="auto"/>
                      <w:szCs w:val="21"/>
                      <w:lang w:val="en-US" w:eastAsia="zh-CN"/>
                    </w:rPr>
                    <w:t>/</w:t>
                  </w:r>
                </w:p>
              </w:tc>
              <w:tc>
                <w:tcPr>
                  <w:tcW w:w="1295" w:type="dxa"/>
                  <w:noWrap w:val="0"/>
                  <w:vAlign w:val="center"/>
                </w:tcPr>
                <w:p w14:paraId="129E96C6">
                  <w:pPr>
                    <w:keepNext w:val="0"/>
                    <w:keepLines w:val="0"/>
                    <w:widowControl/>
                    <w:suppressLineNumbers w:val="0"/>
                    <w:spacing w:before="0" w:beforeAutospacing="0" w:after="0" w:afterAutospacing="0"/>
                    <w:ind w:left="0" w:right="0"/>
                    <w:jc w:val="center"/>
                    <w:textAlignment w:val="center"/>
                    <w:rPr>
                      <w:rFonts w:hint="default" w:eastAsia="宋体" w:cs="Times New Roman"/>
                      <w:color w:val="auto"/>
                      <w:szCs w:val="21"/>
                      <w:lang w:val="en-US" w:eastAsia="zh-CN"/>
                    </w:rPr>
                  </w:pPr>
                  <w:r>
                    <w:rPr>
                      <w:rFonts w:hint="eastAsia" w:eastAsia="宋体" w:cs="Times New Roman"/>
                      <w:color w:val="auto"/>
                      <w:szCs w:val="21"/>
                      <w:lang w:val="en-US" w:eastAsia="zh-CN"/>
                    </w:rPr>
                    <w:t>11</w:t>
                  </w:r>
                </w:p>
              </w:tc>
            </w:tr>
          </w:tbl>
          <w:p w14:paraId="3C60AF61">
            <w:pPr>
              <w:keepNext w:val="0"/>
              <w:keepLines w:val="0"/>
              <w:suppressLineNumbers w:val="0"/>
              <w:adjustRightInd w:val="0"/>
              <w:snapToGrid w:val="0"/>
              <w:spacing w:before="0" w:beforeAutospacing="0" w:after="0" w:afterAutospacing="0"/>
              <w:ind w:left="0" w:right="0"/>
              <w:rPr>
                <w:rFonts w:hint="default" w:ascii="宋体" w:hAnsi="宋体" w:cs="宋体"/>
                <w:bCs/>
                <w:color w:val="auto"/>
                <w:spacing w:val="10"/>
                <w:szCs w:val="21"/>
              </w:rPr>
            </w:pPr>
          </w:p>
        </w:tc>
      </w:tr>
    </w:tbl>
    <w:p w14:paraId="62AEABA8">
      <w:pPr>
        <w:rPr>
          <w:color w:val="auto"/>
        </w:r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14:paraId="17864BAA">
      <w:pPr>
        <w:pStyle w:val="24"/>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六、生态环境保护措施监督检查清单</w:t>
      </w:r>
    </w:p>
    <w:tbl>
      <w:tblPr>
        <w:tblStyle w:val="28"/>
        <w:tblW w:w="493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954"/>
        <w:gridCol w:w="2432"/>
        <w:gridCol w:w="1715"/>
        <w:gridCol w:w="1697"/>
      </w:tblGrid>
      <w:tr w14:paraId="243A83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67" w:type="pct"/>
            <w:vMerge w:val="restart"/>
            <w:tcBorders>
              <w:tl2br w:val="single" w:color="auto" w:sz="4" w:space="0"/>
            </w:tcBorders>
            <w:noWrap w:val="0"/>
            <w:vAlign w:val="top"/>
          </w:tcPr>
          <w:p w14:paraId="2BE6BDF1">
            <w:pPr>
              <w:pStyle w:val="24"/>
              <w:keepNext w:val="0"/>
              <w:keepLines w:val="0"/>
              <w:suppressLineNumbers w:val="0"/>
              <w:adjustRightInd w:val="0"/>
              <w:snapToGrid w:val="0"/>
              <w:spacing w:before="72" w:beforeLines="30" w:beforeAutospacing="0" w:after="0" w:afterAutospacing="0"/>
              <w:ind w:left="0" w:right="0"/>
              <w:jc w:val="center"/>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 xml:space="preserve">    内容</w:t>
            </w:r>
          </w:p>
          <w:p w14:paraId="5491753C">
            <w:pPr>
              <w:pStyle w:val="24"/>
              <w:keepNext w:val="0"/>
              <w:keepLines w:val="0"/>
              <w:suppressLineNumbers w:val="0"/>
              <w:adjustRightInd w:val="0"/>
              <w:snapToGrid w:val="0"/>
              <w:spacing w:before="0" w:beforeAutospacing="0" w:after="0" w:afterAutospacing="0" w:line="14" w:lineRule="auto"/>
              <w:ind w:left="0" w:right="0"/>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 xml:space="preserve">  </w:t>
            </w:r>
          </w:p>
          <w:p w14:paraId="61B41636">
            <w:pPr>
              <w:pStyle w:val="24"/>
              <w:keepNext w:val="0"/>
              <w:keepLines w:val="0"/>
              <w:suppressLineNumbers w:val="0"/>
              <w:adjustRightInd w:val="0"/>
              <w:snapToGrid w:val="0"/>
              <w:spacing w:before="0" w:beforeAutospacing="0" w:after="0" w:afterAutospacing="0"/>
              <w:ind w:left="0" w:right="0"/>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要素</w:t>
            </w:r>
          </w:p>
        </w:tc>
        <w:tc>
          <w:tcPr>
            <w:tcW w:w="2605" w:type="pct"/>
            <w:gridSpan w:val="2"/>
            <w:noWrap w:val="0"/>
            <w:vAlign w:val="center"/>
          </w:tcPr>
          <w:p w14:paraId="4774A729">
            <w:pPr>
              <w:pStyle w:val="24"/>
              <w:keepNext w:val="0"/>
              <w:keepLines w:val="0"/>
              <w:suppressLineNumbers w:val="0"/>
              <w:adjustRightInd w:val="0"/>
              <w:snapToGrid w:val="0"/>
              <w:spacing w:before="0" w:beforeAutospacing="0" w:after="0" w:afterAutospacing="0"/>
              <w:ind w:left="0" w:right="0"/>
              <w:jc w:val="center"/>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施工期</w:t>
            </w:r>
          </w:p>
        </w:tc>
        <w:tc>
          <w:tcPr>
            <w:tcW w:w="2026" w:type="pct"/>
            <w:gridSpan w:val="2"/>
            <w:noWrap w:val="0"/>
            <w:vAlign w:val="center"/>
          </w:tcPr>
          <w:p w14:paraId="63E345D6">
            <w:pPr>
              <w:pStyle w:val="24"/>
              <w:keepNext w:val="0"/>
              <w:keepLines w:val="0"/>
              <w:suppressLineNumbers w:val="0"/>
              <w:adjustRightInd w:val="0"/>
              <w:snapToGrid w:val="0"/>
              <w:spacing w:before="0" w:beforeAutospacing="0" w:after="0" w:afterAutospacing="0"/>
              <w:ind w:left="0" w:right="0"/>
              <w:jc w:val="center"/>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运营期</w:t>
            </w:r>
          </w:p>
        </w:tc>
      </w:tr>
      <w:tr w14:paraId="366CA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367" w:type="pct"/>
            <w:vMerge w:val="continue"/>
            <w:noWrap w:val="0"/>
            <w:vAlign w:val="top"/>
          </w:tcPr>
          <w:p w14:paraId="27E1CE4F">
            <w:pPr>
              <w:pStyle w:val="24"/>
              <w:keepNext w:val="0"/>
              <w:keepLines w:val="0"/>
              <w:suppressLineNumbers w:val="0"/>
              <w:adjustRightInd w:val="0"/>
              <w:snapToGrid w:val="0"/>
              <w:spacing w:before="0" w:beforeAutospacing="0" w:after="0" w:afterAutospacing="0"/>
              <w:ind w:left="0" w:right="0" w:firstLine="840"/>
              <w:jc w:val="center"/>
              <w:outlineLvl w:val="0"/>
              <w:rPr>
                <w:rFonts w:hint="eastAsia" w:ascii="宋体" w:hAnsi="宋体" w:eastAsia="宋体" w:cs="宋体"/>
                <w:color w:val="auto"/>
                <w:kern w:val="2"/>
                <w:sz w:val="24"/>
                <w:szCs w:val="24"/>
                <w:lang w:val="en-US" w:eastAsia="zh-CN"/>
              </w:rPr>
            </w:pPr>
          </w:p>
        </w:tc>
        <w:tc>
          <w:tcPr>
            <w:tcW w:w="1160" w:type="pct"/>
            <w:noWrap w:val="0"/>
            <w:vAlign w:val="center"/>
          </w:tcPr>
          <w:p w14:paraId="54D797AC">
            <w:pPr>
              <w:pStyle w:val="24"/>
              <w:keepNext w:val="0"/>
              <w:keepLines w:val="0"/>
              <w:suppressLineNumbers w:val="0"/>
              <w:adjustRightInd w:val="0"/>
              <w:snapToGrid w:val="0"/>
              <w:spacing w:before="0" w:beforeAutospacing="0" w:after="0" w:afterAutospacing="0"/>
              <w:ind w:left="0" w:right="0"/>
              <w:jc w:val="center"/>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环境保护措施</w:t>
            </w:r>
          </w:p>
        </w:tc>
        <w:tc>
          <w:tcPr>
            <w:tcW w:w="1444" w:type="pct"/>
            <w:noWrap w:val="0"/>
            <w:vAlign w:val="center"/>
          </w:tcPr>
          <w:p w14:paraId="536AA6C0">
            <w:pPr>
              <w:pStyle w:val="24"/>
              <w:keepNext w:val="0"/>
              <w:keepLines w:val="0"/>
              <w:suppressLineNumbers w:val="0"/>
              <w:adjustRightInd w:val="0"/>
              <w:snapToGrid w:val="0"/>
              <w:spacing w:before="0" w:beforeAutospacing="0" w:after="0" w:afterAutospacing="0"/>
              <w:ind w:left="0" w:right="0"/>
              <w:jc w:val="center"/>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验收要求</w:t>
            </w:r>
          </w:p>
        </w:tc>
        <w:tc>
          <w:tcPr>
            <w:tcW w:w="1018" w:type="pct"/>
            <w:noWrap w:val="0"/>
            <w:vAlign w:val="center"/>
          </w:tcPr>
          <w:p w14:paraId="157C598E">
            <w:pPr>
              <w:pStyle w:val="24"/>
              <w:keepNext w:val="0"/>
              <w:keepLines w:val="0"/>
              <w:suppressLineNumbers w:val="0"/>
              <w:adjustRightInd w:val="0"/>
              <w:snapToGrid w:val="0"/>
              <w:spacing w:before="0" w:beforeAutospacing="0" w:after="0" w:afterAutospacing="0"/>
              <w:ind w:left="0" w:right="0"/>
              <w:jc w:val="center"/>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环境保护措施</w:t>
            </w:r>
          </w:p>
        </w:tc>
        <w:tc>
          <w:tcPr>
            <w:tcW w:w="1008" w:type="pct"/>
            <w:noWrap w:val="0"/>
            <w:vAlign w:val="center"/>
          </w:tcPr>
          <w:p w14:paraId="5F6B71D2">
            <w:pPr>
              <w:pStyle w:val="24"/>
              <w:keepNext w:val="0"/>
              <w:keepLines w:val="0"/>
              <w:suppressLineNumbers w:val="0"/>
              <w:adjustRightInd w:val="0"/>
              <w:snapToGrid w:val="0"/>
              <w:spacing w:before="0" w:beforeAutospacing="0" w:after="0" w:afterAutospacing="0"/>
              <w:ind w:left="0" w:right="0"/>
              <w:jc w:val="center"/>
              <w:outlineLvl w:val="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验收要求</w:t>
            </w:r>
          </w:p>
        </w:tc>
      </w:tr>
      <w:tr w14:paraId="3719E9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367" w:type="pct"/>
            <w:noWrap w:val="0"/>
            <w:vAlign w:val="center"/>
          </w:tcPr>
          <w:p w14:paraId="0FE5292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生态环境</w:t>
            </w:r>
          </w:p>
        </w:tc>
        <w:tc>
          <w:tcPr>
            <w:tcW w:w="1160" w:type="pct"/>
            <w:noWrap w:val="0"/>
            <w:vAlign w:val="center"/>
          </w:tcPr>
          <w:p w14:paraId="7C58A4BB">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严格控制施工活动范围；</w:t>
            </w:r>
            <w:r>
              <w:rPr>
                <w:rFonts w:hint="default" w:ascii="Times New Roman" w:hAnsi="Times New Roman" w:cs="Times New Roman"/>
                <w:color w:val="auto"/>
                <w:sz w:val="24"/>
                <w:szCs w:val="24"/>
                <w:lang w:eastAsia="zh-CN"/>
              </w:rPr>
              <w:t>施工时</w:t>
            </w:r>
            <w:r>
              <w:rPr>
                <w:rFonts w:hint="eastAsia" w:cs="Times New Roman"/>
                <w:color w:val="auto"/>
                <w:sz w:val="24"/>
                <w:szCs w:val="24"/>
                <w:lang w:eastAsia="zh-CN"/>
              </w:rPr>
              <w:t>落实</w:t>
            </w:r>
            <w:r>
              <w:rPr>
                <w:rFonts w:hint="default" w:ascii="Times New Roman" w:hAnsi="Times New Roman" w:cs="Times New Roman"/>
                <w:color w:val="auto"/>
                <w:sz w:val="24"/>
                <w:szCs w:val="24"/>
              </w:rPr>
              <w:t>水土保持</w:t>
            </w:r>
            <w:r>
              <w:rPr>
                <w:rFonts w:hint="default" w:ascii="Times New Roman" w:hAnsi="Times New Roman" w:eastAsia="宋体" w:cs="Times New Roman"/>
                <w:color w:val="auto"/>
                <w:sz w:val="24"/>
                <w:szCs w:val="24"/>
                <w:lang w:val="en-US" w:eastAsia="zh-CN"/>
              </w:rPr>
              <w:t>防护措施，以防雨水冲刷造成水土流失</w:t>
            </w:r>
            <w:r>
              <w:rPr>
                <w:rFonts w:hint="eastAsia" w:ascii="Times New Roman" w:hAnsi="Times New Roman" w:eastAsia="宋体" w:cs="Times New Roman"/>
                <w:color w:val="auto"/>
                <w:sz w:val="24"/>
                <w:szCs w:val="24"/>
                <w:lang w:val="en-US" w:eastAsia="zh-CN"/>
              </w:rPr>
              <w:t>。</w:t>
            </w:r>
          </w:p>
        </w:tc>
        <w:tc>
          <w:tcPr>
            <w:tcW w:w="1444" w:type="pct"/>
            <w:noWrap w:val="0"/>
            <w:vAlign w:val="center"/>
          </w:tcPr>
          <w:p w14:paraId="5DB8D64B">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严格控制施工活动范围；</w:t>
            </w:r>
            <w:r>
              <w:rPr>
                <w:rFonts w:hint="default" w:ascii="Times New Roman" w:hAnsi="Times New Roman" w:cs="Times New Roman"/>
                <w:color w:val="auto"/>
                <w:sz w:val="24"/>
                <w:szCs w:val="24"/>
                <w:lang w:eastAsia="zh-CN"/>
              </w:rPr>
              <w:t>施工时</w:t>
            </w:r>
            <w:r>
              <w:rPr>
                <w:rFonts w:hint="eastAsia" w:cs="Times New Roman"/>
                <w:color w:val="auto"/>
                <w:sz w:val="24"/>
                <w:szCs w:val="24"/>
                <w:lang w:eastAsia="zh-CN"/>
              </w:rPr>
              <w:t>落实</w:t>
            </w:r>
            <w:r>
              <w:rPr>
                <w:rFonts w:hint="default" w:ascii="Times New Roman" w:hAnsi="Times New Roman" w:cs="Times New Roman"/>
                <w:color w:val="auto"/>
                <w:sz w:val="24"/>
                <w:szCs w:val="24"/>
              </w:rPr>
              <w:t>水土保持</w:t>
            </w:r>
            <w:r>
              <w:rPr>
                <w:rFonts w:hint="default" w:ascii="Times New Roman" w:hAnsi="Times New Roman" w:eastAsia="宋体" w:cs="Times New Roman"/>
                <w:color w:val="auto"/>
                <w:sz w:val="24"/>
                <w:szCs w:val="24"/>
                <w:lang w:val="en-US" w:eastAsia="zh-CN"/>
              </w:rPr>
              <w:t>防护措施，以防雨水冲刷造成水土流失</w:t>
            </w:r>
            <w:r>
              <w:rPr>
                <w:rFonts w:hint="eastAsia" w:ascii="Times New Roman" w:hAnsi="Times New Roman" w:eastAsia="宋体" w:cs="Times New Roman"/>
                <w:color w:val="auto"/>
                <w:sz w:val="24"/>
                <w:szCs w:val="24"/>
                <w:lang w:val="en-US" w:eastAsia="zh-CN"/>
              </w:rPr>
              <w:t>。</w:t>
            </w:r>
          </w:p>
        </w:tc>
        <w:tc>
          <w:tcPr>
            <w:tcW w:w="1018" w:type="pct"/>
            <w:noWrap w:val="0"/>
            <w:vAlign w:val="center"/>
          </w:tcPr>
          <w:p w14:paraId="311FA114">
            <w:pPr>
              <w:keepNext w:val="0"/>
              <w:keepLines w:val="0"/>
              <w:suppressLineNumbers w:val="0"/>
              <w:adjustRightInd w:val="0"/>
              <w:snapToGrid w:val="0"/>
              <w:spacing w:before="0" w:beforeAutospacing="0" w:after="0" w:afterAutospacing="0"/>
              <w:ind w:left="0" w:right="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c>
          <w:tcPr>
            <w:tcW w:w="1008" w:type="pct"/>
            <w:noWrap w:val="0"/>
            <w:vAlign w:val="center"/>
          </w:tcPr>
          <w:p w14:paraId="0D58D077">
            <w:pPr>
              <w:keepNext w:val="0"/>
              <w:keepLines w:val="0"/>
              <w:suppressLineNumbers w:val="0"/>
              <w:adjustRightInd w:val="0"/>
              <w:snapToGrid w:val="0"/>
              <w:spacing w:before="0" w:beforeAutospacing="0" w:after="0" w:afterAutospacing="0"/>
              <w:ind w:left="0" w:right="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r>
      <w:tr w14:paraId="7A9B6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5" w:hRule="atLeast"/>
          <w:jc w:val="center"/>
        </w:trPr>
        <w:tc>
          <w:tcPr>
            <w:tcW w:w="367" w:type="pct"/>
            <w:noWrap w:val="0"/>
            <w:vAlign w:val="center"/>
          </w:tcPr>
          <w:p w14:paraId="7EE4431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地表水环境</w:t>
            </w:r>
          </w:p>
        </w:tc>
        <w:tc>
          <w:tcPr>
            <w:tcW w:w="1160" w:type="pct"/>
            <w:noWrap w:val="0"/>
            <w:vAlign w:val="center"/>
          </w:tcPr>
          <w:p w14:paraId="7213887F">
            <w:pPr>
              <w:keepNext w:val="0"/>
              <w:keepLines w:val="0"/>
              <w:suppressLineNumbers w:val="0"/>
              <w:adjustRightInd w:val="0"/>
              <w:snapToGrid w:val="0"/>
              <w:spacing w:before="0" w:beforeAutospacing="0" w:after="0" w:afterAutospacing="0"/>
              <w:ind w:left="0" w:right="0"/>
              <w:rPr>
                <w:rFonts w:hint="default" w:cs="Times New Roman"/>
                <w:color w:val="auto"/>
                <w:lang w:eastAsia="zh-CN"/>
              </w:rPr>
            </w:pPr>
            <w:r>
              <w:rPr>
                <w:rFonts w:hint="eastAsia" w:ascii="Times New Roman" w:hAnsi="Times New Roman" w:eastAsia="宋体" w:cs="Times New Roman"/>
                <w:b w:val="0"/>
                <w:bCs/>
                <w:color w:val="auto"/>
                <w:kern w:val="2"/>
                <w:position w:val="0"/>
                <w:sz w:val="24"/>
                <w:szCs w:val="24"/>
                <w:lang w:val="en-US" w:eastAsia="zh-CN" w:bidi="ar-SA"/>
              </w:rPr>
              <w:t>施工人员生活</w:t>
            </w:r>
            <w:r>
              <w:rPr>
                <w:rFonts w:hint="default" w:ascii="Times New Roman" w:hAnsi="Times New Roman" w:eastAsia="宋体" w:cs="Times New Roman"/>
                <w:b w:val="0"/>
                <w:bCs/>
                <w:color w:val="auto"/>
                <w:kern w:val="2"/>
                <w:position w:val="0"/>
                <w:sz w:val="24"/>
                <w:szCs w:val="24"/>
                <w:lang w:val="en-US" w:eastAsia="zh-CN" w:bidi="ar-SA"/>
              </w:rPr>
              <w:t>污水</w:t>
            </w:r>
            <w:r>
              <w:rPr>
                <w:rFonts w:hint="eastAsia" w:ascii="Times New Roman" w:hAnsi="Times New Roman" w:eastAsia="宋体" w:cs="Times New Roman"/>
                <w:b w:val="0"/>
                <w:bCs/>
                <w:color w:val="auto"/>
                <w:kern w:val="2"/>
                <w:position w:val="0"/>
                <w:sz w:val="24"/>
                <w:szCs w:val="24"/>
                <w:lang w:val="en-US" w:eastAsia="zh-CN" w:bidi="ar-SA"/>
              </w:rPr>
              <w:t>经</w:t>
            </w:r>
            <w:r>
              <w:rPr>
                <w:rFonts w:hint="eastAsia" w:cs="Times New Roman"/>
                <w:color w:val="auto"/>
                <w:sz w:val="24"/>
                <w:szCs w:val="24"/>
                <w:lang w:eastAsia="zh-CN"/>
              </w:rPr>
              <w:t>生活污水处理站处理。</w:t>
            </w:r>
          </w:p>
        </w:tc>
        <w:tc>
          <w:tcPr>
            <w:tcW w:w="1444" w:type="pct"/>
            <w:noWrap w:val="0"/>
            <w:vAlign w:val="center"/>
          </w:tcPr>
          <w:p w14:paraId="21C5C88A">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4"/>
                <w:szCs w:val="24"/>
                <w:lang w:eastAsia="zh-CN"/>
              </w:rPr>
            </w:pPr>
            <w:r>
              <w:rPr>
                <w:rFonts w:hint="eastAsia" w:ascii="Times New Roman" w:hAnsi="Times New Roman" w:eastAsia="宋体" w:cs="Times New Roman"/>
                <w:b w:val="0"/>
                <w:bCs/>
                <w:color w:val="auto"/>
                <w:kern w:val="2"/>
                <w:position w:val="0"/>
                <w:sz w:val="24"/>
                <w:szCs w:val="24"/>
                <w:lang w:val="en-US" w:eastAsia="zh-CN" w:bidi="ar-SA"/>
              </w:rPr>
              <w:t>施工人员生活</w:t>
            </w:r>
            <w:r>
              <w:rPr>
                <w:rFonts w:hint="default" w:ascii="Times New Roman" w:hAnsi="Times New Roman" w:eastAsia="宋体" w:cs="Times New Roman"/>
                <w:b w:val="0"/>
                <w:bCs/>
                <w:color w:val="auto"/>
                <w:kern w:val="2"/>
                <w:position w:val="0"/>
                <w:sz w:val="24"/>
                <w:szCs w:val="24"/>
                <w:lang w:val="en-US" w:eastAsia="zh-CN" w:bidi="ar-SA"/>
              </w:rPr>
              <w:t>污水</w:t>
            </w:r>
            <w:r>
              <w:rPr>
                <w:rFonts w:hint="eastAsia" w:ascii="Times New Roman" w:hAnsi="Times New Roman" w:eastAsia="宋体" w:cs="Times New Roman"/>
                <w:b w:val="0"/>
                <w:bCs/>
                <w:color w:val="auto"/>
                <w:kern w:val="2"/>
                <w:position w:val="0"/>
                <w:sz w:val="24"/>
                <w:szCs w:val="24"/>
                <w:lang w:val="en-US" w:eastAsia="zh-CN" w:bidi="ar-SA"/>
              </w:rPr>
              <w:t>经</w:t>
            </w:r>
            <w:r>
              <w:rPr>
                <w:rFonts w:hint="eastAsia" w:cs="Times New Roman"/>
                <w:color w:val="auto"/>
                <w:sz w:val="24"/>
                <w:szCs w:val="24"/>
                <w:lang w:eastAsia="zh-CN"/>
              </w:rPr>
              <w:t>生活污水处理站处理。</w:t>
            </w:r>
          </w:p>
        </w:tc>
        <w:tc>
          <w:tcPr>
            <w:tcW w:w="1018" w:type="pct"/>
            <w:noWrap w:val="0"/>
            <w:vAlign w:val="center"/>
          </w:tcPr>
          <w:p w14:paraId="0AE65BEB">
            <w:pPr>
              <w:keepNext w:val="0"/>
              <w:keepLines w:val="0"/>
              <w:suppressLineNumbers w:val="0"/>
              <w:adjustRightInd w:val="0"/>
              <w:snapToGrid w:val="0"/>
              <w:spacing w:before="0" w:beforeAutospacing="0" w:after="0" w:afterAutospacing="0"/>
              <w:ind w:left="0" w:right="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highlight w:val="none"/>
                <w:lang w:val="en-US" w:eastAsia="zh-CN"/>
              </w:rPr>
              <w:t>项目不新增员工，运营期无生活污水产生</w:t>
            </w:r>
            <w:r>
              <w:rPr>
                <w:rFonts w:hint="eastAsia" w:hAnsi="宋体" w:cs="Times New Roman"/>
                <w:color w:val="auto"/>
                <w:sz w:val="24"/>
              </w:rPr>
              <w:t>。</w:t>
            </w:r>
            <w:r>
              <w:rPr>
                <w:rFonts w:hint="eastAsia" w:cs="Times New Roman"/>
                <w:color w:val="auto"/>
                <w:sz w:val="24"/>
                <w:lang w:val="en-US" w:eastAsia="zh-CN"/>
              </w:rPr>
              <w:t>少量瓦斯凝结水</w:t>
            </w:r>
            <w:r>
              <w:rPr>
                <w:rFonts w:hint="eastAsia" w:ascii="Times New Roman" w:hAnsi="Times New Roman" w:eastAsia="宋体" w:cs="Times New Roman"/>
                <w:color w:val="auto"/>
                <w:kern w:val="2"/>
                <w:sz w:val="24"/>
                <w:szCs w:val="24"/>
                <w:lang w:val="en-US" w:eastAsia="zh-CN" w:bidi="ar-SA"/>
              </w:rPr>
              <w:t>进入循环水系统水池沉淀后循环利用</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highlight w:val="none"/>
                <w:lang w:val="en-US" w:eastAsia="zh-CN"/>
              </w:rPr>
              <w:t>循环水系统定期排污水经现有污水管网排入工业场地内的矿井水处理站处理后通过顾北煤矿总排口外排至永幸河。</w:t>
            </w:r>
          </w:p>
        </w:tc>
        <w:tc>
          <w:tcPr>
            <w:tcW w:w="1008" w:type="pct"/>
            <w:noWrap w:val="0"/>
            <w:vAlign w:val="center"/>
          </w:tcPr>
          <w:p w14:paraId="18BF27C3">
            <w:pPr>
              <w:keepNext w:val="0"/>
              <w:keepLines w:val="0"/>
              <w:suppressLineNumbers w:val="0"/>
              <w:adjustRightInd w:val="0"/>
              <w:snapToGrid w:val="0"/>
              <w:spacing w:before="0" w:beforeAutospacing="0" w:after="0" w:afterAutospacing="0"/>
              <w:ind w:left="0" w:right="0"/>
              <w:rPr>
                <w:rFonts w:hint="default" w:cs="Times New Roman"/>
                <w:lang w:val="en-US"/>
              </w:rPr>
            </w:pPr>
            <w:r>
              <w:rPr>
                <w:rFonts w:hint="eastAsia" w:ascii="Times New Roman" w:hAnsi="Times New Roman" w:eastAsia="宋体" w:cs="Times New Roman"/>
                <w:color w:val="auto"/>
                <w:sz w:val="24"/>
                <w:highlight w:val="none"/>
                <w:lang w:val="en-US" w:eastAsia="zh-CN"/>
              </w:rPr>
              <w:t>废水排放满足《煤炭工业污染物排放标准》</w:t>
            </w:r>
            <w:r>
              <w:rPr>
                <w:rFonts w:hint="default" w:ascii="Times New Roman" w:hAnsi="Times New Roman" w:eastAsia="宋体" w:cs="Times New Roman"/>
                <w:color w:val="auto"/>
                <w:sz w:val="24"/>
                <w:highlight w:val="none"/>
                <w:lang w:val="en-US" w:eastAsia="zh-CN"/>
              </w:rPr>
              <w:t>(GB2042</w:t>
            </w:r>
            <w:r>
              <w:rPr>
                <w:rFonts w:hint="eastAsia"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lang w:val="en-US" w:eastAsia="zh-CN"/>
              </w:rPr>
              <w:t>2006)</w:t>
            </w:r>
            <w:r>
              <w:rPr>
                <w:rFonts w:hint="eastAsia" w:ascii="Times New Roman" w:hAnsi="Times New Roman" w:eastAsia="宋体" w:cs="Times New Roman"/>
                <w:color w:val="auto"/>
                <w:sz w:val="24"/>
                <w:highlight w:val="none"/>
                <w:lang w:val="en-US" w:eastAsia="zh-CN"/>
              </w:rPr>
              <w:t>新建</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改、扩</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生产线标准</w:t>
            </w:r>
            <w:r>
              <w:rPr>
                <w:rFonts w:hint="eastAsia" w:ascii="Times New Roman" w:hAnsi="Times New Roman" w:eastAsia="宋体" w:cs="Times New Roman"/>
                <w:color w:val="auto"/>
                <w:sz w:val="24"/>
                <w:szCs w:val="24"/>
                <w:highlight w:val="none"/>
                <w:lang w:val="en-US" w:eastAsia="zh-CN"/>
              </w:rPr>
              <w:t>和《污水综合排放标准》中的一级标准</w:t>
            </w:r>
          </w:p>
        </w:tc>
      </w:tr>
      <w:tr w14:paraId="39F63B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67" w:type="pct"/>
            <w:noWrap w:val="0"/>
            <w:vAlign w:val="center"/>
          </w:tcPr>
          <w:p w14:paraId="00B75B5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地下水及土壤环境</w:t>
            </w:r>
          </w:p>
        </w:tc>
        <w:tc>
          <w:tcPr>
            <w:tcW w:w="1160" w:type="pct"/>
            <w:noWrap w:val="0"/>
            <w:vAlign w:val="center"/>
          </w:tcPr>
          <w:p w14:paraId="32E78EB8">
            <w:pPr>
              <w:pStyle w:val="48"/>
              <w:numPr>
                <w:ilvl w:val="0"/>
                <w:numId w:val="0"/>
              </w:numPr>
              <w:suppressLineNumbers w:val="0"/>
              <w:spacing w:beforeAutospacing="0" w:afterAutospacing="0"/>
              <w:ind w:left="0" w:right="0"/>
              <w:jc w:val="center"/>
              <w:rPr>
                <w:rFonts w:hint="default" w:eastAsia="宋体" w:cs="Times New Roman"/>
                <w:color w:val="auto"/>
                <w:lang w:val="en-US" w:eastAsia="zh-CN"/>
              </w:rPr>
            </w:pPr>
            <w:r>
              <w:rPr>
                <w:rFonts w:hint="default" w:ascii="Times New Roman" w:hAnsi="Times New Roman" w:cs="Times New Roman"/>
                <w:color w:val="auto"/>
                <w:sz w:val="24"/>
                <w:szCs w:val="24"/>
                <w:lang w:val="en-US" w:eastAsia="zh-CN"/>
              </w:rPr>
              <w:t>/</w:t>
            </w:r>
          </w:p>
        </w:tc>
        <w:tc>
          <w:tcPr>
            <w:tcW w:w="1444" w:type="pct"/>
            <w:noWrap w:val="0"/>
            <w:vAlign w:val="center"/>
          </w:tcPr>
          <w:p w14:paraId="1F5CC81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c>
          <w:tcPr>
            <w:tcW w:w="1018" w:type="pct"/>
            <w:noWrap w:val="0"/>
            <w:vAlign w:val="center"/>
          </w:tcPr>
          <w:p w14:paraId="16C16722">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eastAsia" w:ascii="Times New Roman" w:hAnsi="Times New Roman" w:eastAsia="宋体" w:cs="Times New Roman"/>
                <w:color w:val="auto"/>
                <w:sz w:val="24"/>
                <w:lang w:val="en-US" w:eastAsia="zh-CN"/>
              </w:rPr>
              <w:t>循环水池及</w:t>
            </w:r>
            <w:r>
              <w:rPr>
                <w:rFonts w:hint="eastAsia" w:ascii="Times New Roman" w:hAnsi="Times New Roman" w:eastAsia="宋体" w:cs="Times New Roman"/>
                <w:color w:val="auto"/>
                <w:sz w:val="24"/>
                <w:lang w:eastAsia="zh-CN"/>
              </w:rPr>
              <w:t>排水管路采取</w:t>
            </w:r>
            <w:r>
              <w:rPr>
                <w:rFonts w:hint="eastAsia" w:cs="Times New Roman"/>
                <w:color w:val="auto"/>
                <w:sz w:val="24"/>
              </w:rPr>
              <w:t>防渗</w:t>
            </w:r>
            <w:r>
              <w:rPr>
                <w:rFonts w:hint="eastAsia" w:cs="Times New Roman"/>
                <w:color w:val="auto"/>
                <w:sz w:val="24"/>
                <w:lang w:eastAsia="zh-CN"/>
              </w:rPr>
              <w:t>措施</w:t>
            </w:r>
            <w:r>
              <w:rPr>
                <w:rFonts w:hint="eastAsia" w:cs="Times New Roman"/>
                <w:color w:val="auto"/>
                <w:sz w:val="24"/>
              </w:rPr>
              <w:t>，</w:t>
            </w:r>
            <w:r>
              <w:rPr>
                <w:rFonts w:hint="eastAsia" w:cs="Times New Roman"/>
                <w:color w:val="auto"/>
                <w:kern w:val="0"/>
                <w:sz w:val="24"/>
              </w:rPr>
              <w:t>严格废水的管理，强调节约用水，定期检查排水管线、泵阀等关键部位，避免跑冒滴漏，做到污染物泄漏“早发现、早处理”</w:t>
            </w:r>
            <w:r>
              <w:rPr>
                <w:rFonts w:hint="eastAsia" w:cs="Times New Roman"/>
                <w:color w:val="auto"/>
                <w:sz w:val="24"/>
              </w:rPr>
              <w:t>。</w:t>
            </w:r>
          </w:p>
        </w:tc>
        <w:tc>
          <w:tcPr>
            <w:tcW w:w="1008" w:type="pct"/>
            <w:noWrap w:val="0"/>
            <w:vAlign w:val="center"/>
          </w:tcPr>
          <w:p w14:paraId="79F0C099">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eastAsia" w:ascii="Times New Roman" w:hAnsi="Times New Roman" w:eastAsia="宋体" w:cs="Times New Roman"/>
                <w:color w:val="auto"/>
                <w:sz w:val="24"/>
                <w:lang w:val="en-US" w:eastAsia="zh-CN"/>
              </w:rPr>
              <w:t>循环水池及</w:t>
            </w:r>
            <w:r>
              <w:rPr>
                <w:rFonts w:hint="eastAsia" w:ascii="Times New Roman" w:hAnsi="Times New Roman" w:eastAsia="宋体" w:cs="Times New Roman"/>
                <w:color w:val="auto"/>
                <w:sz w:val="24"/>
                <w:lang w:eastAsia="zh-CN"/>
              </w:rPr>
              <w:t>排水管路采取</w:t>
            </w:r>
            <w:r>
              <w:rPr>
                <w:rFonts w:hint="eastAsia" w:cs="Times New Roman"/>
                <w:color w:val="auto"/>
                <w:sz w:val="24"/>
              </w:rPr>
              <w:t>防渗</w:t>
            </w:r>
            <w:r>
              <w:rPr>
                <w:rFonts w:hint="eastAsia" w:cs="Times New Roman"/>
                <w:color w:val="auto"/>
                <w:sz w:val="24"/>
                <w:lang w:eastAsia="zh-CN"/>
              </w:rPr>
              <w:t>措施</w:t>
            </w:r>
            <w:r>
              <w:rPr>
                <w:rFonts w:hint="eastAsia" w:cs="Times New Roman"/>
                <w:color w:val="auto"/>
                <w:sz w:val="24"/>
              </w:rPr>
              <w:t>，</w:t>
            </w:r>
            <w:r>
              <w:rPr>
                <w:rFonts w:hint="eastAsia" w:cs="Times New Roman"/>
                <w:color w:val="auto"/>
                <w:kern w:val="0"/>
                <w:sz w:val="24"/>
              </w:rPr>
              <w:t>严格废水的管理，强调节约用水，定期检查排水管线、泵阀等关键部位，避免跑冒滴漏，做到污染物泄漏“早发现、早处理”</w:t>
            </w:r>
          </w:p>
        </w:tc>
      </w:tr>
      <w:tr w14:paraId="4EBE2C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7" w:type="pct"/>
            <w:noWrap w:val="0"/>
            <w:vAlign w:val="center"/>
          </w:tcPr>
          <w:p w14:paraId="09D948D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声环境</w:t>
            </w:r>
          </w:p>
        </w:tc>
        <w:tc>
          <w:tcPr>
            <w:tcW w:w="1160" w:type="pct"/>
            <w:noWrap w:val="0"/>
            <w:vAlign w:val="center"/>
          </w:tcPr>
          <w:p w14:paraId="559CBBAD">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选用低噪设备、减振</w:t>
            </w:r>
            <w:r>
              <w:rPr>
                <w:rFonts w:hint="eastAsia" w:cs="Times New Roman"/>
                <w:color w:val="auto"/>
                <w:sz w:val="24"/>
                <w:szCs w:val="24"/>
                <w:lang w:eastAsia="zh-CN"/>
              </w:rPr>
              <w:t>、</w:t>
            </w:r>
            <w:r>
              <w:rPr>
                <w:rFonts w:hint="default" w:ascii="Times New Roman" w:hAnsi="Times New Roman" w:cs="Times New Roman"/>
                <w:color w:val="auto"/>
                <w:sz w:val="24"/>
                <w:szCs w:val="24"/>
              </w:rPr>
              <w:t>加强管理等措施</w:t>
            </w:r>
          </w:p>
        </w:tc>
        <w:tc>
          <w:tcPr>
            <w:tcW w:w="1444" w:type="pct"/>
            <w:noWrap w:val="0"/>
            <w:vAlign w:val="center"/>
          </w:tcPr>
          <w:p w14:paraId="086BFA41">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bidi="ar"/>
              </w:rPr>
              <w:t>厂界噪声满足</w:t>
            </w:r>
            <w:r>
              <w:rPr>
                <w:rFonts w:hint="default" w:cs="Times New Roman"/>
                <w:color w:val="auto"/>
                <w:sz w:val="24"/>
                <w:szCs w:val="24"/>
              </w:rPr>
              <w:t>《建筑施工噪声排放标准》（GB12523-20</w:t>
            </w:r>
            <w:r>
              <w:rPr>
                <w:rFonts w:hint="eastAsia" w:cs="Times New Roman"/>
                <w:color w:val="auto"/>
                <w:sz w:val="24"/>
                <w:szCs w:val="24"/>
                <w:lang w:val="en-US" w:eastAsia="zh-CN"/>
              </w:rPr>
              <w:t>25</w:t>
            </w:r>
            <w:r>
              <w:rPr>
                <w:rFonts w:hint="default" w:cs="Times New Roman"/>
                <w:color w:val="auto"/>
                <w:sz w:val="24"/>
                <w:szCs w:val="24"/>
              </w:rPr>
              <w:t>）</w:t>
            </w:r>
            <w:r>
              <w:rPr>
                <w:rFonts w:hint="default" w:ascii="Times New Roman" w:hAnsi="Times New Roman" w:cs="Times New Roman"/>
                <w:color w:val="auto"/>
                <w:kern w:val="0"/>
                <w:sz w:val="24"/>
                <w:szCs w:val="24"/>
                <w:lang w:bidi="ar"/>
              </w:rPr>
              <w:t>标准，即昼间 70dB(A)，夜间 55dB(A)。</w:t>
            </w:r>
          </w:p>
        </w:tc>
        <w:tc>
          <w:tcPr>
            <w:tcW w:w="1018" w:type="pct"/>
            <w:noWrap w:val="0"/>
            <w:vAlign w:val="center"/>
          </w:tcPr>
          <w:p w14:paraId="6B7B7A49">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default" w:cs="Times New Roman"/>
                <w:color w:val="auto"/>
                <w:sz w:val="24"/>
              </w:rPr>
              <w:t>合理选型、基础减振</w:t>
            </w:r>
            <w:r>
              <w:rPr>
                <w:rFonts w:hint="eastAsia" w:cs="Times New Roman"/>
                <w:color w:val="auto"/>
                <w:sz w:val="24"/>
                <w:lang w:eastAsia="zh-CN"/>
              </w:rPr>
              <w:t>、厂房隔声</w:t>
            </w:r>
            <w:r>
              <w:rPr>
                <w:rFonts w:hint="eastAsia" w:cs="Times New Roman"/>
                <w:color w:val="auto"/>
                <w:sz w:val="24"/>
                <w:lang w:val="en-US" w:eastAsia="zh-CN"/>
              </w:rPr>
              <w:t>。</w:t>
            </w:r>
          </w:p>
        </w:tc>
        <w:tc>
          <w:tcPr>
            <w:tcW w:w="1008" w:type="pct"/>
            <w:noWrap w:val="0"/>
            <w:vAlign w:val="center"/>
          </w:tcPr>
          <w:p w14:paraId="1D1E71E8">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eastAsia" w:cs="Times New Roman"/>
                <w:color w:val="auto"/>
                <w:sz w:val="24"/>
                <w:lang w:eastAsia="zh-CN"/>
              </w:rPr>
              <w:t>厂界噪声满足</w:t>
            </w:r>
            <w:r>
              <w:rPr>
                <w:rFonts w:hint="default" w:cs="Times New Roman"/>
                <w:color w:val="auto"/>
                <w:sz w:val="24"/>
              </w:rPr>
              <w:t>《工业企业厂界环境噪声排放标准》（GB12348-2008）中</w:t>
            </w:r>
            <w:r>
              <w:rPr>
                <w:rFonts w:hint="eastAsia" w:cs="Times New Roman"/>
                <w:color w:val="auto"/>
                <w:sz w:val="24"/>
                <w:lang w:val="en-US" w:eastAsia="zh-CN"/>
              </w:rPr>
              <w:t>3</w:t>
            </w:r>
            <w:r>
              <w:rPr>
                <w:rFonts w:hint="default" w:cs="Times New Roman"/>
                <w:color w:val="auto"/>
                <w:sz w:val="24"/>
              </w:rPr>
              <w:t>类标准</w:t>
            </w:r>
          </w:p>
        </w:tc>
      </w:tr>
      <w:tr w14:paraId="4EC62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7" w:type="pct"/>
            <w:noWrap w:val="0"/>
            <w:vAlign w:val="center"/>
          </w:tcPr>
          <w:p w14:paraId="138194F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大气环境</w:t>
            </w:r>
          </w:p>
        </w:tc>
        <w:tc>
          <w:tcPr>
            <w:tcW w:w="1160" w:type="pct"/>
            <w:noWrap w:val="0"/>
            <w:vAlign w:val="center"/>
          </w:tcPr>
          <w:p w14:paraId="266E5478">
            <w:pPr>
              <w:keepNext w:val="0"/>
              <w:keepLines w:val="0"/>
              <w:widowControl/>
              <w:suppressLineNumbers w:val="0"/>
              <w:spacing w:before="0" w:beforeAutospacing="0" w:after="0" w:afterAutospacing="0" w:line="240" w:lineRule="auto"/>
              <w:ind w:left="0" w:right="0"/>
              <w:jc w:val="left"/>
              <w:rPr>
                <w:rFonts w:hint="default" w:cs="Times New Roman"/>
                <w:color w:val="auto"/>
                <w:sz w:val="24"/>
                <w:szCs w:val="24"/>
              </w:rPr>
            </w:pPr>
            <w:r>
              <w:rPr>
                <w:rFonts w:hint="eastAsia" w:ascii="Times New Roman" w:hAnsi="Times New Roman" w:eastAsia="宋体" w:cs="Times New Roman"/>
                <w:color w:val="auto"/>
                <w:kern w:val="0"/>
                <w:sz w:val="24"/>
                <w:szCs w:val="24"/>
                <w:lang w:val="en-US" w:eastAsia="zh-CN" w:bidi="ar"/>
              </w:rPr>
              <w:t>施工扬尘采取洒水抑制扬尘产生；对施工车辆和机械加强管理，选用环保型施工机械设备，减少机械尾气对周边环境的影响。</w:t>
            </w:r>
          </w:p>
        </w:tc>
        <w:tc>
          <w:tcPr>
            <w:tcW w:w="1444" w:type="pct"/>
            <w:noWrap w:val="0"/>
            <w:vAlign w:val="center"/>
          </w:tcPr>
          <w:p w14:paraId="53C26A80">
            <w:pPr>
              <w:keepNext w:val="0"/>
              <w:keepLines w:val="0"/>
              <w:suppressLineNumbers w:val="0"/>
              <w:spacing w:before="0" w:beforeAutospacing="0" w:after="0" w:afterAutospacing="0"/>
              <w:ind w:left="0" w:right="0"/>
              <w:rPr>
                <w:rFonts w:hint="default" w:cs="Times New Roman"/>
                <w:color w:val="auto"/>
                <w:sz w:val="24"/>
                <w:szCs w:val="24"/>
                <w:lang w:val="en-US" w:eastAsia="zh-CN"/>
              </w:rPr>
            </w:pPr>
            <w:r>
              <w:rPr>
                <w:rFonts w:hint="default" w:ascii="Times New Roman" w:hAnsi="Times New Roman" w:cs="Times New Roman"/>
                <w:color w:val="auto"/>
                <w:spacing w:val="0"/>
                <w:sz w:val="24"/>
                <w:highlight w:val="none"/>
              </w:rPr>
              <w:t>施工期扬尘</w:t>
            </w:r>
            <w:r>
              <w:rPr>
                <w:rFonts w:hint="eastAsia" w:ascii="Times New Roman" w:hAnsi="Times New Roman" w:cs="Times New Roman"/>
                <w:color w:val="auto"/>
                <w:spacing w:val="0"/>
                <w:sz w:val="24"/>
                <w:highlight w:val="none"/>
                <w:lang w:eastAsia="zh-CN"/>
              </w:rPr>
              <w:t>满足</w:t>
            </w:r>
            <w:r>
              <w:rPr>
                <w:rFonts w:hint="default" w:ascii="Times New Roman" w:hAnsi="Times New Roman" w:cs="Times New Roman"/>
                <w:color w:val="auto"/>
                <w:spacing w:val="0"/>
                <w:sz w:val="24"/>
                <w:highlight w:val="none"/>
              </w:rPr>
              <w:t>《施工场地颗粒物排放标准》（DB34/4811—2024）中厂界大气污染物无组织监控浓度限值</w:t>
            </w:r>
            <w:r>
              <w:rPr>
                <w:rFonts w:hint="eastAsia" w:ascii="Times New Roman" w:hAnsi="Times New Roman" w:cs="Times New Roman"/>
                <w:color w:val="auto"/>
                <w:spacing w:val="0"/>
                <w:sz w:val="24"/>
                <w:highlight w:val="none"/>
                <w:lang w:val="en-US" w:eastAsia="zh-CN"/>
              </w:rPr>
              <w:t>要求.</w:t>
            </w:r>
          </w:p>
        </w:tc>
        <w:tc>
          <w:tcPr>
            <w:tcW w:w="1018" w:type="pct"/>
            <w:noWrap w:val="0"/>
            <w:vAlign w:val="center"/>
          </w:tcPr>
          <w:p w14:paraId="3FBCD44B">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瓦斯综合利用</w:t>
            </w:r>
          </w:p>
        </w:tc>
        <w:tc>
          <w:tcPr>
            <w:tcW w:w="1008" w:type="pct"/>
            <w:noWrap w:val="0"/>
            <w:vAlign w:val="center"/>
          </w:tcPr>
          <w:p w14:paraId="07C1B3F9">
            <w:pPr>
              <w:keepNext w:val="0"/>
              <w:keepLines w:val="0"/>
              <w:suppressLineNumbers w:val="0"/>
              <w:adjustRightInd w:val="0"/>
              <w:snapToGrid w:val="0"/>
              <w:spacing w:before="0" w:beforeAutospacing="0" w:after="0" w:afterAutospacing="0"/>
              <w:ind w:left="0" w:right="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现阶段排放满足《煤层气(煤矿瓦斯)排放标准(暂行)》(GB21522-2008)；</w:t>
            </w:r>
          </w:p>
          <w:p w14:paraId="7534C7A1">
            <w:pPr>
              <w:keepNext w:val="0"/>
              <w:keepLines w:val="0"/>
              <w:suppressLineNumbers w:val="0"/>
              <w:spacing w:before="0" w:beforeAutospacing="0" w:after="0" w:afterAutospacing="0"/>
              <w:ind w:left="0" w:right="0"/>
              <w:rPr>
                <w:rFonts w:hint="default" w:cs="Times New Roman"/>
                <w:sz w:val="24"/>
                <w:szCs w:val="24"/>
                <w:highlight w:val="none"/>
              </w:rPr>
            </w:pPr>
            <w:r>
              <w:rPr>
                <w:rFonts w:hint="eastAsia" w:cs="Times New Roman"/>
                <w:color w:val="000000"/>
                <w:kern w:val="0"/>
                <w:sz w:val="24"/>
                <w:szCs w:val="24"/>
                <w:highlight w:val="none"/>
                <w:lang w:bidi="ar"/>
              </w:rPr>
              <w:t>2027年4月1日</w:t>
            </w:r>
            <w:r>
              <w:rPr>
                <w:rFonts w:hint="eastAsia" w:cs="Times New Roman"/>
                <w:color w:val="000000"/>
                <w:kern w:val="0"/>
                <w:sz w:val="24"/>
                <w:szCs w:val="24"/>
                <w:highlight w:val="none"/>
                <w:lang w:val="en-US" w:eastAsia="zh-CN" w:bidi="ar"/>
              </w:rPr>
              <w:t>起</w:t>
            </w:r>
            <w:r>
              <w:rPr>
                <w:rFonts w:hint="eastAsia" w:cs="Times New Roman"/>
                <w:color w:val="000000"/>
                <w:kern w:val="0"/>
                <w:sz w:val="24"/>
                <w:szCs w:val="24"/>
                <w:highlight w:val="none"/>
                <w:lang w:bidi="ar"/>
              </w:rPr>
              <w:t>适用《煤层气(煤矿瓦斯)排放标准(暂行)》(GB21522-20</w:t>
            </w:r>
            <w:r>
              <w:rPr>
                <w:rFonts w:hint="eastAsia" w:cs="Times New Roman"/>
                <w:color w:val="000000"/>
                <w:kern w:val="0"/>
                <w:sz w:val="24"/>
                <w:szCs w:val="24"/>
                <w:highlight w:val="none"/>
                <w:lang w:val="en-US" w:eastAsia="zh-CN" w:bidi="ar"/>
              </w:rPr>
              <w:t>24</w:t>
            </w:r>
            <w:r>
              <w:rPr>
                <w:rFonts w:hint="eastAsia" w:cs="Times New Roman"/>
                <w:color w:val="000000"/>
                <w:kern w:val="0"/>
                <w:sz w:val="24"/>
                <w:szCs w:val="24"/>
                <w:highlight w:val="none"/>
                <w:lang w:bidi="ar"/>
              </w:rPr>
              <w:t>)</w:t>
            </w:r>
          </w:p>
        </w:tc>
      </w:tr>
      <w:tr w14:paraId="048F6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7" w:type="pct"/>
            <w:noWrap w:val="0"/>
            <w:vAlign w:val="center"/>
          </w:tcPr>
          <w:p w14:paraId="5BD1F17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固体废物</w:t>
            </w:r>
          </w:p>
        </w:tc>
        <w:tc>
          <w:tcPr>
            <w:tcW w:w="1160" w:type="pct"/>
            <w:noWrap w:val="0"/>
            <w:vAlign w:val="center"/>
          </w:tcPr>
          <w:p w14:paraId="40164964">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施工人员的生活垃圾集中收集后交由当地环卫部门处理。</w:t>
            </w:r>
            <w:r>
              <w:rPr>
                <w:rFonts w:hint="eastAsia" w:eastAsia="宋体" w:cs="Times New Roman"/>
                <w:color w:val="auto"/>
                <w:sz w:val="24"/>
                <w:szCs w:val="24"/>
                <w:lang w:val="en-US" w:eastAsia="zh-CN"/>
              </w:rPr>
              <w:t>建筑垃圾运至主管部门指定位置。</w:t>
            </w:r>
          </w:p>
        </w:tc>
        <w:tc>
          <w:tcPr>
            <w:tcW w:w="1444" w:type="pct"/>
            <w:noWrap w:val="0"/>
            <w:vAlign w:val="center"/>
          </w:tcPr>
          <w:p w14:paraId="3E5A6328">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处置率100%，符合环境卫生及环境保护管理要求</w:t>
            </w:r>
            <w:r>
              <w:rPr>
                <w:rFonts w:hint="default" w:ascii="Times New Roman" w:hAnsi="Times New Roman" w:cs="Times New Roman"/>
                <w:color w:val="auto"/>
                <w:sz w:val="24"/>
                <w:szCs w:val="24"/>
                <w:lang w:eastAsia="zh-CN"/>
              </w:rPr>
              <w:t>。</w:t>
            </w:r>
          </w:p>
        </w:tc>
        <w:tc>
          <w:tcPr>
            <w:tcW w:w="1018" w:type="pct"/>
            <w:noWrap w:val="0"/>
            <w:vAlign w:val="center"/>
          </w:tcPr>
          <w:p w14:paraId="0F65F3B1">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eastAsia" w:cs="Times New Roman"/>
                <w:color w:val="auto"/>
                <w:spacing w:val="0"/>
                <w:sz w:val="24"/>
                <w:szCs w:val="24"/>
                <w:lang w:val="en-US" w:eastAsia="zh-CN"/>
              </w:rPr>
              <w:t>废包装桶</w:t>
            </w:r>
            <w:r>
              <w:rPr>
                <w:rFonts w:hint="eastAsia" w:cs="Times New Roman"/>
                <w:color w:val="auto"/>
                <w:spacing w:val="0"/>
                <w:sz w:val="24"/>
                <w:szCs w:val="24"/>
                <w:lang w:eastAsia="zh-CN"/>
              </w:rPr>
              <w:t>由</w:t>
            </w:r>
            <w:r>
              <w:rPr>
                <w:rFonts w:hint="eastAsia" w:cs="Times New Roman"/>
                <w:color w:val="auto"/>
                <w:sz w:val="24"/>
              </w:rPr>
              <w:t>厂家定期回收利用</w:t>
            </w:r>
            <w:r>
              <w:rPr>
                <w:rFonts w:hint="eastAsia" w:cs="Times New Roman"/>
                <w:color w:val="auto"/>
                <w:sz w:val="24"/>
                <w:lang w:eastAsia="zh-CN"/>
              </w:rPr>
              <w:t>。废润滑油、废油桶、含油抹布分类</w:t>
            </w:r>
            <w:r>
              <w:rPr>
                <w:rFonts w:hint="eastAsia" w:cs="Times New Roman"/>
                <w:color w:val="auto"/>
                <w:sz w:val="24"/>
              </w:rPr>
              <w:t>收集暂存后，委托有资质单位处理</w:t>
            </w:r>
          </w:p>
        </w:tc>
        <w:tc>
          <w:tcPr>
            <w:tcW w:w="1008" w:type="pct"/>
            <w:noWrap w:val="0"/>
            <w:vAlign w:val="center"/>
          </w:tcPr>
          <w:p w14:paraId="2B08B78C">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处置率100%，</w:t>
            </w:r>
            <w:r>
              <w:rPr>
                <w:rFonts w:hint="default" w:cs="Times New Roman"/>
                <w:color w:val="auto"/>
                <w:sz w:val="24"/>
              </w:rPr>
              <w:t>危险废物贮存</w:t>
            </w:r>
            <w:r>
              <w:rPr>
                <w:rFonts w:hint="eastAsia" w:cs="Times New Roman"/>
                <w:color w:val="auto"/>
                <w:sz w:val="24"/>
                <w:lang w:eastAsia="zh-CN"/>
              </w:rPr>
              <w:t>满足</w:t>
            </w:r>
            <w:r>
              <w:rPr>
                <w:rFonts w:hint="eastAsia" w:cs="Times New Roman"/>
                <w:color w:val="auto"/>
                <w:sz w:val="24"/>
              </w:rPr>
              <w:t>《危险废物贮存污染控制标准》（GB18597-2023）</w:t>
            </w:r>
            <w:r>
              <w:rPr>
                <w:rFonts w:hint="default" w:cs="Times New Roman"/>
                <w:color w:val="auto"/>
                <w:sz w:val="24"/>
              </w:rPr>
              <w:t>标准</w:t>
            </w:r>
            <w:r>
              <w:rPr>
                <w:rFonts w:hint="eastAsia" w:cs="Times New Roman"/>
                <w:color w:val="auto"/>
                <w:sz w:val="24"/>
              </w:rPr>
              <w:t>要求</w:t>
            </w:r>
            <w:r>
              <w:rPr>
                <w:rFonts w:hint="default" w:ascii="Times New Roman" w:hAnsi="Times New Roman" w:cs="Times New Roman"/>
                <w:color w:val="auto"/>
                <w:sz w:val="24"/>
                <w:szCs w:val="24"/>
                <w:lang w:eastAsia="zh-CN"/>
              </w:rPr>
              <w:t>。</w:t>
            </w:r>
          </w:p>
        </w:tc>
      </w:tr>
      <w:tr w14:paraId="5A009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7" w:type="pct"/>
            <w:noWrap w:val="0"/>
            <w:vAlign w:val="center"/>
          </w:tcPr>
          <w:p w14:paraId="63D71B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环境风险</w:t>
            </w:r>
          </w:p>
        </w:tc>
        <w:tc>
          <w:tcPr>
            <w:tcW w:w="1160" w:type="pct"/>
            <w:noWrap w:val="0"/>
            <w:vAlign w:val="center"/>
          </w:tcPr>
          <w:p w14:paraId="0B4E8321">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无</w:t>
            </w:r>
          </w:p>
        </w:tc>
        <w:tc>
          <w:tcPr>
            <w:tcW w:w="1444" w:type="pct"/>
            <w:noWrap w:val="0"/>
            <w:vAlign w:val="center"/>
          </w:tcPr>
          <w:p w14:paraId="5C9C1C93">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无</w:t>
            </w:r>
          </w:p>
        </w:tc>
        <w:tc>
          <w:tcPr>
            <w:tcW w:w="1018" w:type="pct"/>
            <w:noWrap w:val="0"/>
            <w:vAlign w:val="center"/>
          </w:tcPr>
          <w:p w14:paraId="7CCD4914">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eastAsia" w:cs="Times New Roman"/>
                <w:color w:val="auto"/>
                <w:sz w:val="24"/>
              </w:rPr>
              <w:t>瓦斯气输送系统采用高强度的优质管材，</w:t>
            </w:r>
            <w:r>
              <w:rPr>
                <w:rFonts w:hint="eastAsia" w:cs="Times New Roman"/>
                <w:color w:val="auto"/>
                <w:sz w:val="24"/>
                <w:lang w:eastAsia="zh-CN"/>
              </w:rPr>
              <w:t>落实好</w:t>
            </w:r>
            <w:r>
              <w:rPr>
                <w:rFonts w:hint="eastAsia" w:ascii="Times New Roman" w:hAnsi="Times New Roman" w:eastAsia="宋体" w:cs="Times New Roman"/>
                <w:color w:val="auto"/>
                <w:kern w:val="2"/>
                <w:sz w:val="24"/>
                <w:szCs w:val="24"/>
                <w:lang w:val="en-US" w:eastAsia="zh-CN" w:bidi="ar-SA"/>
              </w:rPr>
              <w:t>安全防范措施，</w:t>
            </w:r>
            <w:r>
              <w:rPr>
                <w:rFonts w:hint="eastAsia" w:cs="Times New Roman"/>
                <w:color w:val="auto"/>
                <w:sz w:val="24"/>
              </w:rPr>
              <w:t>制定以防为主的应急</w:t>
            </w:r>
            <w:r>
              <w:rPr>
                <w:rFonts w:hint="eastAsia" w:cs="Times New Roman"/>
                <w:color w:val="auto"/>
                <w:sz w:val="24"/>
                <w:lang w:eastAsia="zh-CN"/>
              </w:rPr>
              <w:t>措施。</w:t>
            </w:r>
            <w:r>
              <w:rPr>
                <w:rFonts w:hint="eastAsia" w:cs="Times New Roman"/>
                <w:color w:val="auto"/>
                <w:sz w:val="24"/>
              </w:rPr>
              <w:t>配置必要的应急物资；</w:t>
            </w:r>
            <w:r>
              <w:rPr>
                <w:rFonts w:hint="eastAsia" w:cs="Times New Roman"/>
                <w:color w:val="auto"/>
                <w:sz w:val="24"/>
                <w:lang w:val="en-US" w:eastAsia="zh-CN"/>
              </w:rPr>
              <w:t>及时修编本单位环境风险应急预案，分析本泵站的环境风险并制定相关应急措施，报当地环境主管部门备案，组织专业队伍学习和演练，提高队伍实战能力，防患于未然，以便应急救援工作的顺利开展</w:t>
            </w:r>
            <w:r>
              <w:rPr>
                <w:rFonts w:hint="default" w:cs="Times New Roman"/>
                <w:color w:val="auto"/>
                <w:sz w:val="24"/>
              </w:rPr>
              <w:t>。</w:t>
            </w:r>
          </w:p>
        </w:tc>
        <w:tc>
          <w:tcPr>
            <w:tcW w:w="1008" w:type="pct"/>
            <w:noWrap w:val="0"/>
            <w:vAlign w:val="center"/>
          </w:tcPr>
          <w:p w14:paraId="5FB5D7E7">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eastAsia" w:cs="Times New Roman"/>
                <w:color w:val="auto"/>
                <w:sz w:val="24"/>
              </w:rPr>
              <w:t>瓦斯气输送系统采用高强度的优质管材，</w:t>
            </w:r>
            <w:r>
              <w:rPr>
                <w:rFonts w:hint="eastAsia" w:cs="Times New Roman"/>
                <w:color w:val="auto"/>
                <w:sz w:val="24"/>
                <w:lang w:eastAsia="zh-CN"/>
              </w:rPr>
              <w:t>落实好</w:t>
            </w:r>
            <w:r>
              <w:rPr>
                <w:rFonts w:hint="eastAsia" w:ascii="Times New Roman" w:hAnsi="Times New Roman" w:eastAsia="宋体" w:cs="Times New Roman"/>
                <w:color w:val="auto"/>
                <w:kern w:val="2"/>
                <w:sz w:val="24"/>
                <w:szCs w:val="24"/>
                <w:lang w:val="en-US" w:eastAsia="zh-CN" w:bidi="ar-SA"/>
              </w:rPr>
              <w:t>安全防范措施，</w:t>
            </w:r>
            <w:r>
              <w:rPr>
                <w:rFonts w:hint="eastAsia" w:cs="Times New Roman"/>
                <w:color w:val="auto"/>
                <w:sz w:val="24"/>
              </w:rPr>
              <w:t>制定以防为主的应急</w:t>
            </w:r>
            <w:r>
              <w:rPr>
                <w:rFonts w:hint="eastAsia" w:cs="Times New Roman"/>
                <w:color w:val="auto"/>
                <w:sz w:val="24"/>
                <w:lang w:eastAsia="zh-CN"/>
              </w:rPr>
              <w:t>措施。</w:t>
            </w:r>
            <w:r>
              <w:rPr>
                <w:rFonts w:hint="eastAsia" w:cs="Times New Roman"/>
                <w:color w:val="auto"/>
                <w:sz w:val="24"/>
              </w:rPr>
              <w:t>配置必要的应急物资；</w:t>
            </w:r>
            <w:r>
              <w:rPr>
                <w:rFonts w:hint="eastAsia" w:cs="Times New Roman"/>
                <w:color w:val="auto"/>
                <w:sz w:val="24"/>
                <w:lang w:val="en-US" w:eastAsia="zh-CN"/>
              </w:rPr>
              <w:t>及时修编本单位环境风险应急预案，分析本泵站的环境风险并制定相关应急措施，报当地环境主管部门备案，组织专业队伍学习和演练，提高队伍实战能力，防患于未然，以便应急救援工作的顺利开展</w:t>
            </w:r>
            <w:r>
              <w:rPr>
                <w:rFonts w:hint="default" w:cs="Times New Roman"/>
                <w:color w:val="auto"/>
                <w:sz w:val="24"/>
              </w:rPr>
              <w:t>。</w:t>
            </w:r>
          </w:p>
        </w:tc>
      </w:tr>
      <w:tr w14:paraId="4227E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7" w:type="pct"/>
            <w:noWrap w:val="0"/>
            <w:vAlign w:val="center"/>
          </w:tcPr>
          <w:p w14:paraId="685CD9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环境监测</w:t>
            </w:r>
          </w:p>
        </w:tc>
        <w:tc>
          <w:tcPr>
            <w:tcW w:w="1160" w:type="pct"/>
            <w:noWrap w:val="0"/>
            <w:vAlign w:val="center"/>
          </w:tcPr>
          <w:p w14:paraId="018207BF">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c>
          <w:tcPr>
            <w:tcW w:w="1444" w:type="pct"/>
            <w:noWrap w:val="0"/>
            <w:vAlign w:val="center"/>
          </w:tcPr>
          <w:p w14:paraId="40A9931A">
            <w:pPr>
              <w:keepNext w:val="0"/>
              <w:keepLines w:val="0"/>
              <w:suppressLineNumbers w:val="0"/>
              <w:adjustRightInd w:val="0"/>
              <w:snapToGrid w:val="0"/>
              <w:spacing w:before="0" w:beforeAutospacing="0" w:after="0" w:afterAutospacing="0"/>
              <w:ind w:left="0" w:right="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c>
          <w:tcPr>
            <w:tcW w:w="1018" w:type="pct"/>
            <w:noWrap w:val="0"/>
            <w:vAlign w:val="center"/>
          </w:tcPr>
          <w:p w14:paraId="53242010">
            <w:pPr>
              <w:keepNext w:val="0"/>
              <w:keepLines w:val="0"/>
              <w:suppressLineNumbers w:val="0"/>
              <w:adjustRightInd w:val="0"/>
              <w:snapToGrid w:val="0"/>
              <w:spacing w:before="0" w:beforeAutospacing="0" w:after="0" w:afterAutospacing="0"/>
              <w:ind w:left="0" w:right="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按照本环评要求开展环境监测。</w:t>
            </w:r>
          </w:p>
        </w:tc>
        <w:tc>
          <w:tcPr>
            <w:tcW w:w="1008" w:type="pct"/>
            <w:noWrap w:val="0"/>
            <w:vAlign w:val="center"/>
          </w:tcPr>
          <w:p w14:paraId="69E631FC">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eastAsia" w:cs="Times New Roman"/>
                <w:color w:val="auto"/>
                <w:sz w:val="24"/>
                <w:szCs w:val="24"/>
                <w:lang w:val="en-US" w:eastAsia="zh-CN"/>
              </w:rPr>
              <w:t>按照本环评要求开展环境监测。</w:t>
            </w:r>
          </w:p>
        </w:tc>
      </w:tr>
      <w:tr w14:paraId="6DDCD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7" w:type="pct"/>
            <w:noWrap w:val="0"/>
            <w:vAlign w:val="center"/>
          </w:tcPr>
          <w:p w14:paraId="097C548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其他</w:t>
            </w:r>
          </w:p>
        </w:tc>
        <w:tc>
          <w:tcPr>
            <w:tcW w:w="1160" w:type="pct"/>
            <w:noWrap w:val="0"/>
            <w:vAlign w:val="center"/>
          </w:tcPr>
          <w:p w14:paraId="179E4482">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无</w:t>
            </w:r>
          </w:p>
        </w:tc>
        <w:tc>
          <w:tcPr>
            <w:tcW w:w="1444" w:type="pct"/>
            <w:noWrap w:val="0"/>
            <w:vAlign w:val="center"/>
          </w:tcPr>
          <w:p w14:paraId="4208284B">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无</w:t>
            </w:r>
          </w:p>
        </w:tc>
        <w:tc>
          <w:tcPr>
            <w:tcW w:w="1018" w:type="pct"/>
            <w:noWrap w:val="0"/>
            <w:vAlign w:val="center"/>
          </w:tcPr>
          <w:p w14:paraId="43EB2ED8">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p>
        </w:tc>
        <w:tc>
          <w:tcPr>
            <w:tcW w:w="1008" w:type="pct"/>
            <w:noWrap w:val="0"/>
            <w:vAlign w:val="center"/>
          </w:tcPr>
          <w:p w14:paraId="760943F9">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rPr>
            </w:pPr>
          </w:p>
        </w:tc>
      </w:tr>
    </w:tbl>
    <w:p w14:paraId="5173DFC2">
      <w:pPr>
        <w:pStyle w:val="24"/>
        <w:spacing w:before="192" w:beforeLines="80" w:beforeAutospacing="0"/>
        <w:jc w:val="center"/>
        <w:outlineLvl w:val="0"/>
        <w:rPr>
          <w:rFonts w:hint="eastAsia" w:ascii="黑体" w:hAnsi="黑体" w:eastAsia="黑体"/>
          <w:snapToGrid w:val="0"/>
          <w:color w:val="auto"/>
          <w:sz w:val="30"/>
          <w:szCs w:val="30"/>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713E84B3">
      <w:pPr>
        <w:pStyle w:val="24"/>
        <w:spacing w:before="192" w:beforeLines="80" w:beforeAutospacing="0"/>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七、结论</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66ECF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5000" w:type="pct"/>
            <w:noWrap w:val="0"/>
            <w:vAlign w:val="top"/>
          </w:tcPr>
          <w:p w14:paraId="2C6E3D23">
            <w:pPr>
              <w:keepNext w:val="0"/>
              <w:keepLines w:val="0"/>
              <w:widowControl/>
              <w:suppressLineNumbers w:val="0"/>
              <w:spacing w:before="0" w:beforeAutospacing="0" w:after="0" w:afterAutospacing="0" w:line="360" w:lineRule="auto"/>
              <w:ind w:left="0" w:right="0" w:firstLine="480" w:firstLineChars="200"/>
              <w:rPr>
                <w:rFonts w:hint="default" w:cs="Times New Roman"/>
                <w:color w:val="auto"/>
                <w:sz w:val="24"/>
                <w:szCs w:val="24"/>
              </w:rPr>
            </w:pPr>
            <w:r>
              <w:rPr>
                <w:rFonts w:hint="eastAsia" w:ascii="宋体" w:hAnsi="宋体" w:cs="宋体"/>
                <w:color w:val="auto"/>
                <w:kern w:val="0"/>
                <w:sz w:val="24"/>
                <w:szCs w:val="24"/>
                <w:lang w:eastAsia="zh-CN" w:bidi="ar"/>
              </w:rPr>
              <w:t>淮浙煤电有限责任公司顾北煤矿</w:t>
            </w:r>
            <w:r>
              <w:rPr>
                <w:rFonts w:hint="eastAsia" w:ascii="宋体" w:hAnsi="宋体" w:cs="宋体"/>
                <w:color w:val="auto"/>
                <w:kern w:val="0"/>
                <w:sz w:val="24"/>
                <w:szCs w:val="24"/>
                <w:lang w:val="en-US" w:eastAsia="zh-CN" w:bidi="ar"/>
              </w:rPr>
              <w:t>投</w:t>
            </w:r>
            <w:r>
              <w:rPr>
                <w:rFonts w:hint="eastAsia" w:ascii="宋体" w:hAnsi="宋体" w:cs="宋体"/>
                <w:color w:val="auto"/>
                <w:kern w:val="0"/>
                <w:sz w:val="24"/>
                <w:szCs w:val="24"/>
                <w:lang w:bidi="ar"/>
              </w:rPr>
              <w:t>资建设的</w:t>
            </w:r>
            <w:r>
              <w:rPr>
                <w:rFonts w:hint="eastAsia" w:ascii="宋体" w:hAnsi="宋体" w:cs="宋体"/>
                <w:color w:val="auto"/>
                <w:kern w:val="0"/>
                <w:sz w:val="24"/>
                <w:szCs w:val="24"/>
                <w:lang w:eastAsia="zh-CN" w:bidi="ar"/>
              </w:rPr>
              <w:t>顾北煤矿地面瓦斯抽采泵站扩建工程项目</w:t>
            </w:r>
            <w:r>
              <w:rPr>
                <w:rFonts w:hint="default" w:cs="Times New Roman"/>
                <w:color w:val="auto"/>
                <w:spacing w:val="-1"/>
                <w:sz w:val="24"/>
                <w:szCs w:val="24"/>
              </w:rPr>
              <w:t>符合国家产业政策以及相关法律法规要求</w:t>
            </w:r>
            <w:r>
              <w:rPr>
                <w:rFonts w:hint="eastAsia" w:cs="Times New Roman"/>
                <w:color w:val="auto"/>
                <w:spacing w:val="-1"/>
                <w:sz w:val="24"/>
                <w:szCs w:val="24"/>
              </w:rPr>
              <w:t>，</w:t>
            </w:r>
            <w:r>
              <w:rPr>
                <w:rFonts w:hint="eastAsia" w:ascii="宋体" w:hAnsi="宋体" w:cs="宋体"/>
                <w:color w:val="auto"/>
                <w:kern w:val="0"/>
                <w:sz w:val="24"/>
                <w:szCs w:val="24"/>
                <w:lang w:bidi="ar"/>
              </w:rPr>
              <w:t>施工期提出的</w:t>
            </w:r>
            <w:r>
              <w:rPr>
                <w:rFonts w:hint="eastAsia" w:ascii="宋体" w:hAnsi="宋体" w:cs="宋体"/>
                <w:color w:val="auto"/>
                <w:kern w:val="0"/>
                <w:sz w:val="24"/>
                <w:szCs w:val="24"/>
                <w:lang w:eastAsia="zh-CN" w:bidi="ar"/>
              </w:rPr>
              <w:t>生态保护、</w:t>
            </w:r>
            <w:r>
              <w:rPr>
                <w:rFonts w:hint="eastAsia" w:ascii="宋体" w:hAnsi="宋体" w:cs="宋体"/>
                <w:color w:val="auto"/>
                <w:kern w:val="0"/>
                <w:sz w:val="24"/>
                <w:szCs w:val="24"/>
                <w:lang w:bidi="ar"/>
              </w:rPr>
              <w:t xml:space="preserve">废水、废气、噪声和固体废物治理措施是可行的，只要在项目建设中同步实施环保工程，认真落实设计和评价中提出的污染防治措施，就可使该项目的不利影响控制在环境允许的范围内，项目的建设是必要的。从环境影响的角度而言，本项目环境影响是可以接受的。 </w:t>
            </w:r>
          </w:p>
          <w:p w14:paraId="0464C1CB">
            <w:pPr>
              <w:pStyle w:val="10"/>
              <w:keepNext w:val="0"/>
              <w:keepLines w:val="0"/>
              <w:suppressLineNumbers w:val="0"/>
              <w:spacing w:beforeAutospacing="0" w:afterAutospacing="0"/>
              <w:ind w:left="0"/>
              <w:rPr>
                <w:rFonts w:hint="default" w:cs="Times New Roman"/>
                <w:color w:val="auto"/>
                <w:szCs w:val="18"/>
                <w:lang w:val="en-US" w:eastAsia="zh-CN"/>
              </w:rPr>
            </w:pPr>
          </w:p>
        </w:tc>
      </w:tr>
    </w:tbl>
    <w:p w14:paraId="24504017">
      <w:pPr>
        <w:rPr>
          <w:rFonts w:ascii="宋体"/>
          <w:color w:val="auto"/>
        </w:rPr>
      </w:pPr>
    </w:p>
    <w:p w14:paraId="48C39B13">
      <w:pPr>
        <w:adjustRightInd w:val="0"/>
        <w:snapToGrid w:val="0"/>
        <w:spacing w:before="192" w:beforeLines="80"/>
        <w:jc w:val="both"/>
        <w:rPr>
          <w:rFonts w:hint="eastAsia"/>
          <w:bCs/>
          <w:color w:val="auto"/>
          <w:sz w:val="36"/>
          <w:szCs w:val="36"/>
        </w:rPr>
      </w:pPr>
    </w:p>
    <w:sectPr>
      <w:footerReference r:id="rId6" w:type="default"/>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18030">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FZSSK--GBK1-0">
    <w:altName w:val="微软雅黑"/>
    <w:panose1 w:val="00000000000000000000"/>
    <w:charset w:val="00"/>
    <w:family w:val="auto"/>
    <w:pitch w:val="default"/>
    <w:sig w:usb0="00000000" w:usb1="00000000" w:usb2="00000000" w:usb3="00000000" w:csb0="00040001" w:csb1="00000000"/>
  </w:font>
  <w:font w:name="Noto Sans SC">
    <w:altName w:val="宋体"/>
    <w:panose1 w:val="020B0200000000000000"/>
    <w:charset w:val="86"/>
    <w:family w:val="auto"/>
    <w:pitch w:val="default"/>
    <w:sig w:usb0="00000000" w:usb1="00000000" w:usb2="00000016" w:usb3="00000000" w:csb0="60060107"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ADDC7">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DF962">
    <w:pPr>
      <w:pStyle w:val="19"/>
      <w:framePr w:wrap="around" w:vAnchor="text" w:hAnchor="margin" w:xAlign="outside" w:y="1"/>
      <w:rPr>
        <w:rStyle w:val="32"/>
      </w:rPr>
    </w:pPr>
    <w:r>
      <w:fldChar w:fldCharType="begin"/>
    </w:r>
    <w:r>
      <w:rPr>
        <w:rStyle w:val="32"/>
      </w:rPr>
      <w:instrText xml:space="preserve">PAGE  </w:instrText>
    </w:r>
    <w:r>
      <w:fldChar w:fldCharType="end"/>
    </w:r>
  </w:p>
  <w:p w14:paraId="36905C1F">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6CC04">
    <w:pPr>
      <w:pStyle w:val="19"/>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18BC1C">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NMPWssBAACd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3iJrymxHGLE7/8+H75+fvy6xtZ&#10;VqubLFEfoMbM+4C5aXjrB0yf/YDOzHxQ0eYvciIYR4HPV4HlkIjIj9ar9brCkMDYfEF89vA8REjv&#10;pLckGw2NOMEiLD99gDSmzim5mvN32pgyReP+ciBm9rDc+9hjttKwHyZCe9+ekU+Pw2+ow12nxLx3&#10;qG3ek9mIs7GfjWOI+tCVRcr1ILw5Jmyi9JYrjLBTYZxaYTdtWF6Lx/eS9fBXbf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DTD1rLAQAAnQMAAA4AAAAAAAAAAQAgAAAAHgEAAGRycy9lMm9E&#10;b2MueG1sUEsFBgAAAAAGAAYAWQEAAFsFAAAAAA==&#10;">
              <v:fill on="f" focussize="0,0"/>
              <v:stroke on="f"/>
              <v:imagedata o:title=""/>
              <o:lock v:ext="edit" aspectratio="f"/>
              <v:textbox inset="0mm,0mm,0mm,0mm" style="mso-fit-shape-to-text:t;">
                <w:txbxContent>
                  <w:p w14:paraId="5218BC1C">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E9084">
    <w:pPr>
      <w:spacing w:line="125" w:lineRule="exact"/>
      <w:ind w:firstLine="360"/>
      <w:rPr>
        <w:rFonts w:eastAsia="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ABAF4">
                          <w:pPr>
                            <w:pStyle w:val="19"/>
                          </w:pPr>
                          <w:r>
                            <w:fldChar w:fldCharType="begin"/>
                          </w:r>
                          <w:r>
                            <w:instrText xml:space="preserve"> PAGE  \* MERGEFORMAT </w:instrText>
                          </w:r>
                          <w:r>
                            <w:fldChar w:fldCharType="separate"/>
                          </w:r>
                          <w:r>
                            <w:t>157</w:t>
                          </w:r>
                          <w:r>
                            <w:fldChar w:fldCharType="end"/>
                          </w:r>
                        </w:p>
                      </w:txbxContent>
                    </wps:txbx>
                    <wps:bodyPr wrap="none" lIns="0" tIns="0" rIns="0" bIns="0" upright="0">
                      <a:spAutoFit/>
                    </wps:bodyPr>
                  </wps:wsp>
                </a:graphicData>
              </a:graphic>
            </wp:anchor>
          </w:drawing>
        </mc:Choice>
        <mc:Fallback>
          <w:pict>
            <v:shape id="文本框 11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8EzL8sBAACdAwAADgAAAGRycy9lMm9Eb2MueG1srVNLbtswEN0XyB0I&#10;7mNJXhiGYDloYSQIULQF0h6ApkiLAH/g0JZ8gfYGXXXTfc/lc3RISU6bbrLohhrODN/MezPa3A1G&#10;k5MIoJxtaLUoKRGWu1bZQ0O/fL6/XVMCkdmWaWdFQ88C6N325s2m97VYus7pVgSCIBbq3je0i9HX&#10;RQG8E4bBwnlhMShdMCziNRyKNrAe0Y0ulmW5KnoXWh8cFwDo3Y1BOiGG1wA6KRUXO8ePRtg4ogah&#10;WURK0CkPdJu7lVLw+FFKEJHohiLTmE8sgvY+ncV2w+pDYL5TfGqBvaaFF5wMUxaLXqF2LDJyDOof&#10;KKN4cOBkXHBnipFIVgRZVOULbZ465kXmglKDv4oO/w+Wfzh9CkS1uAkrSiwzOPHL92+XH78uP7+S&#10;qlpVSaLeQ42ZTx5z4/DODZg++wGdifkgg0lf5EQwjgKfrwKLIRKeHq2X63WJIY6x+YL4xfNzHyA+&#10;CGdIMhoacIJZWHZ6D3FMnVNSNevuldZ5itr+5UDM5ClS72OPyYrDfpgI7V17Rj49Dr+hFnedEv1o&#10;Udu0J7MRZmM/G0cf1KHLi5TqgX97jNhE7i1VGGGnwji1zG7asLQWf95z1vNf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MvBMy/LAQAAnQMAAA4AAAAAAAAAAQAgAAAAHgEAAGRycy9lMm9E&#10;b2MueG1sUEsFBgAAAAAGAAYAWQEAAFsFAAAAAA==&#10;">
              <v:fill on="f" focussize="0,0"/>
              <v:stroke on="f"/>
              <v:imagedata o:title=""/>
              <o:lock v:ext="edit" aspectratio="f"/>
              <v:textbox inset="0mm,0mm,0mm,0mm" style="mso-fit-shape-to-text:t;">
                <w:txbxContent>
                  <w:p w14:paraId="2CAABAF4">
                    <w:pPr>
                      <w:pStyle w:val="19"/>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6ECB91"/>
    <w:multiLevelType w:val="singleLevel"/>
    <w:tmpl w:val="B06ECB91"/>
    <w:lvl w:ilvl="0" w:tentative="0">
      <w:start w:val="1"/>
      <w:numFmt w:val="decimal"/>
      <w:suff w:val="space"/>
      <w:lvlText w:val="%1、"/>
      <w:lvlJc w:val="left"/>
    </w:lvl>
  </w:abstractNum>
  <w:abstractNum w:abstractNumId="1">
    <w:nsid w:val="BF2676A0"/>
    <w:multiLevelType w:val="singleLevel"/>
    <w:tmpl w:val="BF2676A0"/>
    <w:lvl w:ilvl="0" w:tentative="0">
      <w:start w:val="2"/>
      <w:numFmt w:val="decimal"/>
      <w:suff w:val="nothing"/>
      <w:lvlText w:val="%1）"/>
      <w:lvlJc w:val="left"/>
    </w:lvl>
  </w:abstractNum>
  <w:abstractNum w:abstractNumId="2">
    <w:nsid w:val="CAA0177D"/>
    <w:multiLevelType w:val="singleLevel"/>
    <w:tmpl w:val="CAA0177D"/>
    <w:lvl w:ilvl="0" w:tentative="0">
      <w:start w:val="4"/>
      <w:numFmt w:val="decimal"/>
      <w:suff w:val="nothing"/>
      <w:lvlText w:val="（%1）"/>
      <w:lvlJc w:val="left"/>
    </w:lvl>
  </w:abstractNum>
  <w:abstractNum w:abstractNumId="3">
    <w:nsid w:val="E450D682"/>
    <w:multiLevelType w:val="singleLevel"/>
    <w:tmpl w:val="E450D682"/>
    <w:lvl w:ilvl="0" w:tentative="0">
      <w:start w:val="6"/>
      <w:numFmt w:val="decimal"/>
      <w:suff w:val="nothing"/>
      <w:lvlText w:val="%1、"/>
      <w:lvlJc w:val="left"/>
    </w:lvl>
  </w:abstractNum>
  <w:abstractNum w:abstractNumId="4">
    <w:nsid w:val="F1E986E3"/>
    <w:multiLevelType w:val="multilevel"/>
    <w:tmpl w:val="F1E986E3"/>
    <w:lvl w:ilvl="0" w:tentative="0">
      <w:start w:val="1"/>
      <w:numFmt w:val="decimal"/>
      <w:lvlText w:val="表%1"/>
      <w:lvlJc w:val="center"/>
      <w:pPr>
        <w:ind w:left="3902" w:hanging="132"/>
      </w:pPr>
      <w:rPr>
        <w:rFonts w:hint="default" w:ascii="Times New Roman" w:hAnsi="Times New Roman" w:cs="Times New Roman"/>
        <w:b/>
        <w:sz w:val="24"/>
        <w:szCs w:val="24"/>
      </w:rPr>
    </w:lvl>
    <w:lvl w:ilvl="1" w:tentative="0">
      <w:start w:val="1"/>
      <w:numFmt w:val="decimal"/>
      <w:lvlText w:val="表%2"/>
      <w:lvlJc w:val="left"/>
      <w:pPr>
        <w:tabs>
          <w:tab w:val="left" w:pos="1440"/>
        </w:tabs>
        <w:ind w:left="3300" w:hanging="360"/>
      </w:pPr>
      <w:rPr>
        <w:rFonts w:hint="default" w:ascii="Times New Roman" w:hAnsi="Times New Roman" w:eastAsia="宋体" w:cs="Times New Roman"/>
        <w:b/>
        <w:bCs/>
        <w:sz w:val="24"/>
        <w:szCs w:val="24"/>
      </w:rPr>
    </w:lvl>
    <w:lvl w:ilvl="2" w:tentative="0">
      <w:start w:val="1"/>
      <w:numFmt w:val="decimal"/>
      <w:lvlText w:val="%3."/>
      <w:lvlJc w:val="left"/>
      <w:pPr>
        <w:tabs>
          <w:tab w:val="left" w:pos="2160"/>
        </w:tabs>
        <w:ind w:left="3131" w:hanging="360"/>
      </w:pPr>
    </w:lvl>
    <w:lvl w:ilvl="3" w:tentative="0">
      <w:start w:val="1"/>
      <w:numFmt w:val="decimal"/>
      <w:lvlText w:val="%4."/>
      <w:lvlJc w:val="left"/>
      <w:pPr>
        <w:tabs>
          <w:tab w:val="left" w:pos="2880"/>
        </w:tabs>
        <w:ind w:left="3851" w:hanging="360"/>
      </w:pPr>
    </w:lvl>
    <w:lvl w:ilvl="4" w:tentative="0">
      <w:start w:val="1"/>
      <w:numFmt w:val="decimal"/>
      <w:lvlText w:val="%5."/>
      <w:lvlJc w:val="left"/>
      <w:pPr>
        <w:tabs>
          <w:tab w:val="left" w:pos="3600"/>
        </w:tabs>
        <w:ind w:left="4571" w:hanging="360"/>
      </w:pPr>
    </w:lvl>
    <w:lvl w:ilvl="5" w:tentative="0">
      <w:start w:val="1"/>
      <w:numFmt w:val="decimal"/>
      <w:lvlText w:val="%6."/>
      <w:lvlJc w:val="left"/>
      <w:pPr>
        <w:tabs>
          <w:tab w:val="left" w:pos="4320"/>
        </w:tabs>
        <w:ind w:left="5291" w:hanging="360"/>
      </w:pPr>
    </w:lvl>
    <w:lvl w:ilvl="6" w:tentative="0">
      <w:start w:val="1"/>
      <w:numFmt w:val="decimal"/>
      <w:lvlText w:val="%7."/>
      <w:lvlJc w:val="left"/>
      <w:pPr>
        <w:tabs>
          <w:tab w:val="left" w:pos="5040"/>
        </w:tabs>
        <w:ind w:left="6011" w:hanging="360"/>
      </w:pPr>
    </w:lvl>
    <w:lvl w:ilvl="7" w:tentative="0">
      <w:start w:val="1"/>
      <w:numFmt w:val="decimal"/>
      <w:lvlText w:val="%8."/>
      <w:lvlJc w:val="left"/>
      <w:pPr>
        <w:tabs>
          <w:tab w:val="left" w:pos="5760"/>
        </w:tabs>
        <w:ind w:left="6731" w:hanging="360"/>
      </w:pPr>
    </w:lvl>
    <w:lvl w:ilvl="8" w:tentative="0">
      <w:start w:val="1"/>
      <w:numFmt w:val="decimal"/>
      <w:lvlText w:val="%9."/>
      <w:lvlJc w:val="left"/>
      <w:pPr>
        <w:tabs>
          <w:tab w:val="left" w:pos="6480"/>
        </w:tabs>
        <w:ind w:left="7451" w:hanging="360"/>
      </w:pPr>
    </w:lvl>
  </w:abstractNum>
  <w:abstractNum w:abstractNumId="5">
    <w:nsid w:val="08D4EC53"/>
    <w:multiLevelType w:val="singleLevel"/>
    <w:tmpl w:val="08D4EC53"/>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6">
    <w:nsid w:val="0A4B665D"/>
    <w:multiLevelType w:val="singleLevel"/>
    <w:tmpl w:val="0A4B665D"/>
    <w:lvl w:ilvl="0" w:tentative="0">
      <w:start w:val="1"/>
      <w:numFmt w:val="decimal"/>
      <w:suff w:val="nothing"/>
      <w:lvlText w:val="（%1）"/>
      <w:lvlJc w:val="left"/>
      <w:pPr>
        <w:ind w:left="-60"/>
      </w:pPr>
    </w:lvl>
  </w:abstractNum>
  <w:abstractNum w:abstractNumId="7">
    <w:nsid w:val="10FE84AA"/>
    <w:multiLevelType w:val="singleLevel"/>
    <w:tmpl w:val="10FE84AA"/>
    <w:lvl w:ilvl="0" w:tentative="0">
      <w:start w:val="2"/>
      <w:numFmt w:val="decimal"/>
      <w:suff w:val="nothing"/>
      <w:lvlText w:val="%1、"/>
      <w:lvlJc w:val="left"/>
    </w:lvl>
  </w:abstractNum>
  <w:abstractNum w:abstractNumId="8">
    <w:nsid w:val="1D2AC0D9"/>
    <w:multiLevelType w:val="multilevel"/>
    <w:tmpl w:val="1D2AC0D9"/>
    <w:lvl w:ilvl="0" w:tentative="0">
      <w:start w:val="1"/>
      <w:numFmt w:val="decimal"/>
      <w:suff w:val="nothing"/>
      <w:lvlText w:val="图%1"/>
      <w:lvlJc w:val="left"/>
      <w:pPr>
        <w:tabs>
          <w:tab w:val="left" w:pos="0"/>
        </w:tabs>
        <w:ind w:left="0" w:firstLine="560"/>
      </w:pPr>
      <w:rPr>
        <w:rFonts w:hint="default" w:ascii="Times New Roman" w:hAnsi="Times New Roman" w:eastAsia="宋体"/>
        <w:sz w:val="24"/>
        <w:szCs w:val="24"/>
        <w:lang w:val="en-US"/>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3376A5AA"/>
    <w:multiLevelType w:val="multilevel"/>
    <w:tmpl w:val="3376A5AA"/>
    <w:lvl w:ilvl="0" w:tentative="0">
      <w:start w:val="1"/>
      <w:numFmt w:val="decimal"/>
      <w:suff w:val="nothing"/>
      <w:lvlText w:val="图%1"/>
      <w:lvlJc w:val="left"/>
      <w:pPr>
        <w:tabs>
          <w:tab w:val="left" w:pos="0"/>
        </w:tabs>
        <w:ind w:left="0" w:firstLine="560"/>
      </w:pPr>
      <w:rPr>
        <w:rFonts w:hint="default" w:ascii="Times New Roman" w:hAnsi="Times New Roman" w:eastAsia="宋体"/>
        <w:sz w:val="24"/>
        <w:szCs w:val="24"/>
        <w:lang w:val="en-US"/>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0">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49"/>
      <w:suff w:val="space"/>
      <w:lvlText w:val="%1.%2"/>
      <w:lvlJc w:val="left"/>
      <w:pPr>
        <w:ind w:left="189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45C0FDDA"/>
    <w:multiLevelType w:val="singleLevel"/>
    <w:tmpl w:val="45C0FDDA"/>
    <w:lvl w:ilvl="0" w:tentative="0">
      <w:start w:val="2"/>
      <w:numFmt w:val="decimal"/>
      <w:suff w:val="nothing"/>
      <w:lvlText w:val="（%1）"/>
      <w:lvlJc w:val="left"/>
    </w:lvl>
  </w:abstractNum>
  <w:abstractNum w:abstractNumId="12">
    <w:nsid w:val="4FFFDB20"/>
    <w:multiLevelType w:val="singleLevel"/>
    <w:tmpl w:val="4FFFDB20"/>
    <w:lvl w:ilvl="0" w:tentative="0">
      <w:start w:val="4"/>
      <w:numFmt w:val="decimal"/>
      <w:suff w:val="nothing"/>
      <w:lvlText w:val="%1）"/>
      <w:lvlJc w:val="left"/>
      <w:pPr>
        <w:ind w:left="-60"/>
      </w:pPr>
    </w:lvl>
  </w:abstractNum>
  <w:abstractNum w:abstractNumId="13">
    <w:nsid w:val="7B4A2615"/>
    <w:multiLevelType w:val="multilevel"/>
    <w:tmpl w:val="7B4A2615"/>
    <w:lvl w:ilvl="0" w:tentative="0">
      <w:start w:val="1"/>
      <w:numFmt w:val="chineseCountingThousand"/>
      <w:lvlText w:val="第%1章"/>
      <w:lvlJc w:val="left"/>
      <w:pPr>
        <w:ind w:left="420" w:hanging="420"/>
      </w:pPr>
      <w:rPr>
        <w:rFonts w:hint="default"/>
        <w:sz w:val="44"/>
        <w:szCs w:val="44"/>
      </w:rPr>
    </w:lvl>
    <w:lvl w:ilvl="1" w:tentative="0">
      <w:start w:val="1"/>
      <w:numFmt w:val="decimal"/>
      <w:isLgl/>
      <w:lvlText w:val="%1.%2"/>
      <w:lvlJc w:val="left"/>
      <w:pPr>
        <w:ind w:left="0" w:firstLine="0"/>
      </w:pPr>
      <w:rPr>
        <w:rFonts w:hint="eastAsia"/>
      </w:rPr>
    </w:lvl>
    <w:lvl w:ilvl="2" w:tentative="0">
      <w:start w:val="1"/>
      <w:numFmt w:val="decimal"/>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lvlRestart w:val="2"/>
      <w:pStyle w:val="25"/>
      <w:isLgl/>
      <w:lvlText w:val="表%1.%2-%5"/>
      <w:lvlJc w:val="center"/>
      <w:pPr>
        <w:ind w:left="6090" w:firstLine="0"/>
      </w:pPr>
      <w:rPr>
        <w:rFonts w:hint="default" w:ascii="Times New Roman" w:hAnsi="Times New Roman" w:cs="Times New Roman"/>
        <w:b/>
        <w:i w:val="0"/>
        <w:color w:val="auto"/>
        <w:lang w:val="en-US"/>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5"/>
  </w:num>
  <w:num w:numId="2">
    <w:abstractNumId w:val="13"/>
  </w:num>
  <w:num w:numId="3">
    <w:abstractNumId w:val="10"/>
  </w:num>
  <w:num w:numId="4">
    <w:abstractNumId w:val="4"/>
  </w:num>
  <w:num w:numId="5">
    <w:abstractNumId w:val="1"/>
  </w:num>
  <w:num w:numId="6">
    <w:abstractNumId w:val="11"/>
  </w:num>
  <w:num w:numId="7">
    <w:abstractNumId w:val="9"/>
  </w:num>
  <w:num w:numId="8">
    <w:abstractNumId w:val="3"/>
  </w:num>
  <w:num w:numId="9">
    <w:abstractNumId w:val="8"/>
  </w:num>
  <w:num w:numId="10">
    <w:abstractNumId w:val="12"/>
  </w:num>
  <w:num w:numId="11">
    <w:abstractNumId w:val="7"/>
  </w:num>
  <w:num w:numId="12">
    <w:abstractNumId w:val="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Y2UxYmYxYmM2YjgyNmE1NDg3MWU5YTM2NWQzZTIifQ=="/>
  </w:docVars>
  <w:rsids>
    <w:rsidRoot w:val="00172A27"/>
    <w:rsid w:val="00001578"/>
    <w:rsid w:val="00001CED"/>
    <w:rsid w:val="00001E67"/>
    <w:rsid w:val="00003CD8"/>
    <w:rsid w:val="00014965"/>
    <w:rsid w:val="0001523A"/>
    <w:rsid w:val="00016ECB"/>
    <w:rsid w:val="00022C86"/>
    <w:rsid w:val="000269F6"/>
    <w:rsid w:val="00031939"/>
    <w:rsid w:val="00032C7C"/>
    <w:rsid w:val="00032D25"/>
    <w:rsid w:val="00044EF2"/>
    <w:rsid w:val="000468E8"/>
    <w:rsid w:val="0005219D"/>
    <w:rsid w:val="00055218"/>
    <w:rsid w:val="0005568F"/>
    <w:rsid w:val="00060C6A"/>
    <w:rsid w:val="0006153D"/>
    <w:rsid w:val="00061B1F"/>
    <w:rsid w:val="000664DB"/>
    <w:rsid w:val="00066FC6"/>
    <w:rsid w:val="0007048E"/>
    <w:rsid w:val="0007127D"/>
    <w:rsid w:val="00071AE5"/>
    <w:rsid w:val="00074783"/>
    <w:rsid w:val="000801E0"/>
    <w:rsid w:val="00080AB5"/>
    <w:rsid w:val="00082A29"/>
    <w:rsid w:val="0008331D"/>
    <w:rsid w:val="00083C18"/>
    <w:rsid w:val="00092899"/>
    <w:rsid w:val="000A178E"/>
    <w:rsid w:val="000A557E"/>
    <w:rsid w:val="000B058F"/>
    <w:rsid w:val="000B693F"/>
    <w:rsid w:val="000C09AC"/>
    <w:rsid w:val="000C0A63"/>
    <w:rsid w:val="000C437E"/>
    <w:rsid w:val="000E5F16"/>
    <w:rsid w:val="000F0C80"/>
    <w:rsid w:val="000F4452"/>
    <w:rsid w:val="000F6DA1"/>
    <w:rsid w:val="000F701B"/>
    <w:rsid w:val="000F7992"/>
    <w:rsid w:val="001056A0"/>
    <w:rsid w:val="00115279"/>
    <w:rsid w:val="00117459"/>
    <w:rsid w:val="0011749A"/>
    <w:rsid w:val="00125861"/>
    <w:rsid w:val="00127A68"/>
    <w:rsid w:val="00133E71"/>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94B16"/>
    <w:rsid w:val="001A7D2A"/>
    <w:rsid w:val="001B574C"/>
    <w:rsid w:val="001C0AF9"/>
    <w:rsid w:val="001C155A"/>
    <w:rsid w:val="001C48C0"/>
    <w:rsid w:val="001C7266"/>
    <w:rsid w:val="001D2C95"/>
    <w:rsid w:val="001D3435"/>
    <w:rsid w:val="001D6726"/>
    <w:rsid w:val="001E62BA"/>
    <w:rsid w:val="001F3347"/>
    <w:rsid w:val="001F4440"/>
    <w:rsid w:val="001F69E4"/>
    <w:rsid w:val="00206A65"/>
    <w:rsid w:val="00212D31"/>
    <w:rsid w:val="002130C7"/>
    <w:rsid w:val="002218A8"/>
    <w:rsid w:val="0022306D"/>
    <w:rsid w:val="00226574"/>
    <w:rsid w:val="002278EC"/>
    <w:rsid w:val="00231FA5"/>
    <w:rsid w:val="002357C7"/>
    <w:rsid w:val="002367C4"/>
    <w:rsid w:val="00240B8F"/>
    <w:rsid w:val="0025679E"/>
    <w:rsid w:val="0026071D"/>
    <w:rsid w:val="00260C68"/>
    <w:rsid w:val="002648B0"/>
    <w:rsid w:val="00267369"/>
    <w:rsid w:val="00275271"/>
    <w:rsid w:val="0027535E"/>
    <w:rsid w:val="00275AA6"/>
    <w:rsid w:val="002807D5"/>
    <w:rsid w:val="00282CCD"/>
    <w:rsid w:val="002A168C"/>
    <w:rsid w:val="002A2C48"/>
    <w:rsid w:val="002A3058"/>
    <w:rsid w:val="002A3EED"/>
    <w:rsid w:val="002A4A39"/>
    <w:rsid w:val="002A5A17"/>
    <w:rsid w:val="002A6425"/>
    <w:rsid w:val="002B3E3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5BC"/>
    <w:rsid w:val="00341B3E"/>
    <w:rsid w:val="00341B42"/>
    <w:rsid w:val="00345154"/>
    <w:rsid w:val="0034560E"/>
    <w:rsid w:val="00350523"/>
    <w:rsid w:val="00352975"/>
    <w:rsid w:val="00356868"/>
    <w:rsid w:val="00362D2C"/>
    <w:rsid w:val="0036485B"/>
    <w:rsid w:val="00373B0D"/>
    <w:rsid w:val="00376988"/>
    <w:rsid w:val="00381A72"/>
    <w:rsid w:val="00384B9C"/>
    <w:rsid w:val="003A1948"/>
    <w:rsid w:val="003A2271"/>
    <w:rsid w:val="003B152A"/>
    <w:rsid w:val="003B545B"/>
    <w:rsid w:val="003C3AB6"/>
    <w:rsid w:val="003D3EE9"/>
    <w:rsid w:val="003E7681"/>
    <w:rsid w:val="003F0809"/>
    <w:rsid w:val="003F611C"/>
    <w:rsid w:val="003F755C"/>
    <w:rsid w:val="004049B2"/>
    <w:rsid w:val="00406EE7"/>
    <w:rsid w:val="00406F01"/>
    <w:rsid w:val="00411B36"/>
    <w:rsid w:val="004121D7"/>
    <w:rsid w:val="00416D50"/>
    <w:rsid w:val="00417772"/>
    <w:rsid w:val="00420E6A"/>
    <w:rsid w:val="0043258A"/>
    <w:rsid w:val="00433CA9"/>
    <w:rsid w:val="0043521D"/>
    <w:rsid w:val="00435920"/>
    <w:rsid w:val="00442024"/>
    <w:rsid w:val="0044254C"/>
    <w:rsid w:val="00443F6A"/>
    <w:rsid w:val="00445A81"/>
    <w:rsid w:val="00450A17"/>
    <w:rsid w:val="00466321"/>
    <w:rsid w:val="00466EE2"/>
    <w:rsid w:val="004672AF"/>
    <w:rsid w:val="004727B0"/>
    <w:rsid w:val="00475286"/>
    <w:rsid w:val="00480247"/>
    <w:rsid w:val="0048081D"/>
    <w:rsid w:val="0048117E"/>
    <w:rsid w:val="004855F6"/>
    <w:rsid w:val="00486F0C"/>
    <w:rsid w:val="00494670"/>
    <w:rsid w:val="004A0CE6"/>
    <w:rsid w:val="004A0EB4"/>
    <w:rsid w:val="004A3823"/>
    <w:rsid w:val="004A59BB"/>
    <w:rsid w:val="004B0516"/>
    <w:rsid w:val="004B43A3"/>
    <w:rsid w:val="004B4C49"/>
    <w:rsid w:val="004B58A5"/>
    <w:rsid w:val="004B63D9"/>
    <w:rsid w:val="004C0882"/>
    <w:rsid w:val="004C55BE"/>
    <w:rsid w:val="004D31BE"/>
    <w:rsid w:val="004D330A"/>
    <w:rsid w:val="004E1CF7"/>
    <w:rsid w:val="004E5B30"/>
    <w:rsid w:val="004F0779"/>
    <w:rsid w:val="004F1230"/>
    <w:rsid w:val="004F173F"/>
    <w:rsid w:val="004F177C"/>
    <w:rsid w:val="004F2DCE"/>
    <w:rsid w:val="005039CB"/>
    <w:rsid w:val="0050558F"/>
    <w:rsid w:val="005057E0"/>
    <w:rsid w:val="00506286"/>
    <w:rsid w:val="0050638A"/>
    <w:rsid w:val="0050763E"/>
    <w:rsid w:val="00510813"/>
    <w:rsid w:val="00511DE0"/>
    <w:rsid w:val="0051219B"/>
    <w:rsid w:val="00517F02"/>
    <w:rsid w:val="00524547"/>
    <w:rsid w:val="005258A2"/>
    <w:rsid w:val="00530F7C"/>
    <w:rsid w:val="00532E87"/>
    <w:rsid w:val="00534567"/>
    <w:rsid w:val="00534F43"/>
    <w:rsid w:val="005358F8"/>
    <w:rsid w:val="00535A84"/>
    <w:rsid w:val="00536889"/>
    <w:rsid w:val="00542E07"/>
    <w:rsid w:val="00554A7B"/>
    <w:rsid w:val="0055572C"/>
    <w:rsid w:val="00555944"/>
    <w:rsid w:val="0056064F"/>
    <w:rsid w:val="00561B84"/>
    <w:rsid w:val="00571D98"/>
    <w:rsid w:val="005720AE"/>
    <w:rsid w:val="0058030D"/>
    <w:rsid w:val="00582045"/>
    <w:rsid w:val="00590AE3"/>
    <w:rsid w:val="005918F1"/>
    <w:rsid w:val="005A06B7"/>
    <w:rsid w:val="005A0EF2"/>
    <w:rsid w:val="005A0EFC"/>
    <w:rsid w:val="005A1759"/>
    <w:rsid w:val="005C4AF7"/>
    <w:rsid w:val="005D0369"/>
    <w:rsid w:val="005D53FE"/>
    <w:rsid w:val="005D7A0F"/>
    <w:rsid w:val="005E0438"/>
    <w:rsid w:val="005E1791"/>
    <w:rsid w:val="005E2CE6"/>
    <w:rsid w:val="005E6324"/>
    <w:rsid w:val="005F037B"/>
    <w:rsid w:val="005F228B"/>
    <w:rsid w:val="005F29CD"/>
    <w:rsid w:val="005F400E"/>
    <w:rsid w:val="005F4DFB"/>
    <w:rsid w:val="005F610F"/>
    <w:rsid w:val="005F6CC0"/>
    <w:rsid w:val="006009D0"/>
    <w:rsid w:val="00603E5B"/>
    <w:rsid w:val="00604BC8"/>
    <w:rsid w:val="00615B4C"/>
    <w:rsid w:val="00615B5D"/>
    <w:rsid w:val="0062146F"/>
    <w:rsid w:val="00623B57"/>
    <w:rsid w:val="006343AF"/>
    <w:rsid w:val="0063634A"/>
    <w:rsid w:val="00637AF8"/>
    <w:rsid w:val="00641E35"/>
    <w:rsid w:val="0064250D"/>
    <w:rsid w:val="006535EB"/>
    <w:rsid w:val="00663016"/>
    <w:rsid w:val="00674605"/>
    <w:rsid w:val="006748B8"/>
    <w:rsid w:val="00675564"/>
    <w:rsid w:val="00683EDE"/>
    <w:rsid w:val="0068535B"/>
    <w:rsid w:val="0068736E"/>
    <w:rsid w:val="0069290A"/>
    <w:rsid w:val="00697032"/>
    <w:rsid w:val="006975AC"/>
    <w:rsid w:val="006A15FB"/>
    <w:rsid w:val="006A72BF"/>
    <w:rsid w:val="006B332A"/>
    <w:rsid w:val="006B33BD"/>
    <w:rsid w:val="006C3F75"/>
    <w:rsid w:val="006D170E"/>
    <w:rsid w:val="006E06AF"/>
    <w:rsid w:val="006E23F3"/>
    <w:rsid w:val="006E3B02"/>
    <w:rsid w:val="006E4A54"/>
    <w:rsid w:val="006F1789"/>
    <w:rsid w:val="006F1F6F"/>
    <w:rsid w:val="00706C5D"/>
    <w:rsid w:val="007118E6"/>
    <w:rsid w:val="007225C9"/>
    <w:rsid w:val="00726300"/>
    <w:rsid w:val="0073416C"/>
    <w:rsid w:val="00735CD7"/>
    <w:rsid w:val="00741471"/>
    <w:rsid w:val="00754034"/>
    <w:rsid w:val="00754BF1"/>
    <w:rsid w:val="00755A30"/>
    <w:rsid w:val="00755E1C"/>
    <w:rsid w:val="00756556"/>
    <w:rsid w:val="00760B9A"/>
    <w:rsid w:val="0076132B"/>
    <w:rsid w:val="007623AE"/>
    <w:rsid w:val="00767F71"/>
    <w:rsid w:val="00770B19"/>
    <w:rsid w:val="0077363A"/>
    <w:rsid w:val="00773916"/>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6137"/>
    <w:rsid w:val="007D7ECB"/>
    <w:rsid w:val="007E25A1"/>
    <w:rsid w:val="007E2853"/>
    <w:rsid w:val="007E4BD2"/>
    <w:rsid w:val="007E6B44"/>
    <w:rsid w:val="007E7145"/>
    <w:rsid w:val="007F3916"/>
    <w:rsid w:val="00801179"/>
    <w:rsid w:val="00802479"/>
    <w:rsid w:val="00805372"/>
    <w:rsid w:val="00805B7B"/>
    <w:rsid w:val="0081293E"/>
    <w:rsid w:val="00814FFB"/>
    <w:rsid w:val="00820568"/>
    <w:rsid w:val="00831A80"/>
    <w:rsid w:val="008329D8"/>
    <w:rsid w:val="008332C8"/>
    <w:rsid w:val="00833743"/>
    <w:rsid w:val="008340A4"/>
    <w:rsid w:val="00836799"/>
    <w:rsid w:val="00837028"/>
    <w:rsid w:val="00837131"/>
    <w:rsid w:val="00845F57"/>
    <w:rsid w:val="008521E0"/>
    <w:rsid w:val="008525B0"/>
    <w:rsid w:val="008566B0"/>
    <w:rsid w:val="00865348"/>
    <w:rsid w:val="00867CBC"/>
    <w:rsid w:val="00876C30"/>
    <w:rsid w:val="00877017"/>
    <w:rsid w:val="008773C0"/>
    <w:rsid w:val="00880364"/>
    <w:rsid w:val="00886C4C"/>
    <w:rsid w:val="0088711C"/>
    <w:rsid w:val="00892ECF"/>
    <w:rsid w:val="00892F06"/>
    <w:rsid w:val="00894285"/>
    <w:rsid w:val="008953F8"/>
    <w:rsid w:val="008A40AE"/>
    <w:rsid w:val="008A4E19"/>
    <w:rsid w:val="008A67C5"/>
    <w:rsid w:val="008B22E1"/>
    <w:rsid w:val="008B3C78"/>
    <w:rsid w:val="008B4AE9"/>
    <w:rsid w:val="008C30AD"/>
    <w:rsid w:val="008C3A64"/>
    <w:rsid w:val="008D068E"/>
    <w:rsid w:val="008D0F7A"/>
    <w:rsid w:val="008D63BE"/>
    <w:rsid w:val="008D71FB"/>
    <w:rsid w:val="008E0CFF"/>
    <w:rsid w:val="008E5D6B"/>
    <w:rsid w:val="008E689B"/>
    <w:rsid w:val="008E76F0"/>
    <w:rsid w:val="008F15FE"/>
    <w:rsid w:val="008F2A94"/>
    <w:rsid w:val="008F376A"/>
    <w:rsid w:val="008F4509"/>
    <w:rsid w:val="008F5187"/>
    <w:rsid w:val="008F709C"/>
    <w:rsid w:val="0090312B"/>
    <w:rsid w:val="00904961"/>
    <w:rsid w:val="0091736D"/>
    <w:rsid w:val="009224D5"/>
    <w:rsid w:val="00931001"/>
    <w:rsid w:val="00931863"/>
    <w:rsid w:val="00933524"/>
    <w:rsid w:val="0094278D"/>
    <w:rsid w:val="00946E0E"/>
    <w:rsid w:val="0095217C"/>
    <w:rsid w:val="0095308A"/>
    <w:rsid w:val="00955AEE"/>
    <w:rsid w:val="00956D75"/>
    <w:rsid w:val="00956F14"/>
    <w:rsid w:val="009620FD"/>
    <w:rsid w:val="0096247A"/>
    <w:rsid w:val="009635D8"/>
    <w:rsid w:val="00965F4B"/>
    <w:rsid w:val="00970F8A"/>
    <w:rsid w:val="00971FB5"/>
    <w:rsid w:val="00972D2A"/>
    <w:rsid w:val="00973189"/>
    <w:rsid w:val="00975CC5"/>
    <w:rsid w:val="00976328"/>
    <w:rsid w:val="00976B4E"/>
    <w:rsid w:val="00984458"/>
    <w:rsid w:val="00985283"/>
    <w:rsid w:val="00987322"/>
    <w:rsid w:val="00992641"/>
    <w:rsid w:val="009A0F3B"/>
    <w:rsid w:val="009A3D11"/>
    <w:rsid w:val="009A72C7"/>
    <w:rsid w:val="009B0897"/>
    <w:rsid w:val="009B6A78"/>
    <w:rsid w:val="009D0852"/>
    <w:rsid w:val="009D0DCC"/>
    <w:rsid w:val="009D1FBF"/>
    <w:rsid w:val="009E399C"/>
    <w:rsid w:val="009E43C1"/>
    <w:rsid w:val="009E6043"/>
    <w:rsid w:val="009E7E95"/>
    <w:rsid w:val="009F116F"/>
    <w:rsid w:val="009F329E"/>
    <w:rsid w:val="009F7ED3"/>
    <w:rsid w:val="00A03607"/>
    <w:rsid w:val="00A047FF"/>
    <w:rsid w:val="00A04FEF"/>
    <w:rsid w:val="00A122CD"/>
    <w:rsid w:val="00A12A32"/>
    <w:rsid w:val="00A13DDA"/>
    <w:rsid w:val="00A14248"/>
    <w:rsid w:val="00A14947"/>
    <w:rsid w:val="00A22E49"/>
    <w:rsid w:val="00A23DC5"/>
    <w:rsid w:val="00A34028"/>
    <w:rsid w:val="00A3470B"/>
    <w:rsid w:val="00A35568"/>
    <w:rsid w:val="00A37056"/>
    <w:rsid w:val="00A4358F"/>
    <w:rsid w:val="00A46F67"/>
    <w:rsid w:val="00A54AA1"/>
    <w:rsid w:val="00A566D5"/>
    <w:rsid w:val="00A568FF"/>
    <w:rsid w:val="00A61496"/>
    <w:rsid w:val="00A61833"/>
    <w:rsid w:val="00A624C6"/>
    <w:rsid w:val="00A63CEC"/>
    <w:rsid w:val="00A641FB"/>
    <w:rsid w:val="00A65BBD"/>
    <w:rsid w:val="00A7031E"/>
    <w:rsid w:val="00A728B1"/>
    <w:rsid w:val="00A763DE"/>
    <w:rsid w:val="00A803D6"/>
    <w:rsid w:val="00A81282"/>
    <w:rsid w:val="00A85F6B"/>
    <w:rsid w:val="00A8713F"/>
    <w:rsid w:val="00A91167"/>
    <w:rsid w:val="00A9171C"/>
    <w:rsid w:val="00A92FFD"/>
    <w:rsid w:val="00A95975"/>
    <w:rsid w:val="00A9708D"/>
    <w:rsid w:val="00AA2C17"/>
    <w:rsid w:val="00AA4172"/>
    <w:rsid w:val="00AB1914"/>
    <w:rsid w:val="00AB5330"/>
    <w:rsid w:val="00AB7747"/>
    <w:rsid w:val="00AC2532"/>
    <w:rsid w:val="00AD135E"/>
    <w:rsid w:val="00AD1507"/>
    <w:rsid w:val="00AD5A70"/>
    <w:rsid w:val="00AD7338"/>
    <w:rsid w:val="00AD738B"/>
    <w:rsid w:val="00AE1BF4"/>
    <w:rsid w:val="00AE30B0"/>
    <w:rsid w:val="00AE5D97"/>
    <w:rsid w:val="00AE6794"/>
    <w:rsid w:val="00AF0634"/>
    <w:rsid w:val="00B01110"/>
    <w:rsid w:val="00B02262"/>
    <w:rsid w:val="00B03CEC"/>
    <w:rsid w:val="00B11F6C"/>
    <w:rsid w:val="00B1209F"/>
    <w:rsid w:val="00B12AD0"/>
    <w:rsid w:val="00B24F30"/>
    <w:rsid w:val="00B25710"/>
    <w:rsid w:val="00B31ABF"/>
    <w:rsid w:val="00B335AE"/>
    <w:rsid w:val="00B37CE1"/>
    <w:rsid w:val="00B40ACF"/>
    <w:rsid w:val="00B46BAA"/>
    <w:rsid w:val="00B50B5F"/>
    <w:rsid w:val="00B54128"/>
    <w:rsid w:val="00B55826"/>
    <w:rsid w:val="00B60426"/>
    <w:rsid w:val="00B622DD"/>
    <w:rsid w:val="00B63522"/>
    <w:rsid w:val="00B643E1"/>
    <w:rsid w:val="00B76F1D"/>
    <w:rsid w:val="00B807E1"/>
    <w:rsid w:val="00B92A19"/>
    <w:rsid w:val="00B9544C"/>
    <w:rsid w:val="00BA1646"/>
    <w:rsid w:val="00BA29E9"/>
    <w:rsid w:val="00BB3618"/>
    <w:rsid w:val="00BC0C9E"/>
    <w:rsid w:val="00BC32DC"/>
    <w:rsid w:val="00BD1B51"/>
    <w:rsid w:val="00BD34B1"/>
    <w:rsid w:val="00BD47F6"/>
    <w:rsid w:val="00BE312D"/>
    <w:rsid w:val="00BE3FCA"/>
    <w:rsid w:val="00BF2236"/>
    <w:rsid w:val="00BF3B8B"/>
    <w:rsid w:val="00BF4E95"/>
    <w:rsid w:val="00C04EC3"/>
    <w:rsid w:val="00C053E4"/>
    <w:rsid w:val="00C05719"/>
    <w:rsid w:val="00C10578"/>
    <w:rsid w:val="00C17D62"/>
    <w:rsid w:val="00C21FDC"/>
    <w:rsid w:val="00C24EE7"/>
    <w:rsid w:val="00C2596A"/>
    <w:rsid w:val="00C26FFD"/>
    <w:rsid w:val="00C271BE"/>
    <w:rsid w:val="00C27425"/>
    <w:rsid w:val="00C31933"/>
    <w:rsid w:val="00C328FE"/>
    <w:rsid w:val="00C33A05"/>
    <w:rsid w:val="00C42500"/>
    <w:rsid w:val="00C4409D"/>
    <w:rsid w:val="00C455BE"/>
    <w:rsid w:val="00C51E5F"/>
    <w:rsid w:val="00C51FC9"/>
    <w:rsid w:val="00C565DA"/>
    <w:rsid w:val="00C61E4B"/>
    <w:rsid w:val="00C621A8"/>
    <w:rsid w:val="00C62E3A"/>
    <w:rsid w:val="00C64503"/>
    <w:rsid w:val="00C64A1F"/>
    <w:rsid w:val="00C64BFF"/>
    <w:rsid w:val="00C763C9"/>
    <w:rsid w:val="00C80057"/>
    <w:rsid w:val="00C816CD"/>
    <w:rsid w:val="00C82C79"/>
    <w:rsid w:val="00C84753"/>
    <w:rsid w:val="00C91611"/>
    <w:rsid w:val="00CA3585"/>
    <w:rsid w:val="00CA3D5A"/>
    <w:rsid w:val="00CA4C7C"/>
    <w:rsid w:val="00CA699E"/>
    <w:rsid w:val="00CB0183"/>
    <w:rsid w:val="00CB1EA3"/>
    <w:rsid w:val="00CB43D0"/>
    <w:rsid w:val="00CB552C"/>
    <w:rsid w:val="00CB6A9E"/>
    <w:rsid w:val="00CC6181"/>
    <w:rsid w:val="00CD2BCD"/>
    <w:rsid w:val="00CD36AA"/>
    <w:rsid w:val="00CD3791"/>
    <w:rsid w:val="00CD65B0"/>
    <w:rsid w:val="00CD6DD6"/>
    <w:rsid w:val="00CE0134"/>
    <w:rsid w:val="00CE02CD"/>
    <w:rsid w:val="00CE10E9"/>
    <w:rsid w:val="00CE72AE"/>
    <w:rsid w:val="00CF0D01"/>
    <w:rsid w:val="00D0072E"/>
    <w:rsid w:val="00D07B9F"/>
    <w:rsid w:val="00D15727"/>
    <w:rsid w:val="00D16332"/>
    <w:rsid w:val="00D23242"/>
    <w:rsid w:val="00D24972"/>
    <w:rsid w:val="00D2515E"/>
    <w:rsid w:val="00D308ED"/>
    <w:rsid w:val="00D56178"/>
    <w:rsid w:val="00D56CF0"/>
    <w:rsid w:val="00D56F5C"/>
    <w:rsid w:val="00D704B1"/>
    <w:rsid w:val="00D70AF9"/>
    <w:rsid w:val="00D70B63"/>
    <w:rsid w:val="00D72B92"/>
    <w:rsid w:val="00D72ED4"/>
    <w:rsid w:val="00D73F61"/>
    <w:rsid w:val="00D754C0"/>
    <w:rsid w:val="00D776A2"/>
    <w:rsid w:val="00D801C4"/>
    <w:rsid w:val="00D90836"/>
    <w:rsid w:val="00D95896"/>
    <w:rsid w:val="00D95CC6"/>
    <w:rsid w:val="00DA0317"/>
    <w:rsid w:val="00DA2DA3"/>
    <w:rsid w:val="00DA6615"/>
    <w:rsid w:val="00DA76AE"/>
    <w:rsid w:val="00DB181E"/>
    <w:rsid w:val="00DB1C7A"/>
    <w:rsid w:val="00DB2983"/>
    <w:rsid w:val="00DB343D"/>
    <w:rsid w:val="00DB5264"/>
    <w:rsid w:val="00DB5579"/>
    <w:rsid w:val="00DB5CFE"/>
    <w:rsid w:val="00DC72A6"/>
    <w:rsid w:val="00DD2113"/>
    <w:rsid w:val="00DD265E"/>
    <w:rsid w:val="00DF1930"/>
    <w:rsid w:val="00DF514A"/>
    <w:rsid w:val="00E0358D"/>
    <w:rsid w:val="00E06327"/>
    <w:rsid w:val="00E2064B"/>
    <w:rsid w:val="00E25239"/>
    <w:rsid w:val="00E263E8"/>
    <w:rsid w:val="00E265B1"/>
    <w:rsid w:val="00E275B0"/>
    <w:rsid w:val="00E412D0"/>
    <w:rsid w:val="00E44762"/>
    <w:rsid w:val="00E47CDB"/>
    <w:rsid w:val="00E566BC"/>
    <w:rsid w:val="00E60982"/>
    <w:rsid w:val="00E60C8D"/>
    <w:rsid w:val="00E6162F"/>
    <w:rsid w:val="00E61B78"/>
    <w:rsid w:val="00E6311B"/>
    <w:rsid w:val="00E65D97"/>
    <w:rsid w:val="00E67EFD"/>
    <w:rsid w:val="00E702DC"/>
    <w:rsid w:val="00E71FFB"/>
    <w:rsid w:val="00E76D1D"/>
    <w:rsid w:val="00E806F8"/>
    <w:rsid w:val="00E87752"/>
    <w:rsid w:val="00E8793B"/>
    <w:rsid w:val="00E90F81"/>
    <w:rsid w:val="00E91A6D"/>
    <w:rsid w:val="00E9242D"/>
    <w:rsid w:val="00EB041C"/>
    <w:rsid w:val="00EC55B8"/>
    <w:rsid w:val="00EC5874"/>
    <w:rsid w:val="00ED192D"/>
    <w:rsid w:val="00ED1E2A"/>
    <w:rsid w:val="00ED30B4"/>
    <w:rsid w:val="00ED31F5"/>
    <w:rsid w:val="00ED5986"/>
    <w:rsid w:val="00EF2759"/>
    <w:rsid w:val="00EF45EB"/>
    <w:rsid w:val="00EF5099"/>
    <w:rsid w:val="00EF5C0D"/>
    <w:rsid w:val="00EF5E33"/>
    <w:rsid w:val="00F00075"/>
    <w:rsid w:val="00F07822"/>
    <w:rsid w:val="00F15C95"/>
    <w:rsid w:val="00F22985"/>
    <w:rsid w:val="00F241AB"/>
    <w:rsid w:val="00F31382"/>
    <w:rsid w:val="00F35829"/>
    <w:rsid w:val="00F415D5"/>
    <w:rsid w:val="00F42868"/>
    <w:rsid w:val="00F465A7"/>
    <w:rsid w:val="00F50B7C"/>
    <w:rsid w:val="00F5202D"/>
    <w:rsid w:val="00F52A8D"/>
    <w:rsid w:val="00F52CF6"/>
    <w:rsid w:val="00F54496"/>
    <w:rsid w:val="00F61097"/>
    <w:rsid w:val="00F72C81"/>
    <w:rsid w:val="00F74345"/>
    <w:rsid w:val="00F74441"/>
    <w:rsid w:val="00F77F30"/>
    <w:rsid w:val="00F816FB"/>
    <w:rsid w:val="00F82589"/>
    <w:rsid w:val="00F82B19"/>
    <w:rsid w:val="00F8529B"/>
    <w:rsid w:val="00F87A76"/>
    <w:rsid w:val="00F90AA7"/>
    <w:rsid w:val="00F9212D"/>
    <w:rsid w:val="00FA301A"/>
    <w:rsid w:val="00FA406A"/>
    <w:rsid w:val="00FA5CB6"/>
    <w:rsid w:val="00FC5BC6"/>
    <w:rsid w:val="00FC66AC"/>
    <w:rsid w:val="00FD18F4"/>
    <w:rsid w:val="00FD74B4"/>
    <w:rsid w:val="00FE0915"/>
    <w:rsid w:val="00FF6FCE"/>
    <w:rsid w:val="00FF7518"/>
    <w:rsid w:val="00FF7FD8"/>
    <w:rsid w:val="01064031"/>
    <w:rsid w:val="01086C64"/>
    <w:rsid w:val="010B1822"/>
    <w:rsid w:val="010D6029"/>
    <w:rsid w:val="01186238"/>
    <w:rsid w:val="01201160"/>
    <w:rsid w:val="01211AD4"/>
    <w:rsid w:val="01214729"/>
    <w:rsid w:val="0124146F"/>
    <w:rsid w:val="012E1F25"/>
    <w:rsid w:val="01320B3E"/>
    <w:rsid w:val="01341807"/>
    <w:rsid w:val="01341A76"/>
    <w:rsid w:val="0136533B"/>
    <w:rsid w:val="0137166B"/>
    <w:rsid w:val="01390BCC"/>
    <w:rsid w:val="013B5608"/>
    <w:rsid w:val="014D1502"/>
    <w:rsid w:val="01505F15"/>
    <w:rsid w:val="016025FC"/>
    <w:rsid w:val="016C543F"/>
    <w:rsid w:val="01756105"/>
    <w:rsid w:val="017B5688"/>
    <w:rsid w:val="017B734C"/>
    <w:rsid w:val="017C393C"/>
    <w:rsid w:val="0180019C"/>
    <w:rsid w:val="01810C35"/>
    <w:rsid w:val="019A0A09"/>
    <w:rsid w:val="019C275B"/>
    <w:rsid w:val="019C3D71"/>
    <w:rsid w:val="019D115B"/>
    <w:rsid w:val="01AC1C2C"/>
    <w:rsid w:val="01B43AB6"/>
    <w:rsid w:val="01B66AA1"/>
    <w:rsid w:val="01B80436"/>
    <w:rsid w:val="01CA05AD"/>
    <w:rsid w:val="01D91F20"/>
    <w:rsid w:val="01E1679E"/>
    <w:rsid w:val="01F114A6"/>
    <w:rsid w:val="01F61E10"/>
    <w:rsid w:val="01FB7FA1"/>
    <w:rsid w:val="02001A9A"/>
    <w:rsid w:val="02104022"/>
    <w:rsid w:val="02121E32"/>
    <w:rsid w:val="02171218"/>
    <w:rsid w:val="022A1EB3"/>
    <w:rsid w:val="022B48DB"/>
    <w:rsid w:val="02300221"/>
    <w:rsid w:val="02441F1E"/>
    <w:rsid w:val="02462482"/>
    <w:rsid w:val="0248052C"/>
    <w:rsid w:val="02497534"/>
    <w:rsid w:val="02553BED"/>
    <w:rsid w:val="025F28B4"/>
    <w:rsid w:val="0263092F"/>
    <w:rsid w:val="026B74AB"/>
    <w:rsid w:val="027010CA"/>
    <w:rsid w:val="027029E7"/>
    <w:rsid w:val="02716AEB"/>
    <w:rsid w:val="027E47DC"/>
    <w:rsid w:val="028642E4"/>
    <w:rsid w:val="02897931"/>
    <w:rsid w:val="028B18FB"/>
    <w:rsid w:val="0295277A"/>
    <w:rsid w:val="02A9112B"/>
    <w:rsid w:val="02AD2556"/>
    <w:rsid w:val="02AE1145"/>
    <w:rsid w:val="02BE247E"/>
    <w:rsid w:val="02C1376B"/>
    <w:rsid w:val="02D05AF7"/>
    <w:rsid w:val="02E0676D"/>
    <w:rsid w:val="02E31836"/>
    <w:rsid w:val="02EF0B13"/>
    <w:rsid w:val="02EF0CFB"/>
    <w:rsid w:val="02F77C1D"/>
    <w:rsid w:val="02FA227C"/>
    <w:rsid w:val="03067D8B"/>
    <w:rsid w:val="0308188F"/>
    <w:rsid w:val="030B6598"/>
    <w:rsid w:val="0310315F"/>
    <w:rsid w:val="031418F0"/>
    <w:rsid w:val="031469F7"/>
    <w:rsid w:val="03152345"/>
    <w:rsid w:val="03185A23"/>
    <w:rsid w:val="03193C16"/>
    <w:rsid w:val="03224C14"/>
    <w:rsid w:val="0328539C"/>
    <w:rsid w:val="032B6C3A"/>
    <w:rsid w:val="03327FC8"/>
    <w:rsid w:val="03353615"/>
    <w:rsid w:val="033B2290"/>
    <w:rsid w:val="03434DAC"/>
    <w:rsid w:val="03491D68"/>
    <w:rsid w:val="034C4037"/>
    <w:rsid w:val="03555A65"/>
    <w:rsid w:val="03587CD1"/>
    <w:rsid w:val="035C3635"/>
    <w:rsid w:val="035C4E82"/>
    <w:rsid w:val="03662661"/>
    <w:rsid w:val="03697A39"/>
    <w:rsid w:val="036C34DA"/>
    <w:rsid w:val="03743055"/>
    <w:rsid w:val="037830CE"/>
    <w:rsid w:val="037C0C1A"/>
    <w:rsid w:val="037D78FD"/>
    <w:rsid w:val="038A1793"/>
    <w:rsid w:val="0391535D"/>
    <w:rsid w:val="03A373AC"/>
    <w:rsid w:val="03A6511A"/>
    <w:rsid w:val="03AF1F3A"/>
    <w:rsid w:val="03B5144B"/>
    <w:rsid w:val="03B915ED"/>
    <w:rsid w:val="03BA2E9B"/>
    <w:rsid w:val="03C160AA"/>
    <w:rsid w:val="03C23DE5"/>
    <w:rsid w:val="03C2728F"/>
    <w:rsid w:val="03C350C4"/>
    <w:rsid w:val="03CA0201"/>
    <w:rsid w:val="03CC4200"/>
    <w:rsid w:val="03CC5D27"/>
    <w:rsid w:val="03D2133E"/>
    <w:rsid w:val="03D270B5"/>
    <w:rsid w:val="03D70271"/>
    <w:rsid w:val="03DB2F74"/>
    <w:rsid w:val="03DC18E8"/>
    <w:rsid w:val="03E05D1F"/>
    <w:rsid w:val="03E413E4"/>
    <w:rsid w:val="03ED083E"/>
    <w:rsid w:val="03FD631A"/>
    <w:rsid w:val="03FF0B9E"/>
    <w:rsid w:val="04096947"/>
    <w:rsid w:val="04131BA8"/>
    <w:rsid w:val="04146802"/>
    <w:rsid w:val="04161698"/>
    <w:rsid w:val="04183321"/>
    <w:rsid w:val="04185535"/>
    <w:rsid w:val="041A2F36"/>
    <w:rsid w:val="041B2B47"/>
    <w:rsid w:val="041D2D9C"/>
    <w:rsid w:val="04210788"/>
    <w:rsid w:val="042223FD"/>
    <w:rsid w:val="042277B0"/>
    <w:rsid w:val="042711AF"/>
    <w:rsid w:val="04363AE8"/>
    <w:rsid w:val="04383AD9"/>
    <w:rsid w:val="044163B3"/>
    <w:rsid w:val="04506958"/>
    <w:rsid w:val="04553F6E"/>
    <w:rsid w:val="045C6E6C"/>
    <w:rsid w:val="04684988"/>
    <w:rsid w:val="046B19E4"/>
    <w:rsid w:val="046D24E6"/>
    <w:rsid w:val="047B14FB"/>
    <w:rsid w:val="04816A57"/>
    <w:rsid w:val="04886321"/>
    <w:rsid w:val="048D195A"/>
    <w:rsid w:val="048E4EE6"/>
    <w:rsid w:val="048F5394"/>
    <w:rsid w:val="049B195A"/>
    <w:rsid w:val="049F33F8"/>
    <w:rsid w:val="04A00F9A"/>
    <w:rsid w:val="04A06586"/>
    <w:rsid w:val="04A46CA4"/>
    <w:rsid w:val="04A841FE"/>
    <w:rsid w:val="04AD224F"/>
    <w:rsid w:val="04B01D5C"/>
    <w:rsid w:val="04B0621F"/>
    <w:rsid w:val="04B51051"/>
    <w:rsid w:val="04BA2023"/>
    <w:rsid w:val="04BD1B14"/>
    <w:rsid w:val="04BF1AB7"/>
    <w:rsid w:val="04C46606"/>
    <w:rsid w:val="04C84AB0"/>
    <w:rsid w:val="04CD7CB6"/>
    <w:rsid w:val="04D33461"/>
    <w:rsid w:val="04D67DF8"/>
    <w:rsid w:val="04E263C9"/>
    <w:rsid w:val="04E946A2"/>
    <w:rsid w:val="04EB042F"/>
    <w:rsid w:val="04F27A0F"/>
    <w:rsid w:val="04F437AB"/>
    <w:rsid w:val="04F512AE"/>
    <w:rsid w:val="04F53CEB"/>
    <w:rsid w:val="04F60B50"/>
    <w:rsid w:val="04F63DAA"/>
    <w:rsid w:val="04FC43EA"/>
    <w:rsid w:val="05013EB4"/>
    <w:rsid w:val="050414F1"/>
    <w:rsid w:val="050D7CD0"/>
    <w:rsid w:val="050E411D"/>
    <w:rsid w:val="05233D77"/>
    <w:rsid w:val="052528BC"/>
    <w:rsid w:val="052878D5"/>
    <w:rsid w:val="052E0C78"/>
    <w:rsid w:val="0534627A"/>
    <w:rsid w:val="05353DA0"/>
    <w:rsid w:val="05386112"/>
    <w:rsid w:val="053F5CD2"/>
    <w:rsid w:val="05412745"/>
    <w:rsid w:val="05431AC5"/>
    <w:rsid w:val="054E09BE"/>
    <w:rsid w:val="05520680"/>
    <w:rsid w:val="055736A4"/>
    <w:rsid w:val="055954BA"/>
    <w:rsid w:val="055A7B67"/>
    <w:rsid w:val="05627426"/>
    <w:rsid w:val="05654685"/>
    <w:rsid w:val="056C5909"/>
    <w:rsid w:val="0570288B"/>
    <w:rsid w:val="05721DB8"/>
    <w:rsid w:val="0573412F"/>
    <w:rsid w:val="05742AC8"/>
    <w:rsid w:val="05777F14"/>
    <w:rsid w:val="057B5C57"/>
    <w:rsid w:val="05922FA0"/>
    <w:rsid w:val="0594523C"/>
    <w:rsid w:val="059960DD"/>
    <w:rsid w:val="059E36F3"/>
    <w:rsid w:val="05A36F5B"/>
    <w:rsid w:val="05AC0822"/>
    <w:rsid w:val="05B64EE1"/>
    <w:rsid w:val="05B77E58"/>
    <w:rsid w:val="05B84F4E"/>
    <w:rsid w:val="05BA1191"/>
    <w:rsid w:val="05C36515"/>
    <w:rsid w:val="05C51AAB"/>
    <w:rsid w:val="05CA44E8"/>
    <w:rsid w:val="05D13AC9"/>
    <w:rsid w:val="05E355AA"/>
    <w:rsid w:val="05E85081"/>
    <w:rsid w:val="05EA0CC7"/>
    <w:rsid w:val="05EA3927"/>
    <w:rsid w:val="05ED68E0"/>
    <w:rsid w:val="05F94DCD"/>
    <w:rsid w:val="06067177"/>
    <w:rsid w:val="06084F90"/>
    <w:rsid w:val="06113898"/>
    <w:rsid w:val="0615524C"/>
    <w:rsid w:val="06231D17"/>
    <w:rsid w:val="06352F05"/>
    <w:rsid w:val="063E7D85"/>
    <w:rsid w:val="064614D7"/>
    <w:rsid w:val="06632B70"/>
    <w:rsid w:val="066606B5"/>
    <w:rsid w:val="06671EB7"/>
    <w:rsid w:val="06677F89"/>
    <w:rsid w:val="066C37F1"/>
    <w:rsid w:val="066F24B8"/>
    <w:rsid w:val="066F6BCC"/>
    <w:rsid w:val="06756AFE"/>
    <w:rsid w:val="068C3E93"/>
    <w:rsid w:val="068C5C42"/>
    <w:rsid w:val="069468A4"/>
    <w:rsid w:val="069A0522"/>
    <w:rsid w:val="069B687A"/>
    <w:rsid w:val="06AA5257"/>
    <w:rsid w:val="06AC1E40"/>
    <w:rsid w:val="06B25931"/>
    <w:rsid w:val="06BC592B"/>
    <w:rsid w:val="06C02139"/>
    <w:rsid w:val="06C32F68"/>
    <w:rsid w:val="06C83B4C"/>
    <w:rsid w:val="06CB0CC9"/>
    <w:rsid w:val="06CB62FC"/>
    <w:rsid w:val="06DC01D1"/>
    <w:rsid w:val="06E4782C"/>
    <w:rsid w:val="06EB2968"/>
    <w:rsid w:val="06F67E47"/>
    <w:rsid w:val="06FA74CE"/>
    <w:rsid w:val="06FD269B"/>
    <w:rsid w:val="070869E4"/>
    <w:rsid w:val="070875E0"/>
    <w:rsid w:val="07097CB3"/>
    <w:rsid w:val="070D6AF5"/>
    <w:rsid w:val="070F4E1A"/>
    <w:rsid w:val="07155C37"/>
    <w:rsid w:val="071640F5"/>
    <w:rsid w:val="07204EA7"/>
    <w:rsid w:val="07213CD9"/>
    <w:rsid w:val="07293586"/>
    <w:rsid w:val="07295285"/>
    <w:rsid w:val="0738706D"/>
    <w:rsid w:val="07506C6F"/>
    <w:rsid w:val="0753398C"/>
    <w:rsid w:val="076446E7"/>
    <w:rsid w:val="07654726"/>
    <w:rsid w:val="07666493"/>
    <w:rsid w:val="07692DE9"/>
    <w:rsid w:val="076B1CFB"/>
    <w:rsid w:val="07702E6D"/>
    <w:rsid w:val="0771282E"/>
    <w:rsid w:val="07727F9D"/>
    <w:rsid w:val="07770C56"/>
    <w:rsid w:val="077A2F74"/>
    <w:rsid w:val="077D5B9F"/>
    <w:rsid w:val="077D6340"/>
    <w:rsid w:val="078545CB"/>
    <w:rsid w:val="078F6D56"/>
    <w:rsid w:val="07911D71"/>
    <w:rsid w:val="07931E1C"/>
    <w:rsid w:val="079C0106"/>
    <w:rsid w:val="079F096F"/>
    <w:rsid w:val="07A1136F"/>
    <w:rsid w:val="07A1571D"/>
    <w:rsid w:val="07A82607"/>
    <w:rsid w:val="07AA15B1"/>
    <w:rsid w:val="07AB20F7"/>
    <w:rsid w:val="07AC3908"/>
    <w:rsid w:val="07B34C49"/>
    <w:rsid w:val="07B571FB"/>
    <w:rsid w:val="07BE681F"/>
    <w:rsid w:val="07C75183"/>
    <w:rsid w:val="07CD4764"/>
    <w:rsid w:val="07CF599C"/>
    <w:rsid w:val="07DB21CB"/>
    <w:rsid w:val="07E47191"/>
    <w:rsid w:val="07F67816"/>
    <w:rsid w:val="07F933E4"/>
    <w:rsid w:val="07FF14F4"/>
    <w:rsid w:val="08071A24"/>
    <w:rsid w:val="0809333E"/>
    <w:rsid w:val="080D1403"/>
    <w:rsid w:val="081E0B1B"/>
    <w:rsid w:val="08202615"/>
    <w:rsid w:val="082B592E"/>
    <w:rsid w:val="083A1BB4"/>
    <w:rsid w:val="084F4F97"/>
    <w:rsid w:val="08512C9F"/>
    <w:rsid w:val="085409E1"/>
    <w:rsid w:val="085B4AE7"/>
    <w:rsid w:val="085E3DDB"/>
    <w:rsid w:val="086504F8"/>
    <w:rsid w:val="086D16CA"/>
    <w:rsid w:val="08703B55"/>
    <w:rsid w:val="087714A8"/>
    <w:rsid w:val="088421CE"/>
    <w:rsid w:val="08860AF2"/>
    <w:rsid w:val="0888740E"/>
    <w:rsid w:val="089313F8"/>
    <w:rsid w:val="08964B4A"/>
    <w:rsid w:val="08A37796"/>
    <w:rsid w:val="08B66FA6"/>
    <w:rsid w:val="08BF0D72"/>
    <w:rsid w:val="08C2594B"/>
    <w:rsid w:val="08C94F2B"/>
    <w:rsid w:val="08CB2A51"/>
    <w:rsid w:val="08CE0793"/>
    <w:rsid w:val="08D20FF5"/>
    <w:rsid w:val="08D30471"/>
    <w:rsid w:val="08D4742C"/>
    <w:rsid w:val="08D8781E"/>
    <w:rsid w:val="08D97D1B"/>
    <w:rsid w:val="08E500DB"/>
    <w:rsid w:val="08E97B4C"/>
    <w:rsid w:val="08EF374D"/>
    <w:rsid w:val="08EF7257"/>
    <w:rsid w:val="08F36B7D"/>
    <w:rsid w:val="08FA627E"/>
    <w:rsid w:val="08FC70AE"/>
    <w:rsid w:val="09067F25"/>
    <w:rsid w:val="090716A9"/>
    <w:rsid w:val="090901F8"/>
    <w:rsid w:val="090B4153"/>
    <w:rsid w:val="090F44D3"/>
    <w:rsid w:val="09146B42"/>
    <w:rsid w:val="091752C2"/>
    <w:rsid w:val="091B183C"/>
    <w:rsid w:val="091C40DD"/>
    <w:rsid w:val="091F0FEF"/>
    <w:rsid w:val="092217DD"/>
    <w:rsid w:val="0926412B"/>
    <w:rsid w:val="092D54BA"/>
    <w:rsid w:val="092E4D8E"/>
    <w:rsid w:val="09382BD6"/>
    <w:rsid w:val="093A7294"/>
    <w:rsid w:val="094704C9"/>
    <w:rsid w:val="09506C54"/>
    <w:rsid w:val="09526B25"/>
    <w:rsid w:val="095359D7"/>
    <w:rsid w:val="0955056D"/>
    <w:rsid w:val="095A3DD5"/>
    <w:rsid w:val="09624B9B"/>
    <w:rsid w:val="096867B1"/>
    <w:rsid w:val="096C7141"/>
    <w:rsid w:val="097430E9"/>
    <w:rsid w:val="097906FF"/>
    <w:rsid w:val="0979740A"/>
    <w:rsid w:val="097A547C"/>
    <w:rsid w:val="098175B4"/>
    <w:rsid w:val="09825320"/>
    <w:rsid w:val="098303A2"/>
    <w:rsid w:val="09B21EC3"/>
    <w:rsid w:val="09BC3116"/>
    <w:rsid w:val="09C0632E"/>
    <w:rsid w:val="09C4782F"/>
    <w:rsid w:val="09C63D99"/>
    <w:rsid w:val="09D7289A"/>
    <w:rsid w:val="09E715D3"/>
    <w:rsid w:val="09EE4D26"/>
    <w:rsid w:val="09F25711"/>
    <w:rsid w:val="09F61D50"/>
    <w:rsid w:val="09FE2C2D"/>
    <w:rsid w:val="0A032908"/>
    <w:rsid w:val="0A037FC9"/>
    <w:rsid w:val="0A047B22"/>
    <w:rsid w:val="0A0A7776"/>
    <w:rsid w:val="0A0C4A41"/>
    <w:rsid w:val="0A195A3E"/>
    <w:rsid w:val="0A1E4E03"/>
    <w:rsid w:val="0A1F19D7"/>
    <w:rsid w:val="0A2B290C"/>
    <w:rsid w:val="0A4505E1"/>
    <w:rsid w:val="0A4A5BF8"/>
    <w:rsid w:val="0A4A6D32"/>
    <w:rsid w:val="0A4E1889"/>
    <w:rsid w:val="0A4E79B5"/>
    <w:rsid w:val="0A4F4DA1"/>
    <w:rsid w:val="0A5B33C7"/>
    <w:rsid w:val="0A747717"/>
    <w:rsid w:val="0A7648BF"/>
    <w:rsid w:val="0A8515ED"/>
    <w:rsid w:val="0A8C4462"/>
    <w:rsid w:val="0A915E3C"/>
    <w:rsid w:val="0A961435"/>
    <w:rsid w:val="0AA05CD2"/>
    <w:rsid w:val="0AA11935"/>
    <w:rsid w:val="0AAD54DF"/>
    <w:rsid w:val="0AAF0151"/>
    <w:rsid w:val="0AB45EBA"/>
    <w:rsid w:val="0AB468DA"/>
    <w:rsid w:val="0ABD2610"/>
    <w:rsid w:val="0AC459AA"/>
    <w:rsid w:val="0AC775F6"/>
    <w:rsid w:val="0ADD2C8A"/>
    <w:rsid w:val="0ADE6620"/>
    <w:rsid w:val="0AE14997"/>
    <w:rsid w:val="0AEB7C04"/>
    <w:rsid w:val="0AEC3E88"/>
    <w:rsid w:val="0AEE5774"/>
    <w:rsid w:val="0AF73FD1"/>
    <w:rsid w:val="0AF92536"/>
    <w:rsid w:val="0AFB5144"/>
    <w:rsid w:val="0B0328FE"/>
    <w:rsid w:val="0B04049C"/>
    <w:rsid w:val="0B0D2F4D"/>
    <w:rsid w:val="0B136931"/>
    <w:rsid w:val="0B1A381C"/>
    <w:rsid w:val="0B2621C1"/>
    <w:rsid w:val="0B2E7C72"/>
    <w:rsid w:val="0B326B4F"/>
    <w:rsid w:val="0B332A70"/>
    <w:rsid w:val="0B3F14D4"/>
    <w:rsid w:val="0B45498C"/>
    <w:rsid w:val="0B456253"/>
    <w:rsid w:val="0B58107A"/>
    <w:rsid w:val="0B582596"/>
    <w:rsid w:val="0B5950B7"/>
    <w:rsid w:val="0B59666F"/>
    <w:rsid w:val="0B670D6C"/>
    <w:rsid w:val="0B673BD7"/>
    <w:rsid w:val="0B793798"/>
    <w:rsid w:val="0B7C35E0"/>
    <w:rsid w:val="0B7C5B51"/>
    <w:rsid w:val="0B7D4BA3"/>
    <w:rsid w:val="0B800CB1"/>
    <w:rsid w:val="0B884953"/>
    <w:rsid w:val="0B8D66E4"/>
    <w:rsid w:val="0B955612"/>
    <w:rsid w:val="0B9D1653"/>
    <w:rsid w:val="0BAD7434"/>
    <w:rsid w:val="0BB057A4"/>
    <w:rsid w:val="0BB35A1E"/>
    <w:rsid w:val="0BB55C09"/>
    <w:rsid w:val="0BBB7CC9"/>
    <w:rsid w:val="0BC26B69"/>
    <w:rsid w:val="0BC5055F"/>
    <w:rsid w:val="0BC916A9"/>
    <w:rsid w:val="0BD065D0"/>
    <w:rsid w:val="0BD27BF6"/>
    <w:rsid w:val="0BD460C1"/>
    <w:rsid w:val="0BD51E39"/>
    <w:rsid w:val="0BDB01C7"/>
    <w:rsid w:val="0BDD258D"/>
    <w:rsid w:val="0BDF6813"/>
    <w:rsid w:val="0BE87B65"/>
    <w:rsid w:val="0BEC7C3D"/>
    <w:rsid w:val="0BEE3C29"/>
    <w:rsid w:val="0BF16C73"/>
    <w:rsid w:val="0BF70001"/>
    <w:rsid w:val="0BFA364D"/>
    <w:rsid w:val="0C012C2E"/>
    <w:rsid w:val="0C050DEF"/>
    <w:rsid w:val="0C057587"/>
    <w:rsid w:val="0C083FBC"/>
    <w:rsid w:val="0C0B585A"/>
    <w:rsid w:val="0C153551"/>
    <w:rsid w:val="0C1B207C"/>
    <w:rsid w:val="0C281D4D"/>
    <w:rsid w:val="0C2D560F"/>
    <w:rsid w:val="0C2E3E91"/>
    <w:rsid w:val="0C381CFB"/>
    <w:rsid w:val="0C3C6891"/>
    <w:rsid w:val="0C3C77C2"/>
    <w:rsid w:val="0C4049FC"/>
    <w:rsid w:val="0C427E66"/>
    <w:rsid w:val="0C43571A"/>
    <w:rsid w:val="0C4760BB"/>
    <w:rsid w:val="0C4A1BC3"/>
    <w:rsid w:val="0C4B5C57"/>
    <w:rsid w:val="0C4D7C21"/>
    <w:rsid w:val="0C526EB3"/>
    <w:rsid w:val="0C576F36"/>
    <w:rsid w:val="0C593F0D"/>
    <w:rsid w:val="0C5B40EC"/>
    <w:rsid w:val="0C6413EF"/>
    <w:rsid w:val="0C6A2581"/>
    <w:rsid w:val="0C72034D"/>
    <w:rsid w:val="0C740124"/>
    <w:rsid w:val="0C751D28"/>
    <w:rsid w:val="0C7B653C"/>
    <w:rsid w:val="0C7E43ED"/>
    <w:rsid w:val="0C80781D"/>
    <w:rsid w:val="0C851169"/>
    <w:rsid w:val="0C873133"/>
    <w:rsid w:val="0C8D626F"/>
    <w:rsid w:val="0C917B0E"/>
    <w:rsid w:val="0C923994"/>
    <w:rsid w:val="0C951247"/>
    <w:rsid w:val="0C9B3C30"/>
    <w:rsid w:val="0C9E47A6"/>
    <w:rsid w:val="0CA77461"/>
    <w:rsid w:val="0CB33F28"/>
    <w:rsid w:val="0CB673C8"/>
    <w:rsid w:val="0CB8153E"/>
    <w:rsid w:val="0CB9190B"/>
    <w:rsid w:val="0CCB5398"/>
    <w:rsid w:val="0CCE600F"/>
    <w:rsid w:val="0CCF21BE"/>
    <w:rsid w:val="0CE410A6"/>
    <w:rsid w:val="0CEF2A86"/>
    <w:rsid w:val="0CF4009D"/>
    <w:rsid w:val="0CF65993"/>
    <w:rsid w:val="0CFB1831"/>
    <w:rsid w:val="0CFF2F82"/>
    <w:rsid w:val="0D026C5D"/>
    <w:rsid w:val="0D0B7E91"/>
    <w:rsid w:val="0D0D32FC"/>
    <w:rsid w:val="0D195CE5"/>
    <w:rsid w:val="0D1A5D55"/>
    <w:rsid w:val="0D1B1ACD"/>
    <w:rsid w:val="0D211A66"/>
    <w:rsid w:val="0D22191B"/>
    <w:rsid w:val="0D2328AC"/>
    <w:rsid w:val="0D2423F3"/>
    <w:rsid w:val="0D3A1F53"/>
    <w:rsid w:val="0D4B23B2"/>
    <w:rsid w:val="0D4F6BA6"/>
    <w:rsid w:val="0D533015"/>
    <w:rsid w:val="0D5374B9"/>
    <w:rsid w:val="0D5A7319"/>
    <w:rsid w:val="0D5D5C42"/>
    <w:rsid w:val="0D6106F1"/>
    <w:rsid w:val="0D73333D"/>
    <w:rsid w:val="0D743123"/>
    <w:rsid w:val="0D745B50"/>
    <w:rsid w:val="0D774F56"/>
    <w:rsid w:val="0D7938CA"/>
    <w:rsid w:val="0D7C6A10"/>
    <w:rsid w:val="0D810C8A"/>
    <w:rsid w:val="0D875CBA"/>
    <w:rsid w:val="0D896A37"/>
    <w:rsid w:val="0D910CD7"/>
    <w:rsid w:val="0D973E0E"/>
    <w:rsid w:val="0D996F38"/>
    <w:rsid w:val="0D9A25A0"/>
    <w:rsid w:val="0D9C40CC"/>
    <w:rsid w:val="0D9D5497"/>
    <w:rsid w:val="0D9F1761"/>
    <w:rsid w:val="0DA33EFD"/>
    <w:rsid w:val="0DB461AA"/>
    <w:rsid w:val="0DB97212"/>
    <w:rsid w:val="0DC87CCF"/>
    <w:rsid w:val="0DD51C7C"/>
    <w:rsid w:val="0DDA145B"/>
    <w:rsid w:val="0DE871E6"/>
    <w:rsid w:val="0DF84D43"/>
    <w:rsid w:val="0DFC18FF"/>
    <w:rsid w:val="0E06277D"/>
    <w:rsid w:val="0E062939"/>
    <w:rsid w:val="0E110D06"/>
    <w:rsid w:val="0E1740A3"/>
    <w:rsid w:val="0E1924B1"/>
    <w:rsid w:val="0E1A223D"/>
    <w:rsid w:val="0E213113"/>
    <w:rsid w:val="0E2350DD"/>
    <w:rsid w:val="0E33709E"/>
    <w:rsid w:val="0E344BF5"/>
    <w:rsid w:val="0E372937"/>
    <w:rsid w:val="0E3C1CFB"/>
    <w:rsid w:val="0E3C619F"/>
    <w:rsid w:val="0E43308A"/>
    <w:rsid w:val="0E4B3614"/>
    <w:rsid w:val="0E590AFF"/>
    <w:rsid w:val="0E5A3BF6"/>
    <w:rsid w:val="0E6010CF"/>
    <w:rsid w:val="0E605AEC"/>
    <w:rsid w:val="0E6179B4"/>
    <w:rsid w:val="0E6524C6"/>
    <w:rsid w:val="0E6B3C77"/>
    <w:rsid w:val="0E780BE4"/>
    <w:rsid w:val="0E7B501C"/>
    <w:rsid w:val="0E8F1A35"/>
    <w:rsid w:val="0E933137"/>
    <w:rsid w:val="0E9A2E09"/>
    <w:rsid w:val="0EA0016D"/>
    <w:rsid w:val="0EA77ABC"/>
    <w:rsid w:val="0EA80AB1"/>
    <w:rsid w:val="0EA81FB8"/>
    <w:rsid w:val="0EAE0E4B"/>
    <w:rsid w:val="0EB9334C"/>
    <w:rsid w:val="0EC75A69"/>
    <w:rsid w:val="0EC9102E"/>
    <w:rsid w:val="0ECB14E4"/>
    <w:rsid w:val="0ECB733C"/>
    <w:rsid w:val="0ECC3F05"/>
    <w:rsid w:val="0EDC38AE"/>
    <w:rsid w:val="0EE02FCE"/>
    <w:rsid w:val="0EE855D8"/>
    <w:rsid w:val="0EEF2A8D"/>
    <w:rsid w:val="0EF677F3"/>
    <w:rsid w:val="0EFB3964"/>
    <w:rsid w:val="0EFD7918"/>
    <w:rsid w:val="0F054942"/>
    <w:rsid w:val="0F0A7D6D"/>
    <w:rsid w:val="0F106E9D"/>
    <w:rsid w:val="0F110AE2"/>
    <w:rsid w:val="0F112A89"/>
    <w:rsid w:val="0F13775A"/>
    <w:rsid w:val="0F2231C6"/>
    <w:rsid w:val="0F256C33"/>
    <w:rsid w:val="0F2811FF"/>
    <w:rsid w:val="0F370952"/>
    <w:rsid w:val="0F380715"/>
    <w:rsid w:val="0F3D0C8D"/>
    <w:rsid w:val="0F49109B"/>
    <w:rsid w:val="0F4948BF"/>
    <w:rsid w:val="0F4E7F38"/>
    <w:rsid w:val="0F530467"/>
    <w:rsid w:val="0F5D157F"/>
    <w:rsid w:val="0F62139B"/>
    <w:rsid w:val="0F7036E3"/>
    <w:rsid w:val="0F712210"/>
    <w:rsid w:val="0F715DAE"/>
    <w:rsid w:val="0F7C7443"/>
    <w:rsid w:val="0F8A528C"/>
    <w:rsid w:val="0F9067A2"/>
    <w:rsid w:val="0F9A112B"/>
    <w:rsid w:val="0FAB17F9"/>
    <w:rsid w:val="0FAD1102"/>
    <w:rsid w:val="0FAE77BC"/>
    <w:rsid w:val="0FB454DD"/>
    <w:rsid w:val="0FB540D2"/>
    <w:rsid w:val="0FC20F25"/>
    <w:rsid w:val="0FC91CB4"/>
    <w:rsid w:val="0FD0094D"/>
    <w:rsid w:val="0FE8542D"/>
    <w:rsid w:val="0FEA63C2"/>
    <w:rsid w:val="0FF55E19"/>
    <w:rsid w:val="0FF6507B"/>
    <w:rsid w:val="0FF860F6"/>
    <w:rsid w:val="0FFB0C72"/>
    <w:rsid w:val="0FFE370C"/>
    <w:rsid w:val="10046849"/>
    <w:rsid w:val="100D624E"/>
    <w:rsid w:val="100D7CE3"/>
    <w:rsid w:val="10227DAE"/>
    <w:rsid w:val="102313C5"/>
    <w:rsid w:val="10294501"/>
    <w:rsid w:val="102B64CB"/>
    <w:rsid w:val="10327E9B"/>
    <w:rsid w:val="10391AB0"/>
    <w:rsid w:val="103F4A6C"/>
    <w:rsid w:val="104F3F68"/>
    <w:rsid w:val="10583CB3"/>
    <w:rsid w:val="105B4AB8"/>
    <w:rsid w:val="105B68EF"/>
    <w:rsid w:val="10650051"/>
    <w:rsid w:val="106D2F64"/>
    <w:rsid w:val="106D5925"/>
    <w:rsid w:val="107240FA"/>
    <w:rsid w:val="10771710"/>
    <w:rsid w:val="107B3AB0"/>
    <w:rsid w:val="107C3988"/>
    <w:rsid w:val="10850989"/>
    <w:rsid w:val="1088004C"/>
    <w:rsid w:val="108B0D18"/>
    <w:rsid w:val="109C7819"/>
    <w:rsid w:val="109D4E5C"/>
    <w:rsid w:val="109E4EEF"/>
    <w:rsid w:val="10A22203"/>
    <w:rsid w:val="10A26C74"/>
    <w:rsid w:val="10A61590"/>
    <w:rsid w:val="10AB67A8"/>
    <w:rsid w:val="10AC1DFC"/>
    <w:rsid w:val="10AF4EA5"/>
    <w:rsid w:val="10B466FF"/>
    <w:rsid w:val="10B63710"/>
    <w:rsid w:val="10BE34A2"/>
    <w:rsid w:val="10CC380A"/>
    <w:rsid w:val="10CF220E"/>
    <w:rsid w:val="10D3674A"/>
    <w:rsid w:val="10D426BF"/>
    <w:rsid w:val="10D80401"/>
    <w:rsid w:val="10DD5A17"/>
    <w:rsid w:val="10F92125"/>
    <w:rsid w:val="11050ACA"/>
    <w:rsid w:val="11063C09"/>
    <w:rsid w:val="11072A94"/>
    <w:rsid w:val="111026C1"/>
    <w:rsid w:val="11196324"/>
    <w:rsid w:val="111B245F"/>
    <w:rsid w:val="111C2F7A"/>
    <w:rsid w:val="112B61AE"/>
    <w:rsid w:val="112C3022"/>
    <w:rsid w:val="112C42A9"/>
    <w:rsid w:val="112D6318"/>
    <w:rsid w:val="113013DE"/>
    <w:rsid w:val="1132180E"/>
    <w:rsid w:val="11543690"/>
    <w:rsid w:val="115551B1"/>
    <w:rsid w:val="1157286A"/>
    <w:rsid w:val="116B3554"/>
    <w:rsid w:val="116B4984"/>
    <w:rsid w:val="116D50A0"/>
    <w:rsid w:val="1173012A"/>
    <w:rsid w:val="118838FB"/>
    <w:rsid w:val="118F08B5"/>
    <w:rsid w:val="11935A96"/>
    <w:rsid w:val="11A976A8"/>
    <w:rsid w:val="11BB27B8"/>
    <w:rsid w:val="11C2380E"/>
    <w:rsid w:val="11CB429E"/>
    <w:rsid w:val="11CE35B2"/>
    <w:rsid w:val="11D00158"/>
    <w:rsid w:val="11D06F25"/>
    <w:rsid w:val="11D230A2"/>
    <w:rsid w:val="11D308F4"/>
    <w:rsid w:val="11D34905"/>
    <w:rsid w:val="11D54941"/>
    <w:rsid w:val="11D66FCD"/>
    <w:rsid w:val="11D92FF1"/>
    <w:rsid w:val="11DC4C77"/>
    <w:rsid w:val="11DC74CF"/>
    <w:rsid w:val="11E32C1F"/>
    <w:rsid w:val="11EA2C81"/>
    <w:rsid w:val="11ED4BC1"/>
    <w:rsid w:val="11EE114D"/>
    <w:rsid w:val="11F34DC7"/>
    <w:rsid w:val="12045226"/>
    <w:rsid w:val="12067B8B"/>
    <w:rsid w:val="120A776D"/>
    <w:rsid w:val="120B2279"/>
    <w:rsid w:val="12107727"/>
    <w:rsid w:val="1214064F"/>
    <w:rsid w:val="12182F61"/>
    <w:rsid w:val="121B553E"/>
    <w:rsid w:val="12295FDD"/>
    <w:rsid w:val="12297E09"/>
    <w:rsid w:val="122B06C2"/>
    <w:rsid w:val="1230601B"/>
    <w:rsid w:val="123339D7"/>
    <w:rsid w:val="12350261"/>
    <w:rsid w:val="12371168"/>
    <w:rsid w:val="12401627"/>
    <w:rsid w:val="12406839"/>
    <w:rsid w:val="12415B32"/>
    <w:rsid w:val="124646C7"/>
    <w:rsid w:val="124B69B1"/>
    <w:rsid w:val="124F15DD"/>
    <w:rsid w:val="12661A3D"/>
    <w:rsid w:val="126857B5"/>
    <w:rsid w:val="126A26A4"/>
    <w:rsid w:val="127F1297"/>
    <w:rsid w:val="127F2C27"/>
    <w:rsid w:val="12971BF6"/>
    <w:rsid w:val="12993DAE"/>
    <w:rsid w:val="129F0B79"/>
    <w:rsid w:val="12B65388"/>
    <w:rsid w:val="12BE53D5"/>
    <w:rsid w:val="12C549A4"/>
    <w:rsid w:val="12E623FB"/>
    <w:rsid w:val="12F03FFB"/>
    <w:rsid w:val="12F57554"/>
    <w:rsid w:val="12FB2EAB"/>
    <w:rsid w:val="130A3F2C"/>
    <w:rsid w:val="130D46F4"/>
    <w:rsid w:val="130E4C51"/>
    <w:rsid w:val="131119A8"/>
    <w:rsid w:val="131222B0"/>
    <w:rsid w:val="13135AE0"/>
    <w:rsid w:val="13141E40"/>
    <w:rsid w:val="131633E5"/>
    <w:rsid w:val="132466C1"/>
    <w:rsid w:val="13266C57"/>
    <w:rsid w:val="13274D28"/>
    <w:rsid w:val="132F0080"/>
    <w:rsid w:val="133826F0"/>
    <w:rsid w:val="134937B7"/>
    <w:rsid w:val="134D295B"/>
    <w:rsid w:val="13540B2E"/>
    <w:rsid w:val="1356385F"/>
    <w:rsid w:val="13575769"/>
    <w:rsid w:val="13587FFC"/>
    <w:rsid w:val="135C03C0"/>
    <w:rsid w:val="136748FF"/>
    <w:rsid w:val="136844F9"/>
    <w:rsid w:val="136C0F23"/>
    <w:rsid w:val="137568FB"/>
    <w:rsid w:val="137A0581"/>
    <w:rsid w:val="137C0BDD"/>
    <w:rsid w:val="138E2FF9"/>
    <w:rsid w:val="138F2576"/>
    <w:rsid w:val="138F4FDC"/>
    <w:rsid w:val="139121A4"/>
    <w:rsid w:val="13951726"/>
    <w:rsid w:val="139549AD"/>
    <w:rsid w:val="13983E78"/>
    <w:rsid w:val="139D323C"/>
    <w:rsid w:val="13A022EF"/>
    <w:rsid w:val="13A3743D"/>
    <w:rsid w:val="13A740BB"/>
    <w:rsid w:val="13B477C1"/>
    <w:rsid w:val="13BE541D"/>
    <w:rsid w:val="13C046CB"/>
    <w:rsid w:val="13C1784D"/>
    <w:rsid w:val="13CC3B21"/>
    <w:rsid w:val="13D51637"/>
    <w:rsid w:val="13E66BA9"/>
    <w:rsid w:val="13F6294C"/>
    <w:rsid w:val="13F76DF0"/>
    <w:rsid w:val="13F82B68"/>
    <w:rsid w:val="13FA243C"/>
    <w:rsid w:val="14131750"/>
    <w:rsid w:val="141C0501"/>
    <w:rsid w:val="141F6347"/>
    <w:rsid w:val="14202ED3"/>
    <w:rsid w:val="142C45C0"/>
    <w:rsid w:val="142D2812"/>
    <w:rsid w:val="1433468D"/>
    <w:rsid w:val="14382754"/>
    <w:rsid w:val="14395539"/>
    <w:rsid w:val="14396509"/>
    <w:rsid w:val="143C0CA7"/>
    <w:rsid w:val="143D1F5C"/>
    <w:rsid w:val="14445DAD"/>
    <w:rsid w:val="1447165C"/>
    <w:rsid w:val="145C6DB2"/>
    <w:rsid w:val="146031B3"/>
    <w:rsid w:val="1467113F"/>
    <w:rsid w:val="14804484"/>
    <w:rsid w:val="148443FC"/>
    <w:rsid w:val="14891A12"/>
    <w:rsid w:val="148D1503"/>
    <w:rsid w:val="148E3FCC"/>
    <w:rsid w:val="14914391"/>
    <w:rsid w:val="14926B19"/>
    <w:rsid w:val="14A066A4"/>
    <w:rsid w:val="14A51ADE"/>
    <w:rsid w:val="14B366DB"/>
    <w:rsid w:val="14BA309C"/>
    <w:rsid w:val="14C842E9"/>
    <w:rsid w:val="14CF4595"/>
    <w:rsid w:val="14D265F9"/>
    <w:rsid w:val="14D40EDF"/>
    <w:rsid w:val="14E95275"/>
    <w:rsid w:val="14F02F6F"/>
    <w:rsid w:val="14F92D5F"/>
    <w:rsid w:val="14FA3D2C"/>
    <w:rsid w:val="151237B6"/>
    <w:rsid w:val="15125FED"/>
    <w:rsid w:val="15127C5A"/>
    <w:rsid w:val="151614F8"/>
    <w:rsid w:val="152224E5"/>
    <w:rsid w:val="15263BEF"/>
    <w:rsid w:val="15284D87"/>
    <w:rsid w:val="15294B5F"/>
    <w:rsid w:val="152A09C3"/>
    <w:rsid w:val="153876C0"/>
    <w:rsid w:val="153F3355"/>
    <w:rsid w:val="153F5340"/>
    <w:rsid w:val="154047C7"/>
    <w:rsid w:val="15451DDD"/>
    <w:rsid w:val="154F0566"/>
    <w:rsid w:val="1550689B"/>
    <w:rsid w:val="155C4EC6"/>
    <w:rsid w:val="156E35DA"/>
    <w:rsid w:val="15707694"/>
    <w:rsid w:val="157E0E4B"/>
    <w:rsid w:val="158A460D"/>
    <w:rsid w:val="15903A7E"/>
    <w:rsid w:val="159C37D9"/>
    <w:rsid w:val="15A25079"/>
    <w:rsid w:val="15A563D8"/>
    <w:rsid w:val="15A577C4"/>
    <w:rsid w:val="15AD1A9F"/>
    <w:rsid w:val="15BF1600"/>
    <w:rsid w:val="15C34EDE"/>
    <w:rsid w:val="15C90318"/>
    <w:rsid w:val="15D6229F"/>
    <w:rsid w:val="15DD70BA"/>
    <w:rsid w:val="15E038B4"/>
    <w:rsid w:val="15EA0CDC"/>
    <w:rsid w:val="15EA64E1"/>
    <w:rsid w:val="15F5110D"/>
    <w:rsid w:val="160965FC"/>
    <w:rsid w:val="16122888"/>
    <w:rsid w:val="1616253F"/>
    <w:rsid w:val="16212A4B"/>
    <w:rsid w:val="162356ED"/>
    <w:rsid w:val="1623663A"/>
    <w:rsid w:val="162816B6"/>
    <w:rsid w:val="162E693C"/>
    <w:rsid w:val="16300397"/>
    <w:rsid w:val="163836F0"/>
    <w:rsid w:val="164B3423"/>
    <w:rsid w:val="164E6A70"/>
    <w:rsid w:val="1653052A"/>
    <w:rsid w:val="165752E8"/>
    <w:rsid w:val="165B7F9E"/>
    <w:rsid w:val="16621600"/>
    <w:rsid w:val="167364D6"/>
    <w:rsid w:val="16753FFC"/>
    <w:rsid w:val="16755740"/>
    <w:rsid w:val="16811024"/>
    <w:rsid w:val="16816E45"/>
    <w:rsid w:val="168247F0"/>
    <w:rsid w:val="168A37D7"/>
    <w:rsid w:val="16922E00"/>
    <w:rsid w:val="1695469E"/>
    <w:rsid w:val="16A158F3"/>
    <w:rsid w:val="16A550C0"/>
    <w:rsid w:val="16A702C6"/>
    <w:rsid w:val="16A843D2"/>
    <w:rsid w:val="16B7732F"/>
    <w:rsid w:val="16BF5875"/>
    <w:rsid w:val="16C00595"/>
    <w:rsid w:val="16C15493"/>
    <w:rsid w:val="16E178E4"/>
    <w:rsid w:val="16E71219"/>
    <w:rsid w:val="16EB2510"/>
    <w:rsid w:val="16F57740"/>
    <w:rsid w:val="16FC41DD"/>
    <w:rsid w:val="17096AC8"/>
    <w:rsid w:val="171657DF"/>
    <w:rsid w:val="17302C05"/>
    <w:rsid w:val="17325EAB"/>
    <w:rsid w:val="173F148A"/>
    <w:rsid w:val="174B25FE"/>
    <w:rsid w:val="174C1906"/>
    <w:rsid w:val="17510EB9"/>
    <w:rsid w:val="17585FFC"/>
    <w:rsid w:val="17624DAF"/>
    <w:rsid w:val="17682DE4"/>
    <w:rsid w:val="176A78D9"/>
    <w:rsid w:val="176B74C1"/>
    <w:rsid w:val="176F6E28"/>
    <w:rsid w:val="17735226"/>
    <w:rsid w:val="17793FC0"/>
    <w:rsid w:val="177A4B10"/>
    <w:rsid w:val="177A6AEE"/>
    <w:rsid w:val="17852965"/>
    <w:rsid w:val="178C102A"/>
    <w:rsid w:val="178F7340"/>
    <w:rsid w:val="17937964"/>
    <w:rsid w:val="179A4712"/>
    <w:rsid w:val="179D554D"/>
    <w:rsid w:val="17AE0211"/>
    <w:rsid w:val="17C14EC6"/>
    <w:rsid w:val="17C30AD0"/>
    <w:rsid w:val="17C36B44"/>
    <w:rsid w:val="17CC7F36"/>
    <w:rsid w:val="17CF4347"/>
    <w:rsid w:val="17D13BF7"/>
    <w:rsid w:val="17D46287"/>
    <w:rsid w:val="17E04F98"/>
    <w:rsid w:val="17E86A50"/>
    <w:rsid w:val="17F6116D"/>
    <w:rsid w:val="18012253"/>
    <w:rsid w:val="1805023C"/>
    <w:rsid w:val="18053184"/>
    <w:rsid w:val="18097A97"/>
    <w:rsid w:val="180E295A"/>
    <w:rsid w:val="18117D55"/>
    <w:rsid w:val="181510A9"/>
    <w:rsid w:val="181D2B9D"/>
    <w:rsid w:val="18225D59"/>
    <w:rsid w:val="182A6AB6"/>
    <w:rsid w:val="183121A5"/>
    <w:rsid w:val="18312855"/>
    <w:rsid w:val="183F48C2"/>
    <w:rsid w:val="184401B7"/>
    <w:rsid w:val="185001CC"/>
    <w:rsid w:val="18515331"/>
    <w:rsid w:val="185819D4"/>
    <w:rsid w:val="185D743E"/>
    <w:rsid w:val="18626802"/>
    <w:rsid w:val="18635321"/>
    <w:rsid w:val="186474C4"/>
    <w:rsid w:val="186D7BB3"/>
    <w:rsid w:val="186E33F9"/>
    <w:rsid w:val="18726922"/>
    <w:rsid w:val="18814E45"/>
    <w:rsid w:val="18826EA4"/>
    <w:rsid w:val="18836E1B"/>
    <w:rsid w:val="189C1D14"/>
    <w:rsid w:val="189E3CDE"/>
    <w:rsid w:val="18A04BE4"/>
    <w:rsid w:val="18A84B5D"/>
    <w:rsid w:val="18B55B2D"/>
    <w:rsid w:val="18BD202F"/>
    <w:rsid w:val="18CC7B0B"/>
    <w:rsid w:val="18D61B8D"/>
    <w:rsid w:val="18E436BB"/>
    <w:rsid w:val="18F93B30"/>
    <w:rsid w:val="18FA4C8D"/>
    <w:rsid w:val="190112DF"/>
    <w:rsid w:val="1901601B"/>
    <w:rsid w:val="190E3E6E"/>
    <w:rsid w:val="190E7979"/>
    <w:rsid w:val="1913112E"/>
    <w:rsid w:val="19242C50"/>
    <w:rsid w:val="19277172"/>
    <w:rsid w:val="19341F4D"/>
    <w:rsid w:val="19362169"/>
    <w:rsid w:val="1938516E"/>
    <w:rsid w:val="1939044F"/>
    <w:rsid w:val="19395DB7"/>
    <w:rsid w:val="193B23CF"/>
    <w:rsid w:val="194D1F10"/>
    <w:rsid w:val="194D7D17"/>
    <w:rsid w:val="19571BA8"/>
    <w:rsid w:val="195B4DE8"/>
    <w:rsid w:val="1960439B"/>
    <w:rsid w:val="19706CFD"/>
    <w:rsid w:val="19782371"/>
    <w:rsid w:val="19797FD0"/>
    <w:rsid w:val="197C643E"/>
    <w:rsid w:val="198253AE"/>
    <w:rsid w:val="198729C4"/>
    <w:rsid w:val="198B4C34"/>
    <w:rsid w:val="198C1D89"/>
    <w:rsid w:val="19A2740E"/>
    <w:rsid w:val="19AB7FBD"/>
    <w:rsid w:val="19AC6690"/>
    <w:rsid w:val="19B57E68"/>
    <w:rsid w:val="19B906A4"/>
    <w:rsid w:val="19BD5690"/>
    <w:rsid w:val="19C26850"/>
    <w:rsid w:val="19C810D2"/>
    <w:rsid w:val="19C97543"/>
    <w:rsid w:val="19CB417B"/>
    <w:rsid w:val="19CF45FB"/>
    <w:rsid w:val="19DB686C"/>
    <w:rsid w:val="19DC395C"/>
    <w:rsid w:val="19E21859"/>
    <w:rsid w:val="19E60689"/>
    <w:rsid w:val="19E808A9"/>
    <w:rsid w:val="19E82D37"/>
    <w:rsid w:val="19F17E3E"/>
    <w:rsid w:val="19F303D2"/>
    <w:rsid w:val="1A037B71"/>
    <w:rsid w:val="1A18186E"/>
    <w:rsid w:val="1A1C66C0"/>
    <w:rsid w:val="1A1D171F"/>
    <w:rsid w:val="1A226249"/>
    <w:rsid w:val="1A2A56C6"/>
    <w:rsid w:val="1A2D7758"/>
    <w:rsid w:val="1A304E0A"/>
    <w:rsid w:val="1A312930"/>
    <w:rsid w:val="1A41679F"/>
    <w:rsid w:val="1A42393B"/>
    <w:rsid w:val="1A47372A"/>
    <w:rsid w:val="1A4B18CE"/>
    <w:rsid w:val="1A4D3866"/>
    <w:rsid w:val="1A560DE1"/>
    <w:rsid w:val="1A58760B"/>
    <w:rsid w:val="1A5C55DA"/>
    <w:rsid w:val="1A687663"/>
    <w:rsid w:val="1A6B1F4C"/>
    <w:rsid w:val="1A714D3D"/>
    <w:rsid w:val="1A7D5DB4"/>
    <w:rsid w:val="1A851CA5"/>
    <w:rsid w:val="1A862C7C"/>
    <w:rsid w:val="1A880997"/>
    <w:rsid w:val="1A8A2657"/>
    <w:rsid w:val="1A8B64E4"/>
    <w:rsid w:val="1A9133CF"/>
    <w:rsid w:val="1A98650B"/>
    <w:rsid w:val="1A9A6727"/>
    <w:rsid w:val="1A9A7623"/>
    <w:rsid w:val="1AA25EA9"/>
    <w:rsid w:val="1AA2738A"/>
    <w:rsid w:val="1AA40806"/>
    <w:rsid w:val="1AA6099B"/>
    <w:rsid w:val="1AB5530F"/>
    <w:rsid w:val="1AB8095B"/>
    <w:rsid w:val="1AC7718F"/>
    <w:rsid w:val="1AD75285"/>
    <w:rsid w:val="1AE2074C"/>
    <w:rsid w:val="1AEF6C50"/>
    <w:rsid w:val="1AF13750"/>
    <w:rsid w:val="1B040045"/>
    <w:rsid w:val="1B046F80"/>
    <w:rsid w:val="1B1A16A8"/>
    <w:rsid w:val="1B1D46A1"/>
    <w:rsid w:val="1B1E2EB4"/>
    <w:rsid w:val="1B2331A2"/>
    <w:rsid w:val="1B261D69"/>
    <w:rsid w:val="1B26620D"/>
    <w:rsid w:val="1B276086"/>
    <w:rsid w:val="1B281F85"/>
    <w:rsid w:val="1B2C2167"/>
    <w:rsid w:val="1B3267B5"/>
    <w:rsid w:val="1B341E5E"/>
    <w:rsid w:val="1B3D1F5C"/>
    <w:rsid w:val="1B3D6890"/>
    <w:rsid w:val="1B457939"/>
    <w:rsid w:val="1B4641B9"/>
    <w:rsid w:val="1B465FBD"/>
    <w:rsid w:val="1B4F7512"/>
    <w:rsid w:val="1B505038"/>
    <w:rsid w:val="1B5C39DD"/>
    <w:rsid w:val="1B7154D2"/>
    <w:rsid w:val="1B733202"/>
    <w:rsid w:val="1B7C4D63"/>
    <w:rsid w:val="1B7D5D6D"/>
    <w:rsid w:val="1B7D7ACF"/>
    <w:rsid w:val="1B8076CB"/>
    <w:rsid w:val="1B9D5B35"/>
    <w:rsid w:val="1BA50EE0"/>
    <w:rsid w:val="1BA64C58"/>
    <w:rsid w:val="1BA710FC"/>
    <w:rsid w:val="1BB9736B"/>
    <w:rsid w:val="1BBF058C"/>
    <w:rsid w:val="1BC23791"/>
    <w:rsid w:val="1BC25DC8"/>
    <w:rsid w:val="1BC458F0"/>
    <w:rsid w:val="1BC872C4"/>
    <w:rsid w:val="1BCC1F7B"/>
    <w:rsid w:val="1BCF0653"/>
    <w:rsid w:val="1BD86007"/>
    <w:rsid w:val="1BDD6A72"/>
    <w:rsid w:val="1BE20386"/>
    <w:rsid w:val="1BE8616A"/>
    <w:rsid w:val="1BE97158"/>
    <w:rsid w:val="1BEB6C4E"/>
    <w:rsid w:val="1BFB31F6"/>
    <w:rsid w:val="1BFC07BD"/>
    <w:rsid w:val="1C0700D3"/>
    <w:rsid w:val="1C0706F6"/>
    <w:rsid w:val="1C073019"/>
    <w:rsid w:val="1C0A168B"/>
    <w:rsid w:val="1C181820"/>
    <w:rsid w:val="1C18548B"/>
    <w:rsid w:val="1C1B3D9A"/>
    <w:rsid w:val="1C1F21D0"/>
    <w:rsid w:val="1C2208E7"/>
    <w:rsid w:val="1C237D92"/>
    <w:rsid w:val="1C295AD2"/>
    <w:rsid w:val="1C4E77C9"/>
    <w:rsid w:val="1C512D03"/>
    <w:rsid w:val="1C5E7925"/>
    <w:rsid w:val="1C5F47D7"/>
    <w:rsid w:val="1C730FDE"/>
    <w:rsid w:val="1C736E99"/>
    <w:rsid w:val="1C7F7B3D"/>
    <w:rsid w:val="1C811F12"/>
    <w:rsid w:val="1C832674"/>
    <w:rsid w:val="1C872CDB"/>
    <w:rsid w:val="1C887FC8"/>
    <w:rsid w:val="1C8975DF"/>
    <w:rsid w:val="1C964CCC"/>
    <w:rsid w:val="1C9E0F30"/>
    <w:rsid w:val="1C9E31F3"/>
    <w:rsid w:val="1CA1494D"/>
    <w:rsid w:val="1CA35F17"/>
    <w:rsid w:val="1CA47B03"/>
    <w:rsid w:val="1CA7428D"/>
    <w:rsid w:val="1CB03FE0"/>
    <w:rsid w:val="1CB17D58"/>
    <w:rsid w:val="1CB25FAA"/>
    <w:rsid w:val="1CB33715"/>
    <w:rsid w:val="1CBF5FD1"/>
    <w:rsid w:val="1CC05CA2"/>
    <w:rsid w:val="1CD06A24"/>
    <w:rsid w:val="1CD75A11"/>
    <w:rsid w:val="1CE06507"/>
    <w:rsid w:val="1CF33ECD"/>
    <w:rsid w:val="1CF6363D"/>
    <w:rsid w:val="1CFB013B"/>
    <w:rsid w:val="1D0424CF"/>
    <w:rsid w:val="1D0F41E2"/>
    <w:rsid w:val="1D1811F2"/>
    <w:rsid w:val="1D2247B2"/>
    <w:rsid w:val="1D23563C"/>
    <w:rsid w:val="1D24677C"/>
    <w:rsid w:val="1D250DBB"/>
    <w:rsid w:val="1D2F1876"/>
    <w:rsid w:val="1D364E98"/>
    <w:rsid w:val="1D3D339A"/>
    <w:rsid w:val="1D46666D"/>
    <w:rsid w:val="1D4722F9"/>
    <w:rsid w:val="1D4D182F"/>
    <w:rsid w:val="1D4D7A81"/>
    <w:rsid w:val="1D530E0B"/>
    <w:rsid w:val="1D556199"/>
    <w:rsid w:val="1D5C5584"/>
    <w:rsid w:val="1D5F6196"/>
    <w:rsid w:val="1D5F77B4"/>
    <w:rsid w:val="1D6132A5"/>
    <w:rsid w:val="1D782444"/>
    <w:rsid w:val="1D801FC1"/>
    <w:rsid w:val="1D840FC9"/>
    <w:rsid w:val="1D8B3D52"/>
    <w:rsid w:val="1D8E076F"/>
    <w:rsid w:val="1D8E0841"/>
    <w:rsid w:val="1D8E56D5"/>
    <w:rsid w:val="1DA04055"/>
    <w:rsid w:val="1DB27DF9"/>
    <w:rsid w:val="1DC15D79"/>
    <w:rsid w:val="1DC3408F"/>
    <w:rsid w:val="1DC51D95"/>
    <w:rsid w:val="1DCF2EFB"/>
    <w:rsid w:val="1DDB32DF"/>
    <w:rsid w:val="1DDF327B"/>
    <w:rsid w:val="1DE33F41"/>
    <w:rsid w:val="1DEA7B3B"/>
    <w:rsid w:val="1DEF28E6"/>
    <w:rsid w:val="1DF76713"/>
    <w:rsid w:val="1DFD79FA"/>
    <w:rsid w:val="1DFF1A36"/>
    <w:rsid w:val="1E026ABD"/>
    <w:rsid w:val="1E0C1593"/>
    <w:rsid w:val="1E0E0DF1"/>
    <w:rsid w:val="1E14059F"/>
    <w:rsid w:val="1E281512"/>
    <w:rsid w:val="1E2E758B"/>
    <w:rsid w:val="1E34479D"/>
    <w:rsid w:val="1E37603B"/>
    <w:rsid w:val="1E394556"/>
    <w:rsid w:val="1E3A63E9"/>
    <w:rsid w:val="1E3B3D7D"/>
    <w:rsid w:val="1E3D5D47"/>
    <w:rsid w:val="1E3F69A0"/>
    <w:rsid w:val="1E4652EC"/>
    <w:rsid w:val="1E4A4A19"/>
    <w:rsid w:val="1E4D25FA"/>
    <w:rsid w:val="1E4F5A2F"/>
    <w:rsid w:val="1E562965"/>
    <w:rsid w:val="1E672AA3"/>
    <w:rsid w:val="1E761259"/>
    <w:rsid w:val="1E777D51"/>
    <w:rsid w:val="1E7A43DA"/>
    <w:rsid w:val="1E7B6E7F"/>
    <w:rsid w:val="1E8348E9"/>
    <w:rsid w:val="1E8723F8"/>
    <w:rsid w:val="1E8D2CCD"/>
    <w:rsid w:val="1E8E461A"/>
    <w:rsid w:val="1E9554B3"/>
    <w:rsid w:val="1E963DB7"/>
    <w:rsid w:val="1E9951E4"/>
    <w:rsid w:val="1EA30BA8"/>
    <w:rsid w:val="1EAC07D7"/>
    <w:rsid w:val="1EAD3B82"/>
    <w:rsid w:val="1EB277FE"/>
    <w:rsid w:val="1EBB1886"/>
    <w:rsid w:val="1EC04BF6"/>
    <w:rsid w:val="1EC75611"/>
    <w:rsid w:val="1ECE30C3"/>
    <w:rsid w:val="1EDD7B03"/>
    <w:rsid w:val="1EDE2CEB"/>
    <w:rsid w:val="1EE52417"/>
    <w:rsid w:val="1EEB54F0"/>
    <w:rsid w:val="1EED151B"/>
    <w:rsid w:val="1EF045B7"/>
    <w:rsid w:val="1EF503D0"/>
    <w:rsid w:val="1EF67CA4"/>
    <w:rsid w:val="1F016D75"/>
    <w:rsid w:val="1F135C75"/>
    <w:rsid w:val="1F14122E"/>
    <w:rsid w:val="1F1B36DD"/>
    <w:rsid w:val="1F1D3483"/>
    <w:rsid w:val="1F256949"/>
    <w:rsid w:val="1F2D69BF"/>
    <w:rsid w:val="1F444EB4"/>
    <w:rsid w:val="1F4705CA"/>
    <w:rsid w:val="1F473CDC"/>
    <w:rsid w:val="1F4A2EED"/>
    <w:rsid w:val="1F4B41AB"/>
    <w:rsid w:val="1F4B6242"/>
    <w:rsid w:val="1F5F658A"/>
    <w:rsid w:val="1F603732"/>
    <w:rsid w:val="1F675EF6"/>
    <w:rsid w:val="1F6850B8"/>
    <w:rsid w:val="1F6C75D3"/>
    <w:rsid w:val="1F842DAB"/>
    <w:rsid w:val="1F896D6A"/>
    <w:rsid w:val="1F8D685B"/>
    <w:rsid w:val="1F8F25D3"/>
    <w:rsid w:val="1F8F53C5"/>
    <w:rsid w:val="1F946E5A"/>
    <w:rsid w:val="1F980A35"/>
    <w:rsid w:val="1F9D1E8E"/>
    <w:rsid w:val="1FAE1199"/>
    <w:rsid w:val="1FB41EDE"/>
    <w:rsid w:val="1FB837D1"/>
    <w:rsid w:val="1FBA38C5"/>
    <w:rsid w:val="1FBF278C"/>
    <w:rsid w:val="1FC13CC5"/>
    <w:rsid w:val="1FD20711"/>
    <w:rsid w:val="1FE46A9C"/>
    <w:rsid w:val="1FE7539E"/>
    <w:rsid w:val="1FED72F9"/>
    <w:rsid w:val="1FEF48D2"/>
    <w:rsid w:val="1FEF7CC9"/>
    <w:rsid w:val="200D71AB"/>
    <w:rsid w:val="200F7270"/>
    <w:rsid w:val="20176762"/>
    <w:rsid w:val="20371D44"/>
    <w:rsid w:val="20384A18"/>
    <w:rsid w:val="204605D5"/>
    <w:rsid w:val="2049014C"/>
    <w:rsid w:val="20501FF1"/>
    <w:rsid w:val="205547C5"/>
    <w:rsid w:val="20575EB0"/>
    <w:rsid w:val="205D6038"/>
    <w:rsid w:val="20656507"/>
    <w:rsid w:val="206714AB"/>
    <w:rsid w:val="206B3674"/>
    <w:rsid w:val="206F41B2"/>
    <w:rsid w:val="207200F1"/>
    <w:rsid w:val="207277FE"/>
    <w:rsid w:val="20743577"/>
    <w:rsid w:val="207D6939"/>
    <w:rsid w:val="20825C93"/>
    <w:rsid w:val="20855784"/>
    <w:rsid w:val="20876726"/>
    <w:rsid w:val="208B05E4"/>
    <w:rsid w:val="208C266E"/>
    <w:rsid w:val="20963CB8"/>
    <w:rsid w:val="2096555D"/>
    <w:rsid w:val="20967CA1"/>
    <w:rsid w:val="20A07520"/>
    <w:rsid w:val="20A4740D"/>
    <w:rsid w:val="20A8115B"/>
    <w:rsid w:val="20B07FB6"/>
    <w:rsid w:val="20BF7665"/>
    <w:rsid w:val="20C52024"/>
    <w:rsid w:val="20C861B9"/>
    <w:rsid w:val="20D300B0"/>
    <w:rsid w:val="20DB1848"/>
    <w:rsid w:val="20DE6C42"/>
    <w:rsid w:val="20E733F3"/>
    <w:rsid w:val="20E9451E"/>
    <w:rsid w:val="20EE3329"/>
    <w:rsid w:val="20F46EF7"/>
    <w:rsid w:val="20F67E2D"/>
    <w:rsid w:val="20FA1CCE"/>
    <w:rsid w:val="21007DFA"/>
    <w:rsid w:val="210A7A37"/>
    <w:rsid w:val="210E39CB"/>
    <w:rsid w:val="21153FCA"/>
    <w:rsid w:val="211555DB"/>
    <w:rsid w:val="213604F3"/>
    <w:rsid w:val="213A3B1B"/>
    <w:rsid w:val="213B74B1"/>
    <w:rsid w:val="213F0E29"/>
    <w:rsid w:val="21400970"/>
    <w:rsid w:val="21425423"/>
    <w:rsid w:val="214C2F0C"/>
    <w:rsid w:val="214F4AC8"/>
    <w:rsid w:val="21515666"/>
    <w:rsid w:val="215A2310"/>
    <w:rsid w:val="21621E63"/>
    <w:rsid w:val="216740BA"/>
    <w:rsid w:val="216929AF"/>
    <w:rsid w:val="216E2748"/>
    <w:rsid w:val="21723F5A"/>
    <w:rsid w:val="217952E8"/>
    <w:rsid w:val="21933ED0"/>
    <w:rsid w:val="21970A16"/>
    <w:rsid w:val="219A7B64"/>
    <w:rsid w:val="219F4623"/>
    <w:rsid w:val="21A81CCE"/>
    <w:rsid w:val="21AA36F4"/>
    <w:rsid w:val="21AD53AC"/>
    <w:rsid w:val="21AE4866"/>
    <w:rsid w:val="21B8528D"/>
    <w:rsid w:val="21BC51D5"/>
    <w:rsid w:val="21C46F46"/>
    <w:rsid w:val="21C66054"/>
    <w:rsid w:val="21CF4F08"/>
    <w:rsid w:val="21D95D87"/>
    <w:rsid w:val="21DC004D"/>
    <w:rsid w:val="21DC497F"/>
    <w:rsid w:val="21DE318A"/>
    <w:rsid w:val="21E145C4"/>
    <w:rsid w:val="21E173F4"/>
    <w:rsid w:val="21E608AA"/>
    <w:rsid w:val="21E87EB6"/>
    <w:rsid w:val="21E90747"/>
    <w:rsid w:val="21EF5B80"/>
    <w:rsid w:val="21F12E30"/>
    <w:rsid w:val="21F21098"/>
    <w:rsid w:val="21F26E49"/>
    <w:rsid w:val="21F32933"/>
    <w:rsid w:val="21F7445F"/>
    <w:rsid w:val="21FE57EE"/>
    <w:rsid w:val="2207158A"/>
    <w:rsid w:val="22280ABD"/>
    <w:rsid w:val="2237485C"/>
    <w:rsid w:val="22393163"/>
    <w:rsid w:val="223A2F05"/>
    <w:rsid w:val="223C6316"/>
    <w:rsid w:val="224B2568"/>
    <w:rsid w:val="224B6D26"/>
    <w:rsid w:val="224D2194"/>
    <w:rsid w:val="22576990"/>
    <w:rsid w:val="22590AC2"/>
    <w:rsid w:val="225C57E4"/>
    <w:rsid w:val="22602004"/>
    <w:rsid w:val="22665141"/>
    <w:rsid w:val="22684419"/>
    <w:rsid w:val="22755BB9"/>
    <w:rsid w:val="22760CB2"/>
    <w:rsid w:val="22776473"/>
    <w:rsid w:val="22947F00"/>
    <w:rsid w:val="229A716A"/>
    <w:rsid w:val="229C4EAB"/>
    <w:rsid w:val="22A04AF7"/>
    <w:rsid w:val="22A61FC5"/>
    <w:rsid w:val="22B95D7B"/>
    <w:rsid w:val="22C2681B"/>
    <w:rsid w:val="22CD2452"/>
    <w:rsid w:val="22CE51C0"/>
    <w:rsid w:val="22D03F74"/>
    <w:rsid w:val="22D625B1"/>
    <w:rsid w:val="22F63206"/>
    <w:rsid w:val="22FC4377"/>
    <w:rsid w:val="23006799"/>
    <w:rsid w:val="2300696F"/>
    <w:rsid w:val="230100E6"/>
    <w:rsid w:val="2302702B"/>
    <w:rsid w:val="23052BAC"/>
    <w:rsid w:val="23057B1F"/>
    <w:rsid w:val="230C501C"/>
    <w:rsid w:val="23130A6C"/>
    <w:rsid w:val="2313493A"/>
    <w:rsid w:val="23143B6A"/>
    <w:rsid w:val="232B7B20"/>
    <w:rsid w:val="232C1EE7"/>
    <w:rsid w:val="2332498D"/>
    <w:rsid w:val="23337719"/>
    <w:rsid w:val="233D257C"/>
    <w:rsid w:val="23423898"/>
    <w:rsid w:val="2345624F"/>
    <w:rsid w:val="234A4F4B"/>
    <w:rsid w:val="234B36F7"/>
    <w:rsid w:val="234D0BBD"/>
    <w:rsid w:val="235503C2"/>
    <w:rsid w:val="2355393A"/>
    <w:rsid w:val="2356270D"/>
    <w:rsid w:val="2358162D"/>
    <w:rsid w:val="235C0A1E"/>
    <w:rsid w:val="235F67EA"/>
    <w:rsid w:val="23605B90"/>
    <w:rsid w:val="23696C97"/>
    <w:rsid w:val="23733631"/>
    <w:rsid w:val="23734403"/>
    <w:rsid w:val="2375388E"/>
    <w:rsid w:val="237A5348"/>
    <w:rsid w:val="23854D4F"/>
    <w:rsid w:val="2387782E"/>
    <w:rsid w:val="238C6E29"/>
    <w:rsid w:val="2393640A"/>
    <w:rsid w:val="239C706C"/>
    <w:rsid w:val="23A54018"/>
    <w:rsid w:val="23A83C63"/>
    <w:rsid w:val="23BD6FE3"/>
    <w:rsid w:val="23C0285C"/>
    <w:rsid w:val="23C03BBE"/>
    <w:rsid w:val="23C14F6A"/>
    <w:rsid w:val="23C41CAE"/>
    <w:rsid w:val="23C71C0F"/>
    <w:rsid w:val="23CA7E50"/>
    <w:rsid w:val="23D74548"/>
    <w:rsid w:val="23D9660A"/>
    <w:rsid w:val="23E947F5"/>
    <w:rsid w:val="23EB16FF"/>
    <w:rsid w:val="23EF10D6"/>
    <w:rsid w:val="23F27FAE"/>
    <w:rsid w:val="23F37E91"/>
    <w:rsid w:val="23F70746"/>
    <w:rsid w:val="23F92711"/>
    <w:rsid w:val="2406098A"/>
    <w:rsid w:val="24077749"/>
    <w:rsid w:val="240F1D7B"/>
    <w:rsid w:val="24117FD8"/>
    <w:rsid w:val="24172B97"/>
    <w:rsid w:val="24174945"/>
    <w:rsid w:val="241906BD"/>
    <w:rsid w:val="241D1062"/>
    <w:rsid w:val="242C11E1"/>
    <w:rsid w:val="243323DA"/>
    <w:rsid w:val="2435301D"/>
    <w:rsid w:val="243674C1"/>
    <w:rsid w:val="24383FF8"/>
    <w:rsid w:val="244031D8"/>
    <w:rsid w:val="24417C14"/>
    <w:rsid w:val="24446836"/>
    <w:rsid w:val="244B1E69"/>
    <w:rsid w:val="244F476C"/>
    <w:rsid w:val="245108D2"/>
    <w:rsid w:val="245328FD"/>
    <w:rsid w:val="245A1153"/>
    <w:rsid w:val="245A7058"/>
    <w:rsid w:val="245C61AD"/>
    <w:rsid w:val="246102B6"/>
    <w:rsid w:val="24694D25"/>
    <w:rsid w:val="246F330B"/>
    <w:rsid w:val="247004D1"/>
    <w:rsid w:val="24701D49"/>
    <w:rsid w:val="24771887"/>
    <w:rsid w:val="247E4225"/>
    <w:rsid w:val="247F0D0F"/>
    <w:rsid w:val="247F6CE6"/>
    <w:rsid w:val="2485031C"/>
    <w:rsid w:val="24885908"/>
    <w:rsid w:val="24895B0A"/>
    <w:rsid w:val="248A15BB"/>
    <w:rsid w:val="248D2E59"/>
    <w:rsid w:val="24922BF4"/>
    <w:rsid w:val="24943907"/>
    <w:rsid w:val="24975A86"/>
    <w:rsid w:val="24977637"/>
    <w:rsid w:val="24A075B1"/>
    <w:rsid w:val="24A30494"/>
    <w:rsid w:val="24A3267C"/>
    <w:rsid w:val="24B8013A"/>
    <w:rsid w:val="24B94A65"/>
    <w:rsid w:val="24C42039"/>
    <w:rsid w:val="24CF32FF"/>
    <w:rsid w:val="24DC4B11"/>
    <w:rsid w:val="24E65626"/>
    <w:rsid w:val="24E762AA"/>
    <w:rsid w:val="24EC2DA2"/>
    <w:rsid w:val="24EF58C2"/>
    <w:rsid w:val="24F627AC"/>
    <w:rsid w:val="24F7761F"/>
    <w:rsid w:val="24FB669F"/>
    <w:rsid w:val="24FC3F2A"/>
    <w:rsid w:val="250159AF"/>
    <w:rsid w:val="25084202"/>
    <w:rsid w:val="250865F3"/>
    <w:rsid w:val="250F24BE"/>
    <w:rsid w:val="252C24A1"/>
    <w:rsid w:val="252D53FE"/>
    <w:rsid w:val="252E6212"/>
    <w:rsid w:val="2532524D"/>
    <w:rsid w:val="253439FF"/>
    <w:rsid w:val="25387269"/>
    <w:rsid w:val="254A6DAA"/>
    <w:rsid w:val="2556149D"/>
    <w:rsid w:val="25710085"/>
    <w:rsid w:val="25714529"/>
    <w:rsid w:val="257A6614"/>
    <w:rsid w:val="257B6B20"/>
    <w:rsid w:val="257B769F"/>
    <w:rsid w:val="257D2256"/>
    <w:rsid w:val="257D7B45"/>
    <w:rsid w:val="25803B05"/>
    <w:rsid w:val="25806EC8"/>
    <w:rsid w:val="25992CD7"/>
    <w:rsid w:val="25A139FF"/>
    <w:rsid w:val="25A6391A"/>
    <w:rsid w:val="25A9393A"/>
    <w:rsid w:val="25AA425A"/>
    <w:rsid w:val="25AB6FE2"/>
    <w:rsid w:val="25AB7A3A"/>
    <w:rsid w:val="25BA0FDC"/>
    <w:rsid w:val="25BE692A"/>
    <w:rsid w:val="25C805EC"/>
    <w:rsid w:val="25C93773"/>
    <w:rsid w:val="25C97EC1"/>
    <w:rsid w:val="25D60939"/>
    <w:rsid w:val="25E230A5"/>
    <w:rsid w:val="25E42F4C"/>
    <w:rsid w:val="25EC2D81"/>
    <w:rsid w:val="25EE4DE6"/>
    <w:rsid w:val="25F34F3E"/>
    <w:rsid w:val="25F35FA0"/>
    <w:rsid w:val="25FC16C0"/>
    <w:rsid w:val="25FF1B34"/>
    <w:rsid w:val="260357AC"/>
    <w:rsid w:val="260B2287"/>
    <w:rsid w:val="26117D22"/>
    <w:rsid w:val="26142FCB"/>
    <w:rsid w:val="262F0248"/>
    <w:rsid w:val="26306192"/>
    <w:rsid w:val="26344C98"/>
    <w:rsid w:val="26350E1D"/>
    <w:rsid w:val="26354676"/>
    <w:rsid w:val="263E265D"/>
    <w:rsid w:val="263F0183"/>
    <w:rsid w:val="264528BD"/>
    <w:rsid w:val="26461511"/>
    <w:rsid w:val="264D430D"/>
    <w:rsid w:val="264E2C80"/>
    <w:rsid w:val="26526FE4"/>
    <w:rsid w:val="26595066"/>
    <w:rsid w:val="265F1DF8"/>
    <w:rsid w:val="265F4004"/>
    <w:rsid w:val="26665444"/>
    <w:rsid w:val="2681079B"/>
    <w:rsid w:val="268169ED"/>
    <w:rsid w:val="268564DD"/>
    <w:rsid w:val="26945BF0"/>
    <w:rsid w:val="269E0B7F"/>
    <w:rsid w:val="26A1499A"/>
    <w:rsid w:val="26AA7CF2"/>
    <w:rsid w:val="26C54B2C"/>
    <w:rsid w:val="26C82DE1"/>
    <w:rsid w:val="26CF59AB"/>
    <w:rsid w:val="26D45466"/>
    <w:rsid w:val="26DD358D"/>
    <w:rsid w:val="26DE6FE8"/>
    <w:rsid w:val="26E20AE2"/>
    <w:rsid w:val="26FD42C6"/>
    <w:rsid w:val="26FD5D0B"/>
    <w:rsid w:val="270019D6"/>
    <w:rsid w:val="270165D0"/>
    <w:rsid w:val="270311B0"/>
    <w:rsid w:val="27066A1D"/>
    <w:rsid w:val="270A6E69"/>
    <w:rsid w:val="270D3E41"/>
    <w:rsid w:val="271414CD"/>
    <w:rsid w:val="271D2AA0"/>
    <w:rsid w:val="271D6716"/>
    <w:rsid w:val="27234F20"/>
    <w:rsid w:val="272746A0"/>
    <w:rsid w:val="27304C44"/>
    <w:rsid w:val="27357550"/>
    <w:rsid w:val="27364FA9"/>
    <w:rsid w:val="273B32E9"/>
    <w:rsid w:val="274009BA"/>
    <w:rsid w:val="27420E35"/>
    <w:rsid w:val="274240CF"/>
    <w:rsid w:val="27494B55"/>
    <w:rsid w:val="275639D6"/>
    <w:rsid w:val="275F084A"/>
    <w:rsid w:val="27602AA7"/>
    <w:rsid w:val="27624129"/>
    <w:rsid w:val="2770160F"/>
    <w:rsid w:val="277F2D58"/>
    <w:rsid w:val="278247CB"/>
    <w:rsid w:val="278505C3"/>
    <w:rsid w:val="2786250D"/>
    <w:rsid w:val="278B7B24"/>
    <w:rsid w:val="27934EBB"/>
    <w:rsid w:val="27946C03"/>
    <w:rsid w:val="27962024"/>
    <w:rsid w:val="279A3EBF"/>
    <w:rsid w:val="279B763B"/>
    <w:rsid w:val="279F637F"/>
    <w:rsid w:val="27A02EA3"/>
    <w:rsid w:val="27A37603"/>
    <w:rsid w:val="27B94837"/>
    <w:rsid w:val="27BA147E"/>
    <w:rsid w:val="27BC5812"/>
    <w:rsid w:val="27D15DD1"/>
    <w:rsid w:val="27D529A3"/>
    <w:rsid w:val="27D52B4D"/>
    <w:rsid w:val="27DF39CB"/>
    <w:rsid w:val="27EE4264"/>
    <w:rsid w:val="27F154AB"/>
    <w:rsid w:val="27F97BBC"/>
    <w:rsid w:val="280C7A22"/>
    <w:rsid w:val="281318C7"/>
    <w:rsid w:val="281439EB"/>
    <w:rsid w:val="281C12D0"/>
    <w:rsid w:val="28200F4B"/>
    <w:rsid w:val="2826532F"/>
    <w:rsid w:val="28377363"/>
    <w:rsid w:val="28392CC7"/>
    <w:rsid w:val="28402F6E"/>
    <w:rsid w:val="28417827"/>
    <w:rsid w:val="28431A51"/>
    <w:rsid w:val="284B1061"/>
    <w:rsid w:val="28520641"/>
    <w:rsid w:val="28631C70"/>
    <w:rsid w:val="2867244A"/>
    <w:rsid w:val="286A1E74"/>
    <w:rsid w:val="286B1703"/>
    <w:rsid w:val="286B636E"/>
    <w:rsid w:val="28706C21"/>
    <w:rsid w:val="287700A8"/>
    <w:rsid w:val="287B7B98"/>
    <w:rsid w:val="28851739"/>
    <w:rsid w:val="28924EE2"/>
    <w:rsid w:val="289A1F6E"/>
    <w:rsid w:val="28A54C15"/>
    <w:rsid w:val="28A76295"/>
    <w:rsid w:val="28AD6B8D"/>
    <w:rsid w:val="28B0518B"/>
    <w:rsid w:val="28B07E88"/>
    <w:rsid w:val="28BA2819"/>
    <w:rsid w:val="28BA7F95"/>
    <w:rsid w:val="28C87C59"/>
    <w:rsid w:val="28C90F98"/>
    <w:rsid w:val="28CC71A1"/>
    <w:rsid w:val="28CD17EE"/>
    <w:rsid w:val="28D42B23"/>
    <w:rsid w:val="28D635FE"/>
    <w:rsid w:val="28DB18F8"/>
    <w:rsid w:val="28DF17A9"/>
    <w:rsid w:val="28E1378E"/>
    <w:rsid w:val="28E90B25"/>
    <w:rsid w:val="28EA401D"/>
    <w:rsid w:val="28ED3EC6"/>
    <w:rsid w:val="28ED4949"/>
    <w:rsid w:val="28EE1297"/>
    <w:rsid w:val="28EE74F1"/>
    <w:rsid w:val="28F039B6"/>
    <w:rsid w:val="28F30C00"/>
    <w:rsid w:val="28FA7F23"/>
    <w:rsid w:val="29002DCE"/>
    <w:rsid w:val="2900485B"/>
    <w:rsid w:val="290336EA"/>
    <w:rsid w:val="2907571B"/>
    <w:rsid w:val="29077EFE"/>
    <w:rsid w:val="290A614C"/>
    <w:rsid w:val="29142883"/>
    <w:rsid w:val="291640F4"/>
    <w:rsid w:val="291F7C32"/>
    <w:rsid w:val="29206EB8"/>
    <w:rsid w:val="292C5C62"/>
    <w:rsid w:val="29401DFB"/>
    <w:rsid w:val="2952680E"/>
    <w:rsid w:val="29536336"/>
    <w:rsid w:val="29536884"/>
    <w:rsid w:val="295A0E9F"/>
    <w:rsid w:val="295D54F0"/>
    <w:rsid w:val="295E4BF5"/>
    <w:rsid w:val="29623B69"/>
    <w:rsid w:val="29695C42"/>
    <w:rsid w:val="296E3D42"/>
    <w:rsid w:val="297B506E"/>
    <w:rsid w:val="298959D1"/>
    <w:rsid w:val="298F6165"/>
    <w:rsid w:val="29916F4E"/>
    <w:rsid w:val="2996455E"/>
    <w:rsid w:val="299C66F8"/>
    <w:rsid w:val="299D58EC"/>
    <w:rsid w:val="29A6176B"/>
    <w:rsid w:val="29AB1D9B"/>
    <w:rsid w:val="29B33196"/>
    <w:rsid w:val="29B36EBE"/>
    <w:rsid w:val="29B64C00"/>
    <w:rsid w:val="29BA649E"/>
    <w:rsid w:val="29BE53C4"/>
    <w:rsid w:val="29C73B59"/>
    <w:rsid w:val="29CA4207"/>
    <w:rsid w:val="29CA5758"/>
    <w:rsid w:val="29D01A6F"/>
    <w:rsid w:val="29D07A70"/>
    <w:rsid w:val="29D86924"/>
    <w:rsid w:val="29DF2231"/>
    <w:rsid w:val="29E325E0"/>
    <w:rsid w:val="29E53FAC"/>
    <w:rsid w:val="29EC586B"/>
    <w:rsid w:val="29F27EBE"/>
    <w:rsid w:val="29FE7860"/>
    <w:rsid w:val="2A026E11"/>
    <w:rsid w:val="2A063491"/>
    <w:rsid w:val="2A1A2834"/>
    <w:rsid w:val="2A1B4A63"/>
    <w:rsid w:val="2A273ECB"/>
    <w:rsid w:val="2A2C5B46"/>
    <w:rsid w:val="2A3049B2"/>
    <w:rsid w:val="2A316DBD"/>
    <w:rsid w:val="2A34041B"/>
    <w:rsid w:val="2A452503"/>
    <w:rsid w:val="2A570191"/>
    <w:rsid w:val="2A5C05C5"/>
    <w:rsid w:val="2A6578AF"/>
    <w:rsid w:val="2A693A20"/>
    <w:rsid w:val="2A704DAF"/>
    <w:rsid w:val="2A7D57AB"/>
    <w:rsid w:val="2A877AF9"/>
    <w:rsid w:val="2A8E6068"/>
    <w:rsid w:val="2AA12BF3"/>
    <w:rsid w:val="2AAD3C72"/>
    <w:rsid w:val="2ABA62BC"/>
    <w:rsid w:val="2AC31CFC"/>
    <w:rsid w:val="2AC35B85"/>
    <w:rsid w:val="2AC944BF"/>
    <w:rsid w:val="2ACA26F2"/>
    <w:rsid w:val="2ACA5869"/>
    <w:rsid w:val="2ACD0453"/>
    <w:rsid w:val="2ACD28B2"/>
    <w:rsid w:val="2AD51E87"/>
    <w:rsid w:val="2AD90BA6"/>
    <w:rsid w:val="2AEE0686"/>
    <w:rsid w:val="2AEF03C9"/>
    <w:rsid w:val="2AF0305B"/>
    <w:rsid w:val="2AF17D3D"/>
    <w:rsid w:val="2AF65DDB"/>
    <w:rsid w:val="2AFC5122"/>
    <w:rsid w:val="2AFE060C"/>
    <w:rsid w:val="2AFE472F"/>
    <w:rsid w:val="2B130055"/>
    <w:rsid w:val="2B2503F1"/>
    <w:rsid w:val="2B2B2529"/>
    <w:rsid w:val="2B312790"/>
    <w:rsid w:val="2B334C8C"/>
    <w:rsid w:val="2B3758CC"/>
    <w:rsid w:val="2B4017F0"/>
    <w:rsid w:val="2B465CF5"/>
    <w:rsid w:val="2B596B30"/>
    <w:rsid w:val="2B612949"/>
    <w:rsid w:val="2B6D0B82"/>
    <w:rsid w:val="2B7803BF"/>
    <w:rsid w:val="2B794417"/>
    <w:rsid w:val="2B882749"/>
    <w:rsid w:val="2B912E63"/>
    <w:rsid w:val="2B930836"/>
    <w:rsid w:val="2B977D55"/>
    <w:rsid w:val="2B9D0166"/>
    <w:rsid w:val="2BA8671A"/>
    <w:rsid w:val="2BA936A8"/>
    <w:rsid w:val="2BB5084D"/>
    <w:rsid w:val="2BBE1B4A"/>
    <w:rsid w:val="2BC57B09"/>
    <w:rsid w:val="2BD31A99"/>
    <w:rsid w:val="2BD650E5"/>
    <w:rsid w:val="2BDB0C63"/>
    <w:rsid w:val="2BDD29F2"/>
    <w:rsid w:val="2BDE2153"/>
    <w:rsid w:val="2BE47802"/>
    <w:rsid w:val="2BE75544"/>
    <w:rsid w:val="2BE8392F"/>
    <w:rsid w:val="2BF35C97"/>
    <w:rsid w:val="2C13199F"/>
    <w:rsid w:val="2C2139E5"/>
    <w:rsid w:val="2C272ABE"/>
    <w:rsid w:val="2C2A13A5"/>
    <w:rsid w:val="2C2B5641"/>
    <w:rsid w:val="2C2C06DA"/>
    <w:rsid w:val="2C315A5A"/>
    <w:rsid w:val="2C325793"/>
    <w:rsid w:val="2C336968"/>
    <w:rsid w:val="2C35030F"/>
    <w:rsid w:val="2C37058B"/>
    <w:rsid w:val="2C3D2D53"/>
    <w:rsid w:val="2C4B7881"/>
    <w:rsid w:val="2C515C38"/>
    <w:rsid w:val="2C536973"/>
    <w:rsid w:val="2C561068"/>
    <w:rsid w:val="2C63728C"/>
    <w:rsid w:val="2C673F8F"/>
    <w:rsid w:val="2C6E3570"/>
    <w:rsid w:val="2C715DC0"/>
    <w:rsid w:val="2C756743"/>
    <w:rsid w:val="2C7A17F6"/>
    <w:rsid w:val="2C82251F"/>
    <w:rsid w:val="2C874097"/>
    <w:rsid w:val="2C8B5ED0"/>
    <w:rsid w:val="2C994A91"/>
    <w:rsid w:val="2C994B71"/>
    <w:rsid w:val="2C9C46F5"/>
    <w:rsid w:val="2CA15980"/>
    <w:rsid w:val="2CA27F2C"/>
    <w:rsid w:val="2CA63E6E"/>
    <w:rsid w:val="2CA945A8"/>
    <w:rsid w:val="2CAF60BD"/>
    <w:rsid w:val="2CB03F49"/>
    <w:rsid w:val="2CB847EB"/>
    <w:rsid w:val="2CBC252D"/>
    <w:rsid w:val="2CBF1147"/>
    <w:rsid w:val="2CBF174B"/>
    <w:rsid w:val="2CC969F8"/>
    <w:rsid w:val="2CCC0C62"/>
    <w:rsid w:val="2CCE400E"/>
    <w:rsid w:val="2CD07D87"/>
    <w:rsid w:val="2CD23AFF"/>
    <w:rsid w:val="2CE30FB3"/>
    <w:rsid w:val="2CE455E0"/>
    <w:rsid w:val="2CE875A7"/>
    <w:rsid w:val="2CEF5ABE"/>
    <w:rsid w:val="2CF12331"/>
    <w:rsid w:val="2CFA6D03"/>
    <w:rsid w:val="2CFB335C"/>
    <w:rsid w:val="2CFC0B7C"/>
    <w:rsid w:val="2D024E86"/>
    <w:rsid w:val="2D055D4A"/>
    <w:rsid w:val="2D1B54A6"/>
    <w:rsid w:val="2D1E1C28"/>
    <w:rsid w:val="2D247FE4"/>
    <w:rsid w:val="2D263E4A"/>
    <w:rsid w:val="2D2E0C20"/>
    <w:rsid w:val="2D2E528F"/>
    <w:rsid w:val="2D2F3932"/>
    <w:rsid w:val="2D3E0FDF"/>
    <w:rsid w:val="2D474635"/>
    <w:rsid w:val="2D4A1729"/>
    <w:rsid w:val="2D4C0908"/>
    <w:rsid w:val="2D514347"/>
    <w:rsid w:val="2D55437C"/>
    <w:rsid w:val="2D574004"/>
    <w:rsid w:val="2D5C6387"/>
    <w:rsid w:val="2D616C31"/>
    <w:rsid w:val="2D6A6FAE"/>
    <w:rsid w:val="2D6D7CCB"/>
    <w:rsid w:val="2D713318"/>
    <w:rsid w:val="2D736E31"/>
    <w:rsid w:val="2D7E6EC3"/>
    <w:rsid w:val="2D8053DE"/>
    <w:rsid w:val="2D8F55D1"/>
    <w:rsid w:val="2D9A6DE8"/>
    <w:rsid w:val="2D9B0395"/>
    <w:rsid w:val="2D9E56F5"/>
    <w:rsid w:val="2D9E5F0A"/>
    <w:rsid w:val="2DA37249"/>
    <w:rsid w:val="2DA42713"/>
    <w:rsid w:val="2DB02335"/>
    <w:rsid w:val="2DB26C84"/>
    <w:rsid w:val="2DB63420"/>
    <w:rsid w:val="2DB63F25"/>
    <w:rsid w:val="2DB76051"/>
    <w:rsid w:val="2DCA2A28"/>
    <w:rsid w:val="2DD30EF8"/>
    <w:rsid w:val="2DD778E0"/>
    <w:rsid w:val="2DD92C6B"/>
    <w:rsid w:val="2DDA1700"/>
    <w:rsid w:val="2DDD275B"/>
    <w:rsid w:val="2DE9706F"/>
    <w:rsid w:val="2DF53F49"/>
    <w:rsid w:val="2DFA477E"/>
    <w:rsid w:val="2DFD7C53"/>
    <w:rsid w:val="2DFF3E27"/>
    <w:rsid w:val="2E073324"/>
    <w:rsid w:val="2E0E724F"/>
    <w:rsid w:val="2E0F73E1"/>
    <w:rsid w:val="2E124D31"/>
    <w:rsid w:val="2E1756A9"/>
    <w:rsid w:val="2E2267FB"/>
    <w:rsid w:val="2E240565"/>
    <w:rsid w:val="2E2E2FB7"/>
    <w:rsid w:val="2E3507E9"/>
    <w:rsid w:val="2E367DD5"/>
    <w:rsid w:val="2E4215F5"/>
    <w:rsid w:val="2E424CB4"/>
    <w:rsid w:val="2E4508DB"/>
    <w:rsid w:val="2E496043"/>
    <w:rsid w:val="2E5D4220"/>
    <w:rsid w:val="2E6514C8"/>
    <w:rsid w:val="2E667F96"/>
    <w:rsid w:val="2E6E15DF"/>
    <w:rsid w:val="2E6E1F2D"/>
    <w:rsid w:val="2E6F6D21"/>
    <w:rsid w:val="2E701BDB"/>
    <w:rsid w:val="2E70537D"/>
    <w:rsid w:val="2E750A70"/>
    <w:rsid w:val="2E8226AB"/>
    <w:rsid w:val="2E8A3DE3"/>
    <w:rsid w:val="2E9574DA"/>
    <w:rsid w:val="2EA72D69"/>
    <w:rsid w:val="2EAC6B31"/>
    <w:rsid w:val="2EAD4823"/>
    <w:rsid w:val="2EB55486"/>
    <w:rsid w:val="2EB84F76"/>
    <w:rsid w:val="2EBA7F7D"/>
    <w:rsid w:val="2EBF4557"/>
    <w:rsid w:val="2EC066F3"/>
    <w:rsid w:val="2EC35139"/>
    <w:rsid w:val="2ED15E6F"/>
    <w:rsid w:val="2ED344F5"/>
    <w:rsid w:val="2ED3590C"/>
    <w:rsid w:val="2ED527DD"/>
    <w:rsid w:val="2ED715E0"/>
    <w:rsid w:val="2ED94BB6"/>
    <w:rsid w:val="2EDC0C65"/>
    <w:rsid w:val="2EDE49DD"/>
    <w:rsid w:val="2EE66344"/>
    <w:rsid w:val="2EE664F6"/>
    <w:rsid w:val="2EE93382"/>
    <w:rsid w:val="2EED10C4"/>
    <w:rsid w:val="2EF91817"/>
    <w:rsid w:val="2EF97A69"/>
    <w:rsid w:val="2EFE6E2D"/>
    <w:rsid w:val="2F011C12"/>
    <w:rsid w:val="2F045B74"/>
    <w:rsid w:val="2F0B779C"/>
    <w:rsid w:val="2F114C87"/>
    <w:rsid w:val="2F13314E"/>
    <w:rsid w:val="2F17454E"/>
    <w:rsid w:val="2F19431A"/>
    <w:rsid w:val="2F1A1C58"/>
    <w:rsid w:val="2F1D516B"/>
    <w:rsid w:val="2F261EE0"/>
    <w:rsid w:val="2F2F348A"/>
    <w:rsid w:val="2F2F5F60"/>
    <w:rsid w:val="2F34284F"/>
    <w:rsid w:val="2F3B2DD9"/>
    <w:rsid w:val="2F3C42D2"/>
    <w:rsid w:val="2F4862FA"/>
    <w:rsid w:val="2F4874EF"/>
    <w:rsid w:val="2F4A193E"/>
    <w:rsid w:val="2F4C6DBB"/>
    <w:rsid w:val="2F632A94"/>
    <w:rsid w:val="2F634179"/>
    <w:rsid w:val="2F6A001E"/>
    <w:rsid w:val="2F6B5C8D"/>
    <w:rsid w:val="2F6F076F"/>
    <w:rsid w:val="2F702F51"/>
    <w:rsid w:val="2F715851"/>
    <w:rsid w:val="2F7572F8"/>
    <w:rsid w:val="2F7751FC"/>
    <w:rsid w:val="2F7B4F4F"/>
    <w:rsid w:val="2F832C79"/>
    <w:rsid w:val="2F924F00"/>
    <w:rsid w:val="2F936F01"/>
    <w:rsid w:val="2F966186"/>
    <w:rsid w:val="2F9B0B20"/>
    <w:rsid w:val="2FA21EAE"/>
    <w:rsid w:val="2FA3673E"/>
    <w:rsid w:val="2FA6569B"/>
    <w:rsid w:val="2FAA2B11"/>
    <w:rsid w:val="2FC055BC"/>
    <w:rsid w:val="2FC07A03"/>
    <w:rsid w:val="2FC176B6"/>
    <w:rsid w:val="2FCA1BAA"/>
    <w:rsid w:val="2FDE6C5E"/>
    <w:rsid w:val="2FE5320F"/>
    <w:rsid w:val="2FEF2D58"/>
    <w:rsid w:val="2FF479A2"/>
    <w:rsid w:val="2FF86BC7"/>
    <w:rsid w:val="2FF96F38"/>
    <w:rsid w:val="2FFA5892"/>
    <w:rsid w:val="2FFB4CA4"/>
    <w:rsid w:val="2FFC1E51"/>
    <w:rsid w:val="2FFD0E93"/>
    <w:rsid w:val="300F506A"/>
    <w:rsid w:val="3015555F"/>
    <w:rsid w:val="302503E9"/>
    <w:rsid w:val="30460295"/>
    <w:rsid w:val="3049449E"/>
    <w:rsid w:val="304E16EE"/>
    <w:rsid w:val="30566085"/>
    <w:rsid w:val="30580BC9"/>
    <w:rsid w:val="3058423A"/>
    <w:rsid w:val="305B205D"/>
    <w:rsid w:val="305E56A9"/>
    <w:rsid w:val="3062163D"/>
    <w:rsid w:val="30640F12"/>
    <w:rsid w:val="30662713"/>
    <w:rsid w:val="306D73EE"/>
    <w:rsid w:val="3075311F"/>
    <w:rsid w:val="307750E9"/>
    <w:rsid w:val="30796C0D"/>
    <w:rsid w:val="307C26FF"/>
    <w:rsid w:val="307D68C8"/>
    <w:rsid w:val="3085153A"/>
    <w:rsid w:val="30B704B6"/>
    <w:rsid w:val="30CE6A2C"/>
    <w:rsid w:val="30D219A3"/>
    <w:rsid w:val="30D467AF"/>
    <w:rsid w:val="30D72539"/>
    <w:rsid w:val="30E744BA"/>
    <w:rsid w:val="30E864C8"/>
    <w:rsid w:val="30E86BEB"/>
    <w:rsid w:val="30FA1876"/>
    <w:rsid w:val="30FB5378"/>
    <w:rsid w:val="31024767"/>
    <w:rsid w:val="31026175"/>
    <w:rsid w:val="31097D0B"/>
    <w:rsid w:val="31164C8D"/>
    <w:rsid w:val="311E2ED7"/>
    <w:rsid w:val="31307F5C"/>
    <w:rsid w:val="31327262"/>
    <w:rsid w:val="31385BC6"/>
    <w:rsid w:val="314A45AB"/>
    <w:rsid w:val="314E6968"/>
    <w:rsid w:val="314F0D0E"/>
    <w:rsid w:val="315C449C"/>
    <w:rsid w:val="3163741B"/>
    <w:rsid w:val="31661C67"/>
    <w:rsid w:val="31693A87"/>
    <w:rsid w:val="316A3706"/>
    <w:rsid w:val="317A4C08"/>
    <w:rsid w:val="317A69E9"/>
    <w:rsid w:val="317B29B7"/>
    <w:rsid w:val="317D67A4"/>
    <w:rsid w:val="317F51B0"/>
    <w:rsid w:val="31853836"/>
    <w:rsid w:val="3186310A"/>
    <w:rsid w:val="318A0E4C"/>
    <w:rsid w:val="318F1FBE"/>
    <w:rsid w:val="319E48F7"/>
    <w:rsid w:val="319E7BAE"/>
    <w:rsid w:val="31A006C4"/>
    <w:rsid w:val="31A55C86"/>
    <w:rsid w:val="31AA16AD"/>
    <w:rsid w:val="31AF5028"/>
    <w:rsid w:val="31B82709"/>
    <w:rsid w:val="31C368E0"/>
    <w:rsid w:val="31C836A9"/>
    <w:rsid w:val="31CB733F"/>
    <w:rsid w:val="31D64091"/>
    <w:rsid w:val="31DB5204"/>
    <w:rsid w:val="31DF4EA8"/>
    <w:rsid w:val="31EF3058"/>
    <w:rsid w:val="31FD2F4D"/>
    <w:rsid w:val="32007F01"/>
    <w:rsid w:val="3207249C"/>
    <w:rsid w:val="320B405E"/>
    <w:rsid w:val="320C1B38"/>
    <w:rsid w:val="320C75F6"/>
    <w:rsid w:val="32116E77"/>
    <w:rsid w:val="322F554F"/>
    <w:rsid w:val="32340DB8"/>
    <w:rsid w:val="323D5EBE"/>
    <w:rsid w:val="32400B34"/>
    <w:rsid w:val="324218CF"/>
    <w:rsid w:val="324E3C27"/>
    <w:rsid w:val="324E4D0D"/>
    <w:rsid w:val="32566D40"/>
    <w:rsid w:val="325E2B61"/>
    <w:rsid w:val="325F0B04"/>
    <w:rsid w:val="325F34F8"/>
    <w:rsid w:val="32755658"/>
    <w:rsid w:val="32755BEE"/>
    <w:rsid w:val="327D450D"/>
    <w:rsid w:val="329058D9"/>
    <w:rsid w:val="32935D9A"/>
    <w:rsid w:val="32963820"/>
    <w:rsid w:val="329B17A1"/>
    <w:rsid w:val="329E6876"/>
    <w:rsid w:val="329F4483"/>
    <w:rsid w:val="32B024C8"/>
    <w:rsid w:val="32C43EEA"/>
    <w:rsid w:val="32C50401"/>
    <w:rsid w:val="32C71C2C"/>
    <w:rsid w:val="32CC5978"/>
    <w:rsid w:val="32CE4D68"/>
    <w:rsid w:val="32CF3E54"/>
    <w:rsid w:val="32E17AB9"/>
    <w:rsid w:val="32EB3B6C"/>
    <w:rsid w:val="32ED047E"/>
    <w:rsid w:val="32F01B04"/>
    <w:rsid w:val="32FC18D5"/>
    <w:rsid w:val="33092244"/>
    <w:rsid w:val="330B12A9"/>
    <w:rsid w:val="33114C55"/>
    <w:rsid w:val="33146988"/>
    <w:rsid w:val="332334E6"/>
    <w:rsid w:val="332D28B1"/>
    <w:rsid w:val="33344A4C"/>
    <w:rsid w:val="333E3352"/>
    <w:rsid w:val="33487583"/>
    <w:rsid w:val="334D3EDF"/>
    <w:rsid w:val="334E2E13"/>
    <w:rsid w:val="335E4D22"/>
    <w:rsid w:val="33686B56"/>
    <w:rsid w:val="336D1955"/>
    <w:rsid w:val="33732DFA"/>
    <w:rsid w:val="338F1C35"/>
    <w:rsid w:val="3398320B"/>
    <w:rsid w:val="33995376"/>
    <w:rsid w:val="339A2E9C"/>
    <w:rsid w:val="339B5C84"/>
    <w:rsid w:val="33A2180B"/>
    <w:rsid w:val="33B01A32"/>
    <w:rsid w:val="33B73C87"/>
    <w:rsid w:val="33BA709B"/>
    <w:rsid w:val="33BF53E8"/>
    <w:rsid w:val="33C64DC7"/>
    <w:rsid w:val="33CA19D4"/>
    <w:rsid w:val="33D04B10"/>
    <w:rsid w:val="33D266B8"/>
    <w:rsid w:val="33D934D4"/>
    <w:rsid w:val="33DA14EB"/>
    <w:rsid w:val="33DE4D11"/>
    <w:rsid w:val="33E12879"/>
    <w:rsid w:val="33E44AF3"/>
    <w:rsid w:val="33EE3206"/>
    <w:rsid w:val="33EF77AC"/>
    <w:rsid w:val="33F14847"/>
    <w:rsid w:val="33F61444"/>
    <w:rsid w:val="33FE2F6A"/>
    <w:rsid w:val="34057DED"/>
    <w:rsid w:val="34110549"/>
    <w:rsid w:val="34120C85"/>
    <w:rsid w:val="341E02D6"/>
    <w:rsid w:val="3423629B"/>
    <w:rsid w:val="34254E5C"/>
    <w:rsid w:val="34272982"/>
    <w:rsid w:val="34275031"/>
    <w:rsid w:val="34282322"/>
    <w:rsid w:val="34284CF3"/>
    <w:rsid w:val="34484943"/>
    <w:rsid w:val="34496D9C"/>
    <w:rsid w:val="344A3FCD"/>
    <w:rsid w:val="344D011E"/>
    <w:rsid w:val="34515C51"/>
    <w:rsid w:val="34530956"/>
    <w:rsid w:val="34531429"/>
    <w:rsid w:val="34741B5D"/>
    <w:rsid w:val="34745E56"/>
    <w:rsid w:val="34781922"/>
    <w:rsid w:val="347B1694"/>
    <w:rsid w:val="347B4C58"/>
    <w:rsid w:val="347F27BE"/>
    <w:rsid w:val="34825E0A"/>
    <w:rsid w:val="34871673"/>
    <w:rsid w:val="348C187C"/>
    <w:rsid w:val="348D0C7A"/>
    <w:rsid w:val="34923D44"/>
    <w:rsid w:val="34A43FD3"/>
    <w:rsid w:val="34AD30F2"/>
    <w:rsid w:val="34B87A7E"/>
    <w:rsid w:val="34BC24AA"/>
    <w:rsid w:val="34C1522F"/>
    <w:rsid w:val="34CF52BF"/>
    <w:rsid w:val="34D10B40"/>
    <w:rsid w:val="34D523DE"/>
    <w:rsid w:val="34DA79F4"/>
    <w:rsid w:val="34DC2B7B"/>
    <w:rsid w:val="34E142FD"/>
    <w:rsid w:val="34E404B6"/>
    <w:rsid w:val="34E64EA6"/>
    <w:rsid w:val="34E925CF"/>
    <w:rsid w:val="34E94A55"/>
    <w:rsid w:val="34EB1D9A"/>
    <w:rsid w:val="34EB5A9A"/>
    <w:rsid w:val="34F234D5"/>
    <w:rsid w:val="34F257DF"/>
    <w:rsid w:val="34F52A80"/>
    <w:rsid w:val="34F82570"/>
    <w:rsid w:val="34FC555B"/>
    <w:rsid w:val="35066A3B"/>
    <w:rsid w:val="350B22A4"/>
    <w:rsid w:val="35145DCF"/>
    <w:rsid w:val="351A4B0B"/>
    <w:rsid w:val="35223EF8"/>
    <w:rsid w:val="354322E5"/>
    <w:rsid w:val="354F3D36"/>
    <w:rsid w:val="35505F08"/>
    <w:rsid w:val="356067C2"/>
    <w:rsid w:val="35654284"/>
    <w:rsid w:val="35686515"/>
    <w:rsid w:val="356A0C85"/>
    <w:rsid w:val="356E3E48"/>
    <w:rsid w:val="357C2838"/>
    <w:rsid w:val="357C6CFE"/>
    <w:rsid w:val="357D5B8E"/>
    <w:rsid w:val="357E421A"/>
    <w:rsid w:val="357F21C9"/>
    <w:rsid w:val="35812872"/>
    <w:rsid w:val="3582012A"/>
    <w:rsid w:val="358838F4"/>
    <w:rsid w:val="35885132"/>
    <w:rsid w:val="35887450"/>
    <w:rsid w:val="35931348"/>
    <w:rsid w:val="359C6EA5"/>
    <w:rsid w:val="35AF0E81"/>
    <w:rsid w:val="35C05547"/>
    <w:rsid w:val="35CD2F85"/>
    <w:rsid w:val="35D0203E"/>
    <w:rsid w:val="35D16601"/>
    <w:rsid w:val="35DD7600"/>
    <w:rsid w:val="35E054DE"/>
    <w:rsid w:val="35E37AEA"/>
    <w:rsid w:val="35EB0009"/>
    <w:rsid w:val="35F8765F"/>
    <w:rsid w:val="35FB40C6"/>
    <w:rsid w:val="36074A7F"/>
    <w:rsid w:val="360762D6"/>
    <w:rsid w:val="360C6D28"/>
    <w:rsid w:val="361372D3"/>
    <w:rsid w:val="361474B4"/>
    <w:rsid w:val="36180A2E"/>
    <w:rsid w:val="361854C5"/>
    <w:rsid w:val="362353CB"/>
    <w:rsid w:val="362C2853"/>
    <w:rsid w:val="362C7925"/>
    <w:rsid w:val="36315D3A"/>
    <w:rsid w:val="36392E40"/>
    <w:rsid w:val="363A3432"/>
    <w:rsid w:val="363B0967"/>
    <w:rsid w:val="363C282C"/>
    <w:rsid w:val="363D630C"/>
    <w:rsid w:val="363F438E"/>
    <w:rsid w:val="365224E4"/>
    <w:rsid w:val="36525B04"/>
    <w:rsid w:val="36545584"/>
    <w:rsid w:val="36562702"/>
    <w:rsid w:val="365F63CB"/>
    <w:rsid w:val="36666C27"/>
    <w:rsid w:val="3667732D"/>
    <w:rsid w:val="366F0610"/>
    <w:rsid w:val="36765E0C"/>
    <w:rsid w:val="3679148F"/>
    <w:rsid w:val="367B0226"/>
    <w:rsid w:val="3680038A"/>
    <w:rsid w:val="368F1E20"/>
    <w:rsid w:val="36923549"/>
    <w:rsid w:val="36931E54"/>
    <w:rsid w:val="369361F1"/>
    <w:rsid w:val="3699780A"/>
    <w:rsid w:val="369C23EC"/>
    <w:rsid w:val="36A656A7"/>
    <w:rsid w:val="36A75037"/>
    <w:rsid w:val="36B64491"/>
    <w:rsid w:val="36B75FBF"/>
    <w:rsid w:val="36B978C7"/>
    <w:rsid w:val="36BF000E"/>
    <w:rsid w:val="36C253CD"/>
    <w:rsid w:val="36C61E45"/>
    <w:rsid w:val="36C74193"/>
    <w:rsid w:val="36C84FE5"/>
    <w:rsid w:val="36D56CD4"/>
    <w:rsid w:val="36E0150E"/>
    <w:rsid w:val="36EA5EE9"/>
    <w:rsid w:val="36F26843"/>
    <w:rsid w:val="36F32FEF"/>
    <w:rsid w:val="36FB4891"/>
    <w:rsid w:val="370471FE"/>
    <w:rsid w:val="370517B0"/>
    <w:rsid w:val="370917F6"/>
    <w:rsid w:val="37105BFE"/>
    <w:rsid w:val="37133692"/>
    <w:rsid w:val="37180CA8"/>
    <w:rsid w:val="37270EEB"/>
    <w:rsid w:val="372D7925"/>
    <w:rsid w:val="3734356C"/>
    <w:rsid w:val="37346099"/>
    <w:rsid w:val="37393807"/>
    <w:rsid w:val="373C39F1"/>
    <w:rsid w:val="373C6E7B"/>
    <w:rsid w:val="374049B2"/>
    <w:rsid w:val="37461371"/>
    <w:rsid w:val="37533A8E"/>
    <w:rsid w:val="375A6BCB"/>
    <w:rsid w:val="375A76D5"/>
    <w:rsid w:val="375B545C"/>
    <w:rsid w:val="376143FD"/>
    <w:rsid w:val="376208DE"/>
    <w:rsid w:val="37697CA3"/>
    <w:rsid w:val="376B74E7"/>
    <w:rsid w:val="377834F5"/>
    <w:rsid w:val="37790A61"/>
    <w:rsid w:val="377E0688"/>
    <w:rsid w:val="378162A1"/>
    <w:rsid w:val="378A37E9"/>
    <w:rsid w:val="378D1068"/>
    <w:rsid w:val="37930281"/>
    <w:rsid w:val="37955C5B"/>
    <w:rsid w:val="37967A02"/>
    <w:rsid w:val="379755B0"/>
    <w:rsid w:val="37B12147"/>
    <w:rsid w:val="37BE45F8"/>
    <w:rsid w:val="37CA6B96"/>
    <w:rsid w:val="37CB7AC8"/>
    <w:rsid w:val="37D20543"/>
    <w:rsid w:val="37D23A80"/>
    <w:rsid w:val="37D81A73"/>
    <w:rsid w:val="37E37C8F"/>
    <w:rsid w:val="37E7056F"/>
    <w:rsid w:val="37E96FC6"/>
    <w:rsid w:val="37EE37B7"/>
    <w:rsid w:val="37F21986"/>
    <w:rsid w:val="37FF41B2"/>
    <w:rsid w:val="38080D1C"/>
    <w:rsid w:val="38094523"/>
    <w:rsid w:val="380A3076"/>
    <w:rsid w:val="380A4A95"/>
    <w:rsid w:val="3810197F"/>
    <w:rsid w:val="38197E8A"/>
    <w:rsid w:val="38231154"/>
    <w:rsid w:val="3824688C"/>
    <w:rsid w:val="382947EF"/>
    <w:rsid w:val="382A3DFF"/>
    <w:rsid w:val="383001B1"/>
    <w:rsid w:val="38341B11"/>
    <w:rsid w:val="383A48E8"/>
    <w:rsid w:val="383C550F"/>
    <w:rsid w:val="38410B43"/>
    <w:rsid w:val="38491787"/>
    <w:rsid w:val="384A6C3F"/>
    <w:rsid w:val="384C75ED"/>
    <w:rsid w:val="385350BE"/>
    <w:rsid w:val="385555E4"/>
    <w:rsid w:val="3857135C"/>
    <w:rsid w:val="385A750D"/>
    <w:rsid w:val="385C03D5"/>
    <w:rsid w:val="386341A5"/>
    <w:rsid w:val="3878035D"/>
    <w:rsid w:val="387D3F90"/>
    <w:rsid w:val="38A013E9"/>
    <w:rsid w:val="38A10B77"/>
    <w:rsid w:val="38A942B5"/>
    <w:rsid w:val="38B35723"/>
    <w:rsid w:val="38B4338F"/>
    <w:rsid w:val="38B8629F"/>
    <w:rsid w:val="38B86CDF"/>
    <w:rsid w:val="38BA1632"/>
    <w:rsid w:val="38BE762D"/>
    <w:rsid w:val="38C42E95"/>
    <w:rsid w:val="38C43790"/>
    <w:rsid w:val="38C95B69"/>
    <w:rsid w:val="38D04716"/>
    <w:rsid w:val="38D23EBB"/>
    <w:rsid w:val="38D62BC9"/>
    <w:rsid w:val="38DB2481"/>
    <w:rsid w:val="38E10F3F"/>
    <w:rsid w:val="38E50433"/>
    <w:rsid w:val="38E541F0"/>
    <w:rsid w:val="38EE5026"/>
    <w:rsid w:val="38F10F58"/>
    <w:rsid w:val="38F12CD3"/>
    <w:rsid w:val="38F372D7"/>
    <w:rsid w:val="38F92413"/>
    <w:rsid w:val="38F94775"/>
    <w:rsid w:val="38FE4957"/>
    <w:rsid w:val="38FE552E"/>
    <w:rsid w:val="39004556"/>
    <w:rsid w:val="390C2146"/>
    <w:rsid w:val="3922196A"/>
    <w:rsid w:val="39272C05"/>
    <w:rsid w:val="392971ED"/>
    <w:rsid w:val="392A565E"/>
    <w:rsid w:val="392E4489"/>
    <w:rsid w:val="392E47B3"/>
    <w:rsid w:val="39327053"/>
    <w:rsid w:val="39351613"/>
    <w:rsid w:val="39386A66"/>
    <w:rsid w:val="39394B01"/>
    <w:rsid w:val="39434806"/>
    <w:rsid w:val="394D193A"/>
    <w:rsid w:val="39560FDC"/>
    <w:rsid w:val="39572C2C"/>
    <w:rsid w:val="396106E4"/>
    <w:rsid w:val="3961206D"/>
    <w:rsid w:val="3967338B"/>
    <w:rsid w:val="39674114"/>
    <w:rsid w:val="396C11D4"/>
    <w:rsid w:val="396E1053"/>
    <w:rsid w:val="3971428B"/>
    <w:rsid w:val="397871A5"/>
    <w:rsid w:val="3982065B"/>
    <w:rsid w:val="39897C3B"/>
    <w:rsid w:val="39934616"/>
    <w:rsid w:val="39AA0D5E"/>
    <w:rsid w:val="39AB5E03"/>
    <w:rsid w:val="39AE0DBB"/>
    <w:rsid w:val="39B20915"/>
    <w:rsid w:val="39BC1403"/>
    <w:rsid w:val="39C05E1D"/>
    <w:rsid w:val="39CA6CBE"/>
    <w:rsid w:val="39CD00BA"/>
    <w:rsid w:val="39D21BEF"/>
    <w:rsid w:val="39D96CFE"/>
    <w:rsid w:val="39DF45BF"/>
    <w:rsid w:val="39DF785B"/>
    <w:rsid w:val="39E71AB7"/>
    <w:rsid w:val="39EF3F42"/>
    <w:rsid w:val="39F53315"/>
    <w:rsid w:val="39F57C22"/>
    <w:rsid w:val="3A064DE8"/>
    <w:rsid w:val="3A101A0D"/>
    <w:rsid w:val="3A15327D"/>
    <w:rsid w:val="3A1541E9"/>
    <w:rsid w:val="3A1D70AA"/>
    <w:rsid w:val="3A1D7864"/>
    <w:rsid w:val="3A26548A"/>
    <w:rsid w:val="3A2807CC"/>
    <w:rsid w:val="3A3C579F"/>
    <w:rsid w:val="3A5D4B61"/>
    <w:rsid w:val="3A5E2E76"/>
    <w:rsid w:val="3A5E3266"/>
    <w:rsid w:val="3A5F6988"/>
    <w:rsid w:val="3A60099C"/>
    <w:rsid w:val="3A606BEE"/>
    <w:rsid w:val="3A644864"/>
    <w:rsid w:val="3A6E45C0"/>
    <w:rsid w:val="3A712BA9"/>
    <w:rsid w:val="3A74285C"/>
    <w:rsid w:val="3A8075D0"/>
    <w:rsid w:val="3A8874F8"/>
    <w:rsid w:val="3A972DE3"/>
    <w:rsid w:val="3AA12FF8"/>
    <w:rsid w:val="3AA80994"/>
    <w:rsid w:val="3AA85830"/>
    <w:rsid w:val="3AAB1A26"/>
    <w:rsid w:val="3AB2248F"/>
    <w:rsid w:val="3AB26D1E"/>
    <w:rsid w:val="3AB331C1"/>
    <w:rsid w:val="3AB720A6"/>
    <w:rsid w:val="3AB821D9"/>
    <w:rsid w:val="3AC32A72"/>
    <w:rsid w:val="3AD4119F"/>
    <w:rsid w:val="3AD70C8E"/>
    <w:rsid w:val="3AD71B0E"/>
    <w:rsid w:val="3AD829AF"/>
    <w:rsid w:val="3ADB3D07"/>
    <w:rsid w:val="3ADC1876"/>
    <w:rsid w:val="3ADE1572"/>
    <w:rsid w:val="3ADF4C28"/>
    <w:rsid w:val="3AE73339"/>
    <w:rsid w:val="3AF13CEA"/>
    <w:rsid w:val="3AF31810"/>
    <w:rsid w:val="3AFA3173"/>
    <w:rsid w:val="3AFB06C4"/>
    <w:rsid w:val="3AFC54EA"/>
    <w:rsid w:val="3AFD18A9"/>
    <w:rsid w:val="3B075461"/>
    <w:rsid w:val="3B117372"/>
    <w:rsid w:val="3B1F7E17"/>
    <w:rsid w:val="3B226F92"/>
    <w:rsid w:val="3B247C1B"/>
    <w:rsid w:val="3B3763D1"/>
    <w:rsid w:val="3B47302E"/>
    <w:rsid w:val="3B4772CF"/>
    <w:rsid w:val="3B4B4A5B"/>
    <w:rsid w:val="3B4D675B"/>
    <w:rsid w:val="3B545D1E"/>
    <w:rsid w:val="3B5C57AC"/>
    <w:rsid w:val="3B5F5BE1"/>
    <w:rsid w:val="3B607EB8"/>
    <w:rsid w:val="3B64626A"/>
    <w:rsid w:val="3B6A47A8"/>
    <w:rsid w:val="3B6C3ADB"/>
    <w:rsid w:val="3B6C3B92"/>
    <w:rsid w:val="3B716BD9"/>
    <w:rsid w:val="3B7346FF"/>
    <w:rsid w:val="3B7A60DF"/>
    <w:rsid w:val="3B7B3489"/>
    <w:rsid w:val="3B7F2DB3"/>
    <w:rsid w:val="3B8051E5"/>
    <w:rsid w:val="3B89264E"/>
    <w:rsid w:val="3B90705F"/>
    <w:rsid w:val="3B9823B7"/>
    <w:rsid w:val="3B985F13"/>
    <w:rsid w:val="3BB0325D"/>
    <w:rsid w:val="3BB07701"/>
    <w:rsid w:val="3BB20A45"/>
    <w:rsid w:val="3BB30F9F"/>
    <w:rsid w:val="3BB80364"/>
    <w:rsid w:val="3BCA4B8B"/>
    <w:rsid w:val="3BED644A"/>
    <w:rsid w:val="3BF703DC"/>
    <w:rsid w:val="3C033CD5"/>
    <w:rsid w:val="3C096E11"/>
    <w:rsid w:val="3C0D0432"/>
    <w:rsid w:val="3C1557B6"/>
    <w:rsid w:val="3C180CC3"/>
    <w:rsid w:val="3C39784B"/>
    <w:rsid w:val="3C3C0F95"/>
    <w:rsid w:val="3C406CD7"/>
    <w:rsid w:val="3C447AE8"/>
    <w:rsid w:val="3C447E49"/>
    <w:rsid w:val="3C495460"/>
    <w:rsid w:val="3C4B24C9"/>
    <w:rsid w:val="3C4D13F4"/>
    <w:rsid w:val="3C531433"/>
    <w:rsid w:val="3C613F1B"/>
    <w:rsid w:val="3C6401DC"/>
    <w:rsid w:val="3C695774"/>
    <w:rsid w:val="3C6A09FF"/>
    <w:rsid w:val="3C741324"/>
    <w:rsid w:val="3C7C1A89"/>
    <w:rsid w:val="3C827E8D"/>
    <w:rsid w:val="3C884BA3"/>
    <w:rsid w:val="3C94750C"/>
    <w:rsid w:val="3C9C1A33"/>
    <w:rsid w:val="3C9F466B"/>
    <w:rsid w:val="3CA628B2"/>
    <w:rsid w:val="3CB44595"/>
    <w:rsid w:val="3CBB635D"/>
    <w:rsid w:val="3CC4460E"/>
    <w:rsid w:val="3CC570B5"/>
    <w:rsid w:val="3CCD090B"/>
    <w:rsid w:val="3CDA12CE"/>
    <w:rsid w:val="3CDA245A"/>
    <w:rsid w:val="3CDB69FF"/>
    <w:rsid w:val="3CDC4526"/>
    <w:rsid w:val="3CDE1338"/>
    <w:rsid w:val="3CDE7CF6"/>
    <w:rsid w:val="3CE07C0C"/>
    <w:rsid w:val="3CEE0A37"/>
    <w:rsid w:val="3CEE5F6C"/>
    <w:rsid w:val="3CEE72A2"/>
    <w:rsid w:val="3CF719D1"/>
    <w:rsid w:val="3CFE0596"/>
    <w:rsid w:val="3D0715A3"/>
    <w:rsid w:val="3D085BC3"/>
    <w:rsid w:val="3D0B2880"/>
    <w:rsid w:val="3D0E5045"/>
    <w:rsid w:val="3D163594"/>
    <w:rsid w:val="3D1D5323"/>
    <w:rsid w:val="3D1D6C09"/>
    <w:rsid w:val="3D385C00"/>
    <w:rsid w:val="3D474095"/>
    <w:rsid w:val="3D4E5423"/>
    <w:rsid w:val="3D5031BA"/>
    <w:rsid w:val="3D510A70"/>
    <w:rsid w:val="3D5D22F4"/>
    <w:rsid w:val="3D5D5441"/>
    <w:rsid w:val="3D6540D8"/>
    <w:rsid w:val="3D6662D9"/>
    <w:rsid w:val="3D6F2904"/>
    <w:rsid w:val="3D753B83"/>
    <w:rsid w:val="3D7B3D3F"/>
    <w:rsid w:val="3D880E6F"/>
    <w:rsid w:val="3D891FB8"/>
    <w:rsid w:val="3D930F13"/>
    <w:rsid w:val="3D9C293E"/>
    <w:rsid w:val="3D9D1752"/>
    <w:rsid w:val="3DA02020"/>
    <w:rsid w:val="3DA259A5"/>
    <w:rsid w:val="3DA30C11"/>
    <w:rsid w:val="3DAC0833"/>
    <w:rsid w:val="3DAE466A"/>
    <w:rsid w:val="3DC05809"/>
    <w:rsid w:val="3DCF3B9E"/>
    <w:rsid w:val="3DD678F8"/>
    <w:rsid w:val="3DD84CED"/>
    <w:rsid w:val="3DDA609A"/>
    <w:rsid w:val="3DDD6685"/>
    <w:rsid w:val="3DDF42CD"/>
    <w:rsid w:val="3DF5764D"/>
    <w:rsid w:val="3E01428F"/>
    <w:rsid w:val="3E100E3B"/>
    <w:rsid w:val="3E2241BA"/>
    <w:rsid w:val="3E241CE0"/>
    <w:rsid w:val="3E2717D1"/>
    <w:rsid w:val="3E350391"/>
    <w:rsid w:val="3E42660A"/>
    <w:rsid w:val="3E491A3A"/>
    <w:rsid w:val="3E502AD5"/>
    <w:rsid w:val="3E554590"/>
    <w:rsid w:val="3E5B05C6"/>
    <w:rsid w:val="3E602FB4"/>
    <w:rsid w:val="3E6851C4"/>
    <w:rsid w:val="3E792E48"/>
    <w:rsid w:val="3E833AFA"/>
    <w:rsid w:val="3E921340"/>
    <w:rsid w:val="3E976E68"/>
    <w:rsid w:val="3EA370A9"/>
    <w:rsid w:val="3EA51E82"/>
    <w:rsid w:val="3EB76FF8"/>
    <w:rsid w:val="3EBA4AEC"/>
    <w:rsid w:val="3EC534C3"/>
    <w:rsid w:val="3ECC2AA4"/>
    <w:rsid w:val="3ECD4CC6"/>
    <w:rsid w:val="3ECF604C"/>
    <w:rsid w:val="3ED16309"/>
    <w:rsid w:val="3ED2798E"/>
    <w:rsid w:val="3ED64D39"/>
    <w:rsid w:val="3ED731F7"/>
    <w:rsid w:val="3EDA17EA"/>
    <w:rsid w:val="3EDA494F"/>
    <w:rsid w:val="3EDB4A95"/>
    <w:rsid w:val="3EF1250A"/>
    <w:rsid w:val="3F010FFE"/>
    <w:rsid w:val="3F043EA7"/>
    <w:rsid w:val="3F0D09C6"/>
    <w:rsid w:val="3F1E0E25"/>
    <w:rsid w:val="3F213E4A"/>
    <w:rsid w:val="3F373C95"/>
    <w:rsid w:val="3F397A0D"/>
    <w:rsid w:val="3F41039F"/>
    <w:rsid w:val="3F441289"/>
    <w:rsid w:val="3F542A99"/>
    <w:rsid w:val="3F57241D"/>
    <w:rsid w:val="3F584337"/>
    <w:rsid w:val="3F6251B6"/>
    <w:rsid w:val="3F660E74"/>
    <w:rsid w:val="3F793A7B"/>
    <w:rsid w:val="3F7A3E84"/>
    <w:rsid w:val="3F7C78A9"/>
    <w:rsid w:val="3F860BC8"/>
    <w:rsid w:val="3F924EE3"/>
    <w:rsid w:val="3F947371"/>
    <w:rsid w:val="3F9B06C8"/>
    <w:rsid w:val="3FA255B3"/>
    <w:rsid w:val="3FA41C33"/>
    <w:rsid w:val="3FA6262D"/>
    <w:rsid w:val="3FB53538"/>
    <w:rsid w:val="3FC42B3F"/>
    <w:rsid w:val="3FCD4EF1"/>
    <w:rsid w:val="3FCF2120"/>
    <w:rsid w:val="3FD05C55"/>
    <w:rsid w:val="3FD15E98"/>
    <w:rsid w:val="3FD271CA"/>
    <w:rsid w:val="3FD414E4"/>
    <w:rsid w:val="3FDA1DC1"/>
    <w:rsid w:val="3FE23867"/>
    <w:rsid w:val="3FE51083"/>
    <w:rsid w:val="3FEE25A6"/>
    <w:rsid w:val="3FF22C1F"/>
    <w:rsid w:val="3FF322B2"/>
    <w:rsid w:val="3FFA53EF"/>
    <w:rsid w:val="3FFB177B"/>
    <w:rsid w:val="40041DC9"/>
    <w:rsid w:val="40091C75"/>
    <w:rsid w:val="402664CF"/>
    <w:rsid w:val="402830F3"/>
    <w:rsid w:val="4033445D"/>
    <w:rsid w:val="403D77FE"/>
    <w:rsid w:val="40442B0E"/>
    <w:rsid w:val="404D5D77"/>
    <w:rsid w:val="405416A5"/>
    <w:rsid w:val="405E2E2B"/>
    <w:rsid w:val="40602DF3"/>
    <w:rsid w:val="40635C59"/>
    <w:rsid w:val="4068695F"/>
    <w:rsid w:val="4070153C"/>
    <w:rsid w:val="40711082"/>
    <w:rsid w:val="40752F6B"/>
    <w:rsid w:val="40784565"/>
    <w:rsid w:val="407A6407"/>
    <w:rsid w:val="40827192"/>
    <w:rsid w:val="40833636"/>
    <w:rsid w:val="408A6102"/>
    <w:rsid w:val="408E5B37"/>
    <w:rsid w:val="409138EE"/>
    <w:rsid w:val="4091679E"/>
    <w:rsid w:val="40963817"/>
    <w:rsid w:val="40980528"/>
    <w:rsid w:val="40994F47"/>
    <w:rsid w:val="409E221E"/>
    <w:rsid w:val="40A67324"/>
    <w:rsid w:val="40A95282"/>
    <w:rsid w:val="40B02089"/>
    <w:rsid w:val="40B82BB4"/>
    <w:rsid w:val="40BB611D"/>
    <w:rsid w:val="40C0232B"/>
    <w:rsid w:val="40D23769"/>
    <w:rsid w:val="40D7227D"/>
    <w:rsid w:val="40DA0D7C"/>
    <w:rsid w:val="40DA5595"/>
    <w:rsid w:val="40DB5C12"/>
    <w:rsid w:val="40E05096"/>
    <w:rsid w:val="40EC78CE"/>
    <w:rsid w:val="40EE65D6"/>
    <w:rsid w:val="40F1109D"/>
    <w:rsid w:val="40F63139"/>
    <w:rsid w:val="40FF5B9A"/>
    <w:rsid w:val="41087697"/>
    <w:rsid w:val="410D73A4"/>
    <w:rsid w:val="410D7451"/>
    <w:rsid w:val="411A5CC8"/>
    <w:rsid w:val="412169AB"/>
    <w:rsid w:val="41257C00"/>
    <w:rsid w:val="412D6568"/>
    <w:rsid w:val="412E0245"/>
    <w:rsid w:val="4131634A"/>
    <w:rsid w:val="413510EE"/>
    <w:rsid w:val="41606952"/>
    <w:rsid w:val="417B1727"/>
    <w:rsid w:val="417B5BB9"/>
    <w:rsid w:val="418735B4"/>
    <w:rsid w:val="41886A2A"/>
    <w:rsid w:val="418A27A2"/>
    <w:rsid w:val="419E07AB"/>
    <w:rsid w:val="41A11F99"/>
    <w:rsid w:val="41A1514E"/>
    <w:rsid w:val="41A75102"/>
    <w:rsid w:val="41A82C28"/>
    <w:rsid w:val="41B810BD"/>
    <w:rsid w:val="41C04416"/>
    <w:rsid w:val="41C31AAB"/>
    <w:rsid w:val="41C757A4"/>
    <w:rsid w:val="41E214A3"/>
    <w:rsid w:val="41E44DF6"/>
    <w:rsid w:val="41E45253"/>
    <w:rsid w:val="41EE076D"/>
    <w:rsid w:val="41EE7D86"/>
    <w:rsid w:val="41EF3DC3"/>
    <w:rsid w:val="41F8582A"/>
    <w:rsid w:val="41FD4D22"/>
    <w:rsid w:val="42024A2E"/>
    <w:rsid w:val="42042555"/>
    <w:rsid w:val="42074BFB"/>
    <w:rsid w:val="420A4D74"/>
    <w:rsid w:val="420F2DC6"/>
    <w:rsid w:val="421E5E12"/>
    <w:rsid w:val="4226071D"/>
    <w:rsid w:val="422B0E54"/>
    <w:rsid w:val="422C1AAB"/>
    <w:rsid w:val="423723EE"/>
    <w:rsid w:val="423735C7"/>
    <w:rsid w:val="423A3BCC"/>
    <w:rsid w:val="42436AA5"/>
    <w:rsid w:val="424554FA"/>
    <w:rsid w:val="4255152C"/>
    <w:rsid w:val="42612948"/>
    <w:rsid w:val="42621EAF"/>
    <w:rsid w:val="42663FE5"/>
    <w:rsid w:val="4267663F"/>
    <w:rsid w:val="426A1107"/>
    <w:rsid w:val="426B38D0"/>
    <w:rsid w:val="428034F1"/>
    <w:rsid w:val="428216CB"/>
    <w:rsid w:val="428909F4"/>
    <w:rsid w:val="42894808"/>
    <w:rsid w:val="428C27CF"/>
    <w:rsid w:val="428C60A6"/>
    <w:rsid w:val="42976F25"/>
    <w:rsid w:val="42990D8A"/>
    <w:rsid w:val="429E4757"/>
    <w:rsid w:val="42A22729"/>
    <w:rsid w:val="42A437B5"/>
    <w:rsid w:val="42A47894"/>
    <w:rsid w:val="42B70FA9"/>
    <w:rsid w:val="42B775C7"/>
    <w:rsid w:val="42BC6182"/>
    <w:rsid w:val="42BC6303"/>
    <w:rsid w:val="42C44BC6"/>
    <w:rsid w:val="42C46253"/>
    <w:rsid w:val="42C7547B"/>
    <w:rsid w:val="42C95578"/>
    <w:rsid w:val="42CB4E20"/>
    <w:rsid w:val="42D63A66"/>
    <w:rsid w:val="42E21DC4"/>
    <w:rsid w:val="42E87780"/>
    <w:rsid w:val="42EB13BA"/>
    <w:rsid w:val="42F20A5F"/>
    <w:rsid w:val="42F65EE2"/>
    <w:rsid w:val="430006CF"/>
    <w:rsid w:val="4308253A"/>
    <w:rsid w:val="430A6874"/>
    <w:rsid w:val="43171E14"/>
    <w:rsid w:val="431A7B56"/>
    <w:rsid w:val="432307B8"/>
    <w:rsid w:val="43244531"/>
    <w:rsid w:val="43270D2D"/>
    <w:rsid w:val="432B303D"/>
    <w:rsid w:val="432E43C4"/>
    <w:rsid w:val="433114C5"/>
    <w:rsid w:val="433A6FE6"/>
    <w:rsid w:val="434846C3"/>
    <w:rsid w:val="43495316"/>
    <w:rsid w:val="434B7D0F"/>
    <w:rsid w:val="434C41B3"/>
    <w:rsid w:val="434E63AC"/>
    <w:rsid w:val="4350713C"/>
    <w:rsid w:val="435412BA"/>
    <w:rsid w:val="435D27BE"/>
    <w:rsid w:val="43657023"/>
    <w:rsid w:val="436653E0"/>
    <w:rsid w:val="436A4639"/>
    <w:rsid w:val="436C43D7"/>
    <w:rsid w:val="4371285F"/>
    <w:rsid w:val="43805C0B"/>
    <w:rsid w:val="43820044"/>
    <w:rsid w:val="4383047F"/>
    <w:rsid w:val="438657BD"/>
    <w:rsid w:val="43892764"/>
    <w:rsid w:val="439220E0"/>
    <w:rsid w:val="43997652"/>
    <w:rsid w:val="439F7AD1"/>
    <w:rsid w:val="43AD6AD8"/>
    <w:rsid w:val="43B42872"/>
    <w:rsid w:val="43B6787E"/>
    <w:rsid w:val="43C071AD"/>
    <w:rsid w:val="43CD4BC8"/>
    <w:rsid w:val="43DA41F4"/>
    <w:rsid w:val="43E27AA8"/>
    <w:rsid w:val="43F979A6"/>
    <w:rsid w:val="43FA4C21"/>
    <w:rsid w:val="43FB1735"/>
    <w:rsid w:val="43FF118F"/>
    <w:rsid w:val="43FF1225"/>
    <w:rsid w:val="44015260"/>
    <w:rsid w:val="44017717"/>
    <w:rsid w:val="44054BB3"/>
    <w:rsid w:val="441F5C04"/>
    <w:rsid w:val="44214CFE"/>
    <w:rsid w:val="44216CF4"/>
    <w:rsid w:val="4424090B"/>
    <w:rsid w:val="443125EB"/>
    <w:rsid w:val="443B79DE"/>
    <w:rsid w:val="443F1622"/>
    <w:rsid w:val="443F3F3E"/>
    <w:rsid w:val="44421112"/>
    <w:rsid w:val="44426B5E"/>
    <w:rsid w:val="444D599A"/>
    <w:rsid w:val="444F470C"/>
    <w:rsid w:val="445157E4"/>
    <w:rsid w:val="44590248"/>
    <w:rsid w:val="446A24B7"/>
    <w:rsid w:val="446A2FDC"/>
    <w:rsid w:val="446C6411"/>
    <w:rsid w:val="44711D77"/>
    <w:rsid w:val="447A3572"/>
    <w:rsid w:val="447C0FD5"/>
    <w:rsid w:val="44820CA1"/>
    <w:rsid w:val="44873D87"/>
    <w:rsid w:val="44A21BB1"/>
    <w:rsid w:val="44A24623"/>
    <w:rsid w:val="44A36E1E"/>
    <w:rsid w:val="44A805A7"/>
    <w:rsid w:val="44B32010"/>
    <w:rsid w:val="44B72AA1"/>
    <w:rsid w:val="44C31015"/>
    <w:rsid w:val="44CB4134"/>
    <w:rsid w:val="44CD14E0"/>
    <w:rsid w:val="44D12307"/>
    <w:rsid w:val="44D13B09"/>
    <w:rsid w:val="44DC5ED0"/>
    <w:rsid w:val="44E4170A"/>
    <w:rsid w:val="44E7161E"/>
    <w:rsid w:val="44EA6C63"/>
    <w:rsid w:val="44ED72D0"/>
    <w:rsid w:val="44F763A1"/>
    <w:rsid w:val="44FA19ED"/>
    <w:rsid w:val="44FB3F76"/>
    <w:rsid w:val="44FC401C"/>
    <w:rsid w:val="450764A6"/>
    <w:rsid w:val="450E51C7"/>
    <w:rsid w:val="4517110E"/>
    <w:rsid w:val="45260A34"/>
    <w:rsid w:val="45294080"/>
    <w:rsid w:val="45303661"/>
    <w:rsid w:val="453749EF"/>
    <w:rsid w:val="45380A56"/>
    <w:rsid w:val="454113CA"/>
    <w:rsid w:val="4541761C"/>
    <w:rsid w:val="454D7D6F"/>
    <w:rsid w:val="455064AD"/>
    <w:rsid w:val="4556110A"/>
    <w:rsid w:val="455B692F"/>
    <w:rsid w:val="45645F1B"/>
    <w:rsid w:val="4565155C"/>
    <w:rsid w:val="456853EA"/>
    <w:rsid w:val="456F0F45"/>
    <w:rsid w:val="456F5F37"/>
    <w:rsid w:val="45765965"/>
    <w:rsid w:val="457B0D80"/>
    <w:rsid w:val="458462CD"/>
    <w:rsid w:val="458946E9"/>
    <w:rsid w:val="458F65D9"/>
    <w:rsid w:val="45A831F7"/>
    <w:rsid w:val="45AA1F34"/>
    <w:rsid w:val="45AD4CB1"/>
    <w:rsid w:val="45B566F3"/>
    <w:rsid w:val="45C06792"/>
    <w:rsid w:val="45C2075D"/>
    <w:rsid w:val="45C42083"/>
    <w:rsid w:val="45D01479"/>
    <w:rsid w:val="45D87F80"/>
    <w:rsid w:val="45EC6D1D"/>
    <w:rsid w:val="45F02CC0"/>
    <w:rsid w:val="45F7102B"/>
    <w:rsid w:val="46001285"/>
    <w:rsid w:val="460212C7"/>
    <w:rsid w:val="460A2104"/>
    <w:rsid w:val="460A332B"/>
    <w:rsid w:val="460F259F"/>
    <w:rsid w:val="46155FDB"/>
    <w:rsid w:val="461A693D"/>
    <w:rsid w:val="461C7B59"/>
    <w:rsid w:val="46203170"/>
    <w:rsid w:val="46210E88"/>
    <w:rsid w:val="4622228E"/>
    <w:rsid w:val="462844E7"/>
    <w:rsid w:val="462E2C19"/>
    <w:rsid w:val="46307118"/>
    <w:rsid w:val="46316074"/>
    <w:rsid w:val="46345C9D"/>
    <w:rsid w:val="46363609"/>
    <w:rsid w:val="463E2E54"/>
    <w:rsid w:val="463F4EA4"/>
    <w:rsid w:val="464F6441"/>
    <w:rsid w:val="46534195"/>
    <w:rsid w:val="465C673F"/>
    <w:rsid w:val="46607F75"/>
    <w:rsid w:val="467B6B5D"/>
    <w:rsid w:val="46945D8C"/>
    <w:rsid w:val="469A6459"/>
    <w:rsid w:val="469C6F88"/>
    <w:rsid w:val="46A42D6B"/>
    <w:rsid w:val="46AE792E"/>
    <w:rsid w:val="46B662D7"/>
    <w:rsid w:val="46B94C58"/>
    <w:rsid w:val="46C2480B"/>
    <w:rsid w:val="46D5626E"/>
    <w:rsid w:val="46D955A7"/>
    <w:rsid w:val="46E71BA5"/>
    <w:rsid w:val="46EB5A91"/>
    <w:rsid w:val="46EC2FAB"/>
    <w:rsid w:val="46ED5C9E"/>
    <w:rsid w:val="46F26B2F"/>
    <w:rsid w:val="46F310CA"/>
    <w:rsid w:val="46F838A8"/>
    <w:rsid w:val="47033E8D"/>
    <w:rsid w:val="47040901"/>
    <w:rsid w:val="47094169"/>
    <w:rsid w:val="47095A01"/>
    <w:rsid w:val="470E16A9"/>
    <w:rsid w:val="471054F8"/>
    <w:rsid w:val="47110682"/>
    <w:rsid w:val="47133957"/>
    <w:rsid w:val="47136D96"/>
    <w:rsid w:val="47142A34"/>
    <w:rsid w:val="471F398D"/>
    <w:rsid w:val="47213261"/>
    <w:rsid w:val="473C009B"/>
    <w:rsid w:val="474130DB"/>
    <w:rsid w:val="47413616"/>
    <w:rsid w:val="474E3EA7"/>
    <w:rsid w:val="47525B10"/>
    <w:rsid w:val="47552708"/>
    <w:rsid w:val="475C6D79"/>
    <w:rsid w:val="475E5B9E"/>
    <w:rsid w:val="475F585A"/>
    <w:rsid w:val="476B7A4C"/>
    <w:rsid w:val="47705F96"/>
    <w:rsid w:val="4779329E"/>
    <w:rsid w:val="47811183"/>
    <w:rsid w:val="47812A03"/>
    <w:rsid w:val="478E2AD3"/>
    <w:rsid w:val="479A1DAC"/>
    <w:rsid w:val="479B01D3"/>
    <w:rsid w:val="479F2586"/>
    <w:rsid w:val="47A07E0C"/>
    <w:rsid w:val="47A3636C"/>
    <w:rsid w:val="47D53CA1"/>
    <w:rsid w:val="47DE2AF1"/>
    <w:rsid w:val="47E32C0C"/>
    <w:rsid w:val="47E53656"/>
    <w:rsid w:val="47EB7678"/>
    <w:rsid w:val="47F24D1E"/>
    <w:rsid w:val="47F43FBA"/>
    <w:rsid w:val="47FD5FEE"/>
    <w:rsid w:val="4800731A"/>
    <w:rsid w:val="480C2163"/>
    <w:rsid w:val="480E5012"/>
    <w:rsid w:val="48141018"/>
    <w:rsid w:val="48155B46"/>
    <w:rsid w:val="481F0CE0"/>
    <w:rsid w:val="48261483"/>
    <w:rsid w:val="48280EB1"/>
    <w:rsid w:val="482E032B"/>
    <w:rsid w:val="48306C95"/>
    <w:rsid w:val="48396CD0"/>
    <w:rsid w:val="4840683D"/>
    <w:rsid w:val="484E277B"/>
    <w:rsid w:val="484F16A2"/>
    <w:rsid w:val="48592ECE"/>
    <w:rsid w:val="485A2B7D"/>
    <w:rsid w:val="485B6A49"/>
    <w:rsid w:val="48671147"/>
    <w:rsid w:val="4870272E"/>
    <w:rsid w:val="48914416"/>
    <w:rsid w:val="48925568"/>
    <w:rsid w:val="489B13F6"/>
    <w:rsid w:val="489D7F04"/>
    <w:rsid w:val="48A34343"/>
    <w:rsid w:val="48AF513D"/>
    <w:rsid w:val="48B54FCB"/>
    <w:rsid w:val="48B628E0"/>
    <w:rsid w:val="48C52312"/>
    <w:rsid w:val="48C60564"/>
    <w:rsid w:val="48CA7F12"/>
    <w:rsid w:val="48D24CA9"/>
    <w:rsid w:val="48DE4808"/>
    <w:rsid w:val="48E56510"/>
    <w:rsid w:val="48E56C08"/>
    <w:rsid w:val="48E64762"/>
    <w:rsid w:val="48E924A4"/>
    <w:rsid w:val="48ED0733"/>
    <w:rsid w:val="48F555C9"/>
    <w:rsid w:val="48F9321E"/>
    <w:rsid w:val="48FB0B0C"/>
    <w:rsid w:val="48FD2076"/>
    <w:rsid w:val="48FF02EF"/>
    <w:rsid w:val="490270C2"/>
    <w:rsid w:val="491C0184"/>
    <w:rsid w:val="493D6C54"/>
    <w:rsid w:val="49496A9F"/>
    <w:rsid w:val="494B0A69"/>
    <w:rsid w:val="494F3DFD"/>
    <w:rsid w:val="49504A11"/>
    <w:rsid w:val="49553F79"/>
    <w:rsid w:val="49570D63"/>
    <w:rsid w:val="49606509"/>
    <w:rsid w:val="49634005"/>
    <w:rsid w:val="49641B2B"/>
    <w:rsid w:val="49730238"/>
    <w:rsid w:val="49821335"/>
    <w:rsid w:val="4984146E"/>
    <w:rsid w:val="4988693D"/>
    <w:rsid w:val="498918E7"/>
    <w:rsid w:val="4989333F"/>
    <w:rsid w:val="49946286"/>
    <w:rsid w:val="499A43A4"/>
    <w:rsid w:val="499D79A9"/>
    <w:rsid w:val="499F496E"/>
    <w:rsid w:val="49A56257"/>
    <w:rsid w:val="49A9444F"/>
    <w:rsid w:val="49AB775A"/>
    <w:rsid w:val="49B1706C"/>
    <w:rsid w:val="49BE6D39"/>
    <w:rsid w:val="49C21E15"/>
    <w:rsid w:val="49C44F0A"/>
    <w:rsid w:val="49D127EE"/>
    <w:rsid w:val="49D34575"/>
    <w:rsid w:val="49D75B80"/>
    <w:rsid w:val="49DA0AA1"/>
    <w:rsid w:val="49DA21D1"/>
    <w:rsid w:val="49DB4EDF"/>
    <w:rsid w:val="49DC7715"/>
    <w:rsid w:val="49E03D65"/>
    <w:rsid w:val="49E946FE"/>
    <w:rsid w:val="49EC77B0"/>
    <w:rsid w:val="49EE5327"/>
    <w:rsid w:val="49F27137"/>
    <w:rsid w:val="49FC7B8F"/>
    <w:rsid w:val="4A023139"/>
    <w:rsid w:val="4A050FE5"/>
    <w:rsid w:val="4A070E34"/>
    <w:rsid w:val="4A0E5681"/>
    <w:rsid w:val="4A163A25"/>
    <w:rsid w:val="4A230604"/>
    <w:rsid w:val="4A271B53"/>
    <w:rsid w:val="4A3316C9"/>
    <w:rsid w:val="4A33740B"/>
    <w:rsid w:val="4A445D77"/>
    <w:rsid w:val="4A4534F8"/>
    <w:rsid w:val="4A456944"/>
    <w:rsid w:val="4A4B594A"/>
    <w:rsid w:val="4A4D25BF"/>
    <w:rsid w:val="4A4E6A63"/>
    <w:rsid w:val="4A513E5D"/>
    <w:rsid w:val="4A5B05CA"/>
    <w:rsid w:val="4A5E1AE4"/>
    <w:rsid w:val="4A634D97"/>
    <w:rsid w:val="4A6F7566"/>
    <w:rsid w:val="4A7345C4"/>
    <w:rsid w:val="4A7B35D0"/>
    <w:rsid w:val="4A7B576F"/>
    <w:rsid w:val="4A7C1915"/>
    <w:rsid w:val="4A857FAB"/>
    <w:rsid w:val="4A8E0B76"/>
    <w:rsid w:val="4A963F66"/>
    <w:rsid w:val="4A982343"/>
    <w:rsid w:val="4A987CDE"/>
    <w:rsid w:val="4A993ACC"/>
    <w:rsid w:val="4A9A1CA8"/>
    <w:rsid w:val="4AA5271F"/>
    <w:rsid w:val="4AA85A47"/>
    <w:rsid w:val="4AAC3789"/>
    <w:rsid w:val="4AAE3EC8"/>
    <w:rsid w:val="4ABB577A"/>
    <w:rsid w:val="4ABF44B0"/>
    <w:rsid w:val="4AC72FF8"/>
    <w:rsid w:val="4ADA02F6"/>
    <w:rsid w:val="4ADF76BB"/>
    <w:rsid w:val="4AE37875"/>
    <w:rsid w:val="4AE44DAD"/>
    <w:rsid w:val="4AE61F91"/>
    <w:rsid w:val="4AEE78FE"/>
    <w:rsid w:val="4AEF3676"/>
    <w:rsid w:val="4AF12C94"/>
    <w:rsid w:val="4AF408CB"/>
    <w:rsid w:val="4B1057AB"/>
    <w:rsid w:val="4B1661E7"/>
    <w:rsid w:val="4B1A6945"/>
    <w:rsid w:val="4B2F0F2B"/>
    <w:rsid w:val="4B351418"/>
    <w:rsid w:val="4B49722A"/>
    <w:rsid w:val="4B4F574D"/>
    <w:rsid w:val="4B6127C6"/>
    <w:rsid w:val="4B641C57"/>
    <w:rsid w:val="4B72052F"/>
    <w:rsid w:val="4B7778F3"/>
    <w:rsid w:val="4B8464B4"/>
    <w:rsid w:val="4B913C1B"/>
    <w:rsid w:val="4B9761E7"/>
    <w:rsid w:val="4B9B5CFC"/>
    <w:rsid w:val="4B9F57EF"/>
    <w:rsid w:val="4BA13FA3"/>
    <w:rsid w:val="4BA6508F"/>
    <w:rsid w:val="4BAA55BF"/>
    <w:rsid w:val="4BAB77AF"/>
    <w:rsid w:val="4BAC2888"/>
    <w:rsid w:val="4BB24DCF"/>
    <w:rsid w:val="4BBA4AD2"/>
    <w:rsid w:val="4BBF7FA8"/>
    <w:rsid w:val="4BC226D3"/>
    <w:rsid w:val="4BC674DE"/>
    <w:rsid w:val="4BC77A9B"/>
    <w:rsid w:val="4BCB6B79"/>
    <w:rsid w:val="4BD277F7"/>
    <w:rsid w:val="4BD660E3"/>
    <w:rsid w:val="4BD702A6"/>
    <w:rsid w:val="4BDA2D1E"/>
    <w:rsid w:val="4BDB4C17"/>
    <w:rsid w:val="4BDC3BFA"/>
    <w:rsid w:val="4BDD24BB"/>
    <w:rsid w:val="4BDD5D96"/>
    <w:rsid w:val="4BDF700B"/>
    <w:rsid w:val="4BE058F0"/>
    <w:rsid w:val="4BE361E3"/>
    <w:rsid w:val="4BE6690B"/>
    <w:rsid w:val="4BED4059"/>
    <w:rsid w:val="4BF24EAD"/>
    <w:rsid w:val="4BF72416"/>
    <w:rsid w:val="4BFA22D2"/>
    <w:rsid w:val="4C044CA2"/>
    <w:rsid w:val="4C1415E6"/>
    <w:rsid w:val="4C1A285C"/>
    <w:rsid w:val="4C1C6371"/>
    <w:rsid w:val="4C201914"/>
    <w:rsid w:val="4C211DC5"/>
    <w:rsid w:val="4C217E6B"/>
    <w:rsid w:val="4C250707"/>
    <w:rsid w:val="4C3F4944"/>
    <w:rsid w:val="4C4023DB"/>
    <w:rsid w:val="4C432784"/>
    <w:rsid w:val="4C4A0649"/>
    <w:rsid w:val="4C4B035F"/>
    <w:rsid w:val="4C4C2EEE"/>
    <w:rsid w:val="4C571903"/>
    <w:rsid w:val="4C6A56AA"/>
    <w:rsid w:val="4C6C1422"/>
    <w:rsid w:val="4C6C73A0"/>
    <w:rsid w:val="4C7622A1"/>
    <w:rsid w:val="4C7E778F"/>
    <w:rsid w:val="4C8A7AFA"/>
    <w:rsid w:val="4CA86CE8"/>
    <w:rsid w:val="4CAC181F"/>
    <w:rsid w:val="4CAD6853"/>
    <w:rsid w:val="4CB701C3"/>
    <w:rsid w:val="4CBF59F6"/>
    <w:rsid w:val="4CC0176E"/>
    <w:rsid w:val="4CC209F2"/>
    <w:rsid w:val="4CC3642C"/>
    <w:rsid w:val="4CC56136"/>
    <w:rsid w:val="4CCD0FCE"/>
    <w:rsid w:val="4CCE3E8B"/>
    <w:rsid w:val="4CD3324F"/>
    <w:rsid w:val="4CD50C46"/>
    <w:rsid w:val="4CD54922"/>
    <w:rsid w:val="4CD64AED"/>
    <w:rsid w:val="4CDC0A9D"/>
    <w:rsid w:val="4CE35C36"/>
    <w:rsid w:val="4CE470D3"/>
    <w:rsid w:val="4CF17B79"/>
    <w:rsid w:val="4CFE62A2"/>
    <w:rsid w:val="4D000CE5"/>
    <w:rsid w:val="4D01600E"/>
    <w:rsid w:val="4D1869E5"/>
    <w:rsid w:val="4D2E0486"/>
    <w:rsid w:val="4D2E6D0C"/>
    <w:rsid w:val="4D303746"/>
    <w:rsid w:val="4D31441A"/>
    <w:rsid w:val="4D395638"/>
    <w:rsid w:val="4D4A20ED"/>
    <w:rsid w:val="4D4E739E"/>
    <w:rsid w:val="4D5123C6"/>
    <w:rsid w:val="4D565C2E"/>
    <w:rsid w:val="4D5A571F"/>
    <w:rsid w:val="4D5A6798"/>
    <w:rsid w:val="4D5B7378"/>
    <w:rsid w:val="4D5D636D"/>
    <w:rsid w:val="4D5F4AE3"/>
    <w:rsid w:val="4D697710"/>
    <w:rsid w:val="4D6A307C"/>
    <w:rsid w:val="4D6C0FAE"/>
    <w:rsid w:val="4D6E11CA"/>
    <w:rsid w:val="4D7752E0"/>
    <w:rsid w:val="4D7873BD"/>
    <w:rsid w:val="4D7D269A"/>
    <w:rsid w:val="4D812CAB"/>
    <w:rsid w:val="4D844549"/>
    <w:rsid w:val="4D862070"/>
    <w:rsid w:val="4D901140"/>
    <w:rsid w:val="4D9D5FD8"/>
    <w:rsid w:val="4D9F3CBD"/>
    <w:rsid w:val="4DA22C22"/>
    <w:rsid w:val="4DA4699A"/>
    <w:rsid w:val="4DA74B6A"/>
    <w:rsid w:val="4DAB1AD6"/>
    <w:rsid w:val="4DD86643"/>
    <w:rsid w:val="4DDB174B"/>
    <w:rsid w:val="4DDB7B58"/>
    <w:rsid w:val="4DDE00FE"/>
    <w:rsid w:val="4DE13DC5"/>
    <w:rsid w:val="4DE374C2"/>
    <w:rsid w:val="4DE82D2A"/>
    <w:rsid w:val="4DEC4FB0"/>
    <w:rsid w:val="4DF128FF"/>
    <w:rsid w:val="4DF26972"/>
    <w:rsid w:val="4DF86FC1"/>
    <w:rsid w:val="4DFA4A05"/>
    <w:rsid w:val="4DFC7D5E"/>
    <w:rsid w:val="4DFD38CA"/>
    <w:rsid w:val="4E026822"/>
    <w:rsid w:val="4E0336C0"/>
    <w:rsid w:val="4E0631B0"/>
    <w:rsid w:val="4E075D8A"/>
    <w:rsid w:val="4E0B40A8"/>
    <w:rsid w:val="4E0B4C6B"/>
    <w:rsid w:val="4E173610"/>
    <w:rsid w:val="4E1F172A"/>
    <w:rsid w:val="4E230BBE"/>
    <w:rsid w:val="4E27029F"/>
    <w:rsid w:val="4E2F2707"/>
    <w:rsid w:val="4E301DA6"/>
    <w:rsid w:val="4E352F64"/>
    <w:rsid w:val="4E3858ED"/>
    <w:rsid w:val="4E3A3AA0"/>
    <w:rsid w:val="4E3F78BF"/>
    <w:rsid w:val="4E4361B3"/>
    <w:rsid w:val="4E4F2DA9"/>
    <w:rsid w:val="4E50374A"/>
    <w:rsid w:val="4E5531A0"/>
    <w:rsid w:val="4E6112E3"/>
    <w:rsid w:val="4E6525CD"/>
    <w:rsid w:val="4E661EA1"/>
    <w:rsid w:val="4E770193"/>
    <w:rsid w:val="4E802FB4"/>
    <w:rsid w:val="4E8169D6"/>
    <w:rsid w:val="4E8445CD"/>
    <w:rsid w:val="4E8567CB"/>
    <w:rsid w:val="4E85703B"/>
    <w:rsid w:val="4E892BEF"/>
    <w:rsid w:val="4E915977"/>
    <w:rsid w:val="4E93713A"/>
    <w:rsid w:val="4EA8502F"/>
    <w:rsid w:val="4EAA6F7B"/>
    <w:rsid w:val="4EB63E9D"/>
    <w:rsid w:val="4EB64BD7"/>
    <w:rsid w:val="4EBC2D80"/>
    <w:rsid w:val="4EBC3B65"/>
    <w:rsid w:val="4EBE0A1F"/>
    <w:rsid w:val="4ED65279"/>
    <w:rsid w:val="4EDB7F4B"/>
    <w:rsid w:val="4EDD7386"/>
    <w:rsid w:val="4EE17BB1"/>
    <w:rsid w:val="4EE34A27"/>
    <w:rsid w:val="4EE51018"/>
    <w:rsid w:val="4EEA2AD2"/>
    <w:rsid w:val="4EEA67E7"/>
    <w:rsid w:val="4EEE6A9D"/>
    <w:rsid w:val="4EF25AD7"/>
    <w:rsid w:val="4EF621E1"/>
    <w:rsid w:val="4EF83441"/>
    <w:rsid w:val="4EFA6F29"/>
    <w:rsid w:val="4EFC1823"/>
    <w:rsid w:val="4EFF4421"/>
    <w:rsid w:val="4F0163BB"/>
    <w:rsid w:val="4F0273F7"/>
    <w:rsid w:val="4F0305A8"/>
    <w:rsid w:val="4F044E7E"/>
    <w:rsid w:val="4F07089C"/>
    <w:rsid w:val="4F0C5227"/>
    <w:rsid w:val="4F135B85"/>
    <w:rsid w:val="4F1A6846"/>
    <w:rsid w:val="4F1D630F"/>
    <w:rsid w:val="4F26188E"/>
    <w:rsid w:val="4F28731D"/>
    <w:rsid w:val="4F2C4906"/>
    <w:rsid w:val="4F2F21BF"/>
    <w:rsid w:val="4F305F4C"/>
    <w:rsid w:val="4F312CC3"/>
    <w:rsid w:val="4F3471DC"/>
    <w:rsid w:val="4F385185"/>
    <w:rsid w:val="4F39265D"/>
    <w:rsid w:val="4F4F3880"/>
    <w:rsid w:val="4F6208BA"/>
    <w:rsid w:val="4F6355AE"/>
    <w:rsid w:val="4F775B47"/>
    <w:rsid w:val="4F7F321A"/>
    <w:rsid w:val="4F7F326A"/>
    <w:rsid w:val="4F813C30"/>
    <w:rsid w:val="4F8D35AC"/>
    <w:rsid w:val="4F8D4CC4"/>
    <w:rsid w:val="4F9E1AB2"/>
    <w:rsid w:val="4FA15887"/>
    <w:rsid w:val="4FA26F09"/>
    <w:rsid w:val="4FAD7D19"/>
    <w:rsid w:val="4FBC621D"/>
    <w:rsid w:val="4FC62A8C"/>
    <w:rsid w:val="4FC769F0"/>
    <w:rsid w:val="4FC83310"/>
    <w:rsid w:val="4FC92C91"/>
    <w:rsid w:val="4FD035BF"/>
    <w:rsid w:val="4FDB4F8D"/>
    <w:rsid w:val="4FE20F0D"/>
    <w:rsid w:val="4FE4122B"/>
    <w:rsid w:val="4FEC61F9"/>
    <w:rsid w:val="500712A6"/>
    <w:rsid w:val="500D6A78"/>
    <w:rsid w:val="501610BD"/>
    <w:rsid w:val="501871CB"/>
    <w:rsid w:val="502344EE"/>
    <w:rsid w:val="50267B3A"/>
    <w:rsid w:val="502B6EFE"/>
    <w:rsid w:val="50350030"/>
    <w:rsid w:val="503B576C"/>
    <w:rsid w:val="504601DC"/>
    <w:rsid w:val="504828C0"/>
    <w:rsid w:val="50502628"/>
    <w:rsid w:val="50504C4B"/>
    <w:rsid w:val="506568B4"/>
    <w:rsid w:val="506F3623"/>
    <w:rsid w:val="507203A2"/>
    <w:rsid w:val="50735D8F"/>
    <w:rsid w:val="507562EB"/>
    <w:rsid w:val="507704E4"/>
    <w:rsid w:val="50772144"/>
    <w:rsid w:val="507964AB"/>
    <w:rsid w:val="507B7E86"/>
    <w:rsid w:val="507C2E23"/>
    <w:rsid w:val="50813882"/>
    <w:rsid w:val="50830AE8"/>
    <w:rsid w:val="508F3931"/>
    <w:rsid w:val="50935738"/>
    <w:rsid w:val="509C6E7C"/>
    <w:rsid w:val="509E68B4"/>
    <w:rsid w:val="50AA615E"/>
    <w:rsid w:val="50BC3FFA"/>
    <w:rsid w:val="50C07F8E"/>
    <w:rsid w:val="50C3197C"/>
    <w:rsid w:val="50D47596"/>
    <w:rsid w:val="50E7551B"/>
    <w:rsid w:val="50EA6DB9"/>
    <w:rsid w:val="50ED2893"/>
    <w:rsid w:val="51041A36"/>
    <w:rsid w:val="5109061C"/>
    <w:rsid w:val="510B7D00"/>
    <w:rsid w:val="510C6D30"/>
    <w:rsid w:val="510D6564"/>
    <w:rsid w:val="510F0E13"/>
    <w:rsid w:val="511818D9"/>
    <w:rsid w:val="512378F9"/>
    <w:rsid w:val="51342F86"/>
    <w:rsid w:val="513E43DB"/>
    <w:rsid w:val="514143D4"/>
    <w:rsid w:val="51434C7B"/>
    <w:rsid w:val="514C42EA"/>
    <w:rsid w:val="51566CCF"/>
    <w:rsid w:val="515B7CB7"/>
    <w:rsid w:val="515F368D"/>
    <w:rsid w:val="5162104E"/>
    <w:rsid w:val="51624BA2"/>
    <w:rsid w:val="516A1CA8"/>
    <w:rsid w:val="51777A1C"/>
    <w:rsid w:val="517A5049"/>
    <w:rsid w:val="518014CC"/>
    <w:rsid w:val="5186233E"/>
    <w:rsid w:val="5186584B"/>
    <w:rsid w:val="518865EC"/>
    <w:rsid w:val="518A6C1F"/>
    <w:rsid w:val="518B0FFB"/>
    <w:rsid w:val="519311FF"/>
    <w:rsid w:val="51987A2B"/>
    <w:rsid w:val="51992F95"/>
    <w:rsid w:val="519B4B53"/>
    <w:rsid w:val="519C4558"/>
    <w:rsid w:val="51AA18F1"/>
    <w:rsid w:val="51AB479B"/>
    <w:rsid w:val="51B16D7C"/>
    <w:rsid w:val="51B66617"/>
    <w:rsid w:val="51B82A14"/>
    <w:rsid w:val="51C37EEA"/>
    <w:rsid w:val="51C55131"/>
    <w:rsid w:val="51CE66DB"/>
    <w:rsid w:val="51D610EC"/>
    <w:rsid w:val="51D84E64"/>
    <w:rsid w:val="51DF731B"/>
    <w:rsid w:val="51E1640E"/>
    <w:rsid w:val="51EA7C38"/>
    <w:rsid w:val="51EC522D"/>
    <w:rsid w:val="51F16071"/>
    <w:rsid w:val="52035D13"/>
    <w:rsid w:val="520420FD"/>
    <w:rsid w:val="52050ACD"/>
    <w:rsid w:val="520A747D"/>
    <w:rsid w:val="52122570"/>
    <w:rsid w:val="52163A08"/>
    <w:rsid w:val="5221680B"/>
    <w:rsid w:val="52263E21"/>
    <w:rsid w:val="52354064"/>
    <w:rsid w:val="52391DA6"/>
    <w:rsid w:val="523A78CD"/>
    <w:rsid w:val="523B77FF"/>
    <w:rsid w:val="52412A09"/>
    <w:rsid w:val="52465DD6"/>
    <w:rsid w:val="52475837"/>
    <w:rsid w:val="524E6853"/>
    <w:rsid w:val="52516572"/>
    <w:rsid w:val="525272AB"/>
    <w:rsid w:val="52546BE0"/>
    <w:rsid w:val="52573F03"/>
    <w:rsid w:val="525766D1"/>
    <w:rsid w:val="52595319"/>
    <w:rsid w:val="52623815"/>
    <w:rsid w:val="52675678"/>
    <w:rsid w:val="527D53FC"/>
    <w:rsid w:val="52843223"/>
    <w:rsid w:val="5285323E"/>
    <w:rsid w:val="52854FEC"/>
    <w:rsid w:val="528A0623"/>
    <w:rsid w:val="529214B7"/>
    <w:rsid w:val="5292422D"/>
    <w:rsid w:val="52943481"/>
    <w:rsid w:val="52A15B9E"/>
    <w:rsid w:val="52A82A88"/>
    <w:rsid w:val="52AF2DC0"/>
    <w:rsid w:val="52AF3C79"/>
    <w:rsid w:val="52B4767F"/>
    <w:rsid w:val="52B563A2"/>
    <w:rsid w:val="52C21379"/>
    <w:rsid w:val="52C32D67"/>
    <w:rsid w:val="52CD4A0C"/>
    <w:rsid w:val="52D10231"/>
    <w:rsid w:val="52DC2732"/>
    <w:rsid w:val="52DE64AA"/>
    <w:rsid w:val="52E067DD"/>
    <w:rsid w:val="52E71C16"/>
    <w:rsid w:val="52F2106D"/>
    <w:rsid w:val="52F41127"/>
    <w:rsid w:val="52F97788"/>
    <w:rsid w:val="53000809"/>
    <w:rsid w:val="5305612D"/>
    <w:rsid w:val="5315220C"/>
    <w:rsid w:val="53165C44"/>
    <w:rsid w:val="53194960"/>
    <w:rsid w:val="532E19B2"/>
    <w:rsid w:val="534E1882"/>
    <w:rsid w:val="534F74CD"/>
    <w:rsid w:val="535624E4"/>
    <w:rsid w:val="53654E1D"/>
    <w:rsid w:val="53670B95"/>
    <w:rsid w:val="53727BE9"/>
    <w:rsid w:val="5373701E"/>
    <w:rsid w:val="537F5EDF"/>
    <w:rsid w:val="538D5FB5"/>
    <w:rsid w:val="538F59F6"/>
    <w:rsid w:val="539206B7"/>
    <w:rsid w:val="53951A93"/>
    <w:rsid w:val="53966D85"/>
    <w:rsid w:val="5399349D"/>
    <w:rsid w:val="539A6875"/>
    <w:rsid w:val="539F5E81"/>
    <w:rsid w:val="53A039CC"/>
    <w:rsid w:val="53A1505A"/>
    <w:rsid w:val="53AA2DEC"/>
    <w:rsid w:val="53AB0A82"/>
    <w:rsid w:val="53B271C1"/>
    <w:rsid w:val="53B611D5"/>
    <w:rsid w:val="53C11F14"/>
    <w:rsid w:val="53C5766A"/>
    <w:rsid w:val="53CA1480"/>
    <w:rsid w:val="53CE5082"/>
    <w:rsid w:val="53D12BEE"/>
    <w:rsid w:val="53F00B8B"/>
    <w:rsid w:val="53F15A88"/>
    <w:rsid w:val="53FB308C"/>
    <w:rsid w:val="54040192"/>
    <w:rsid w:val="54063E08"/>
    <w:rsid w:val="540C5E54"/>
    <w:rsid w:val="540C7160"/>
    <w:rsid w:val="54104D89"/>
    <w:rsid w:val="542D1EAF"/>
    <w:rsid w:val="542E6703"/>
    <w:rsid w:val="543437E8"/>
    <w:rsid w:val="54372D88"/>
    <w:rsid w:val="543A57B1"/>
    <w:rsid w:val="543F7493"/>
    <w:rsid w:val="545A24A8"/>
    <w:rsid w:val="545F361A"/>
    <w:rsid w:val="5468359F"/>
    <w:rsid w:val="546B55CB"/>
    <w:rsid w:val="546D255B"/>
    <w:rsid w:val="54713E32"/>
    <w:rsid w:val="547272EC"/>
    <w:rsid w:val="54735CF8"/>
    <w:rsid w:val="54750FD3"/>
    <w:rsid w:val="54772DEC"/>
    <w:rsid w:val="54813591"/>
    <w:rsid w:val="5487247F"/>
    <w:rsid w:val="548B25AF"/>
    <w:rsid w:val="548B692C"/>
    <w:rsid w:val="54972730"/>
    <w:rsid w:val="549733F7"/>
    <w:rsid w:val="549A0AF6"/>
    <w:rsid w:val="549E777D"/>
    <w:rsid w:val="549F238D"/>
    <w:rsid w:val="54A24AF2"/>
    <w:rsid w:val="54A349C7"/>
    <w:rsid w:val="54A51F59"/>
    <w:rsid w:val="54A71DAE"/>
    <w:rsid w:val="54AD6A7C"/>
    <w:rsid w:val="54B517D1"/>
    <w:rsid w:val="54B82DB0"/>
    <w:rsid w:val="54CA13DC"/>
    <w:rsid w:val="54D062C6"/>
    <w:rsid w:val="54D71E98"/>
    <w:rsid w:val="54D9161F"/>
    <w:rsid w:val="54E54495"/>
    <w:rsid w:val="54EB79F8"/>
    <w:rsid w:val="54F55D2D"/>
    <w:rsid w:val="55045D5E"/>
    <w:rsid w:val="550F7D3E"/>
    <w:rsid w:val="551663CF"/>
    <w:rsid w:val="55173EF5"/>
    <w:rsid w:val="55285859"/>
    <w:rsid w:val="55286102"/>
    <w:rsid w:val="5531145B"/>
    <w:rsid w:val="5539030F"/>
    <w:rsid w:val="554B52E0"/>
    <w:rsid w:val="55506728"/>
    <w:rsid w:val="55570F00"/>
    <w:rsid w:val="557127EB"/>
    <w:rsid w:val="55745E90"/>
    <w:rsid w:val="557C66F9"/>
    <w:rsid w:val="55811DC1"/>
    <w:rsid w:val="558179FB"/>
    <w:rsid w:val="559B174B"/>
    <w:rsid w:val="559F602D"/>
    <w:rsid w:val="55AA2FBB"/>
    <w:rsid w:val="55AF1322"/>
    <w:rsid w:val="55B53875"/>
    <w:rsid w:val="55B654BC"/>
    <w:rsid w:val="55BB2AD2"/>
    <w:rsid w:val="55C93441"/>
    <w:rsid w:val="55CA0F67"/>
    <w:rsid w:val="55CD2F14"/>
    <w:rsid w:val="55CD3206"/>
    <w:rsid w:val="55CE0CF4"/>
    <w:rsid w:val="55D45BDD"/>
    <w:rsid w:val="55E4027B"/>
    <w:rsid w:val="55F63E39"/>
    <w:rsid w:val="55F85AD5"/>
    <w:rsid w:val="55FA5879"/>
    <w:rsid w:val="56035325"/>
    <w:rsid w:val="56097CE2"/>
    <w:rsid w:val="560C39DF"/>
    <w:rsid w:val="56101070"/>
    <w:rsid w:val="56114DE8"/>
    <w:rsid w:val="56135E24"/>
    <w:rsid w:val="561A1C9F"/>
    <w:rsid w:val="562531D6"/>
    <w:rsid w:val="562763BA"/>
    <w:rsid w:val="56296B2A"/>
    <w:rsid w:val="56342F97"/>
    <w:rsid w:val="56350A86"/>
    <w:rsid w:val="56376F1E"/>
    <w:rsid w:val="563958B2"/>
    <w:rsid w:val="56397366"/>
    <w:rsid w:val="563F1955"/>
    <w:rsid w:val="56421BB9"/>
    <w:rsid w:val="564E1B99"/>
    <w:rsid w:val="564E4205"/>
    <w:rsid w:val="564F0931"/>
    <w:rsid w:val="56521689"/>
    <w:rsid w:val="56540365"/>
    <w:rsid w:val="56577DED"/>
    <w:rsid w:val="565A4699"/>
    <w:rsid w:val="565F3A08"/>
    <w:rsid w:val="566413BC"/>
    <w:rsid w:val="567B3942"/>
    <w:rsid w:val="567D422C"/>
    <w:rsid w:val="567D5FDA"/>
    <w:rsid w:val="567F61F6"/>
    <w:rsid w:val="56812A3F"/>
    <w:rsid w:val="56823734"/>
    <w:rsid w:val="56892BD1"/>
    <w:rsid w:val="56925F29"/>
    <w:rsid w:val="56965235"/>
    <w:rsid w:val="569F23F4"/>
    <w:rsid w:val="56A56B35"/>
    <w:rsid w:val="56A908EE"/>
    <w:rsid w:val="56AE144F"/>
    <w:rsid w:val="56B22127"/>
    <w:rsid w:val="56B22A9C"/>
    <w:rsid w:val="56B55774"/>
    <w:rsid w:val="56B758CC"/>
    <w:rsid w:val="56BD6768"/>
    <w:rsid w:val="56C9609A"/>
    <w:rsid w:val="56CA2C85"/>
    <w:rsid w:val="56CE53A0"/>
    <w:rsid w:val="56D27570"/>
    <w:rsid w:val="56D4209E"/>
    <w:rsid w:val="56D842AC"/>
    <w:rsid w:val="56DF6C95"/>
    <w:rsid w:val="56E13FE8"/>
    <w:rsid w:val="56F24C1A"/>
    <w:rsid w:val="56FA762A"/>
    <w:rsid w:val="570A1BEF"/>
    <w:rsid w:val="570A7E41"/>
    <w:rsid w:val="57144B90"/>
    <w:rsid w:val="57276B8F"/>
    <w:rsid w:val="57321D8A"/>
    <w:rsid w:val="573D7E6E"/>
    <w:rsid w:val="57462870"/>
    <w:rsid w:val="57525582"/>
    <w:rsid w:val="575752BB"/>
    <w:rsid w:val="5760506E"/>
    <w:rsid w:val="576176AA"/>
    <w:rsid w:val="57685850"/>
    <w:rsid w:val="576A39E4"/>
    <w:rsid w:val="57803FD4"/>
    <w:rsid w:val="578120B7"/>
    <w:rsid w:val="578A30A4"/>
    <w:rsid w:val="578A346D"/>
    <w:rsid w:val="578C7077"/>
    <w:rsid w:val="578F4217"/>
    <w:rsid w:val="5798627A"/>
    <w:rsid w:val="579A68CF"/>
    <w:rsid w:val="57A706CF"/>
    <w:rsid w:val="57AB49EF"/>
    <w:rsid w:val="57B1418D"/>
    <w:rsid w:val="57B72A76"/>
    <w:rsid w:val="57B819BF"/>
    <w:rsid w:val="57D17FCC"/>
    <w:rsid w:val="57D83E10"/>
    <w:rsid w:val="57DA1498"/>
    <w:rsid w:val="57E62B94"/>
    <w:rsid w:val="57E63719"/>
    <w:rsid w:val="57E7171B"/>
    <w:rsid w:val="57EA694E"/>
    <w:rsid w:val="57F549C2"/>
    <w:rsid w:val="57F57D7F"/>
    <w:rsid w:val="57F65627"/>
    <w:rsid w:val="57F8000E"/>
    <w:rsid w:val="57FA4857"/>
    <w:rsid w:val="57FC7FF1"/>
    <w:rsid w:val="57FE55C4"/>
    <w:rsid w:val="58020E8D"/>
    <w:rsid w:val="58093FC9"/>
    <w:rsid w:val="580A384B"/>
    <w:rsid w:val="580F7106"/>
    <w:rsid w:val="58131D55"/>
    <w:rsid w:val="582D3405"/>
    <w:rsid w:val="583934A7"/>
    <w:rsid w:val="583B7EFB"/>
    <w:rsid w:val="58504D15"/>
    <w:rsid w:val="58586CFE"/>
    <w:rsid w:val="585A4825"/>
    <w:rsid w:val="585C5BB5"/>
    <w:rsid w:val="5868240A"/>
    <w:rsid w:val="586F68AC"/>
    <w:rsid w:val="5873505A"/>
    <w:rsid w:val="5889335C"/>
    <w:rsid w:val="588B6BB0"/>
    <w:rsid w:val="58AB1524"/>
    <w:rsid w:val="58AB44A7"/>
    <w:rsid w:val="58B2640F"/>
    <w:rsid w:val="58B53501"/>
    <w:rsid w:val="58B54D7C"/>
    <w:rsid w:val="58BA1767"/>
    <w:rsid w:val="58BA6173"/>
    <w:rsid w:val="58BF54DE"/>
    <w:rsid w:val="58CA2457"/>
    <w:rsid w:val="58D41AA7"/>
    <w:rsid w:val="58D97E3F"/>
    <w:rsid w:val="58E660B8"/>
    <w:rsid w:val="58E93DFA"/>
    <w:rsid w:val="58F24A5D"/>
    <w:rsid w:val="58F76517"/>
    <w:rsid w:val="58F8471C"/>
    <w:rsid w:val="590566F0"/>
    <w:rsid w:val="591B3D89"/>
    <w:rsid w:val="591C5F7E"/>
    <w:rsid w:val="591F781C"/>
    <w:rsid w:val="59346293"/>
    <w:rsid w:val="593F3EB7"/>
    <w:rsid w:val="59462FFB"/>
    <w:rsid w:val="59464DA9"/>
    <w:rsid w:val="595A3584"/>
    <w:rsid w:val="595B4CF8"/>
    <w:rsid w:val="596106CE"/>
    <w:rsid w:val="596972AE"/>
    <w:rsid w:val="59777702"/>
    <w:rsid w:val="59787591"/>
    <w:rsid w:val="597933D0"/>
    <w:rsid w:val="597C6A1D"/>
    <w:rsid w:val="59814033"/>
    <w:rsid w:val="59854011"/>
    <w:rsid w:val="598D36ED"/>
    <w:rsid w:val="59A12974"/>
    <w:rsid w:val="59A26483"/>
    <w:rsid w:val="59B40AA8"/>
    <w:rsid w:val="59B44360"/>
    <w:rsid w:val="59B77A55"/>
    <w:rsid w:val="59BC1DF2"/>
    <w:rsid w:val="59C12278"/>
    <w:rsid w:val="59C725D7"/>
    <w:rsid w:val="59C97EA1"/>
    <w:rsid w:val="59E1357E"/>
    <w:rsid w:val="59E21126"/>
    <w:rsid w:val="59E65F92"/>
    <w:rsid w:val="59E85E60"/>
    <w:rsid w:val="59ED5DE7"/>
    <w:rsid w:val="59F20A8D"/>
    <w:rsid w:val="59F75189"/>
    <w:rsid w:val="59FA4645"/>
    <w:rsid w:val="5A001DF9"/>
    <w:rsid w:val="5A184107"/>
    <w:rsid w:val="5A20384C"/>
    <w:rsid w:val="5A33532D"/>
    <w:rsid w:val="5A362E88"/>
    <w:rsid w:val="5A370FEF"/>
    <w:rsid w:val="5A3A490E"/>
    <w:rsid w:val="5A3C747D"/>
    <w:rsid w:val="5A422C6A"/>
    <w:rsid w:val="5A447A54"/>
    <w:rsid w:val="5A447B69"/>
    <w:rsid w:val="5A51194C"/>
    <w:rsid w:val="5A511C57"/>
    <w:rsid w:val="5A5F4374"/>
    <w:rsid w:val="5A631373"/>
    <w:rsid w:val="5A6A1067"/>
    <w:rsid w:val="5A6C083F"/>
    <w:rsid w:val="5A7122F9"/>
    <w:rsid w:val="5A7476F4"/>
    <w:rsid w:val="5A7F4FED"/>
    <w:rsid w:val="5A8D7272"/>
    <w:rsid w:val="5A906A2E"/>
    <w:rsid w:val="5A951B44"/>
    <w:rsid w:val="5A997BCA"/>
    <w:rsid w:val="5A997E3B"/>
    <w:rsid w:val="5A9D4E9D"/>
    <w:rsid w:val="5AA55EDD"/>
    <w:rsid w:val="5AAD0D98"/>
    <w:rsid w:val="5AAE2C06"/>
    <w:rsid w:val="5AB1341D"/>
    <w:rsid w:val="5ABE2233"/>
    <w:rsid w:val="5ACE32A8"/>
    <w:rsid w:val="5ACF1223"/>
    <w:rsid w:val="5AD94B81"/>
    <w:rsid w:val="5ADA526F"/>
    <w:rsid w:val="5ADC3C17"/>
    <w:rsid w:val="5ADF6C14"/>
    <w:rsid w:val="5AE55BE3"/>
    <w:rsid w:val="5AE73C1C"/>
    <w:rsid w:val="5AED3489"/>
    <w:rsid w:val="5AF33492"/>
    <w:rsid w:val="5AF47194"/>
    <w:rsid w:val="5AF9105E"/>
    <w:rsid w:val="5AF947C9"/>
    <w:rsid w:val="5AFB4097"/>
    <w:rsid w:val="5AFE1564"/>
    <w:rsid w:val="5AFF3461"/>
    <w:rsid w:val="5B01649D"/>
    <w:rsid w:val="5B0429A7"/>
    <w:rsid w:val="5B044F1C"/>
    <w:rsid w:val="5B0732D3"/>
    <w:rsid w:val="5B116C41"/>
    <w:rsid w:val="5B1D26F0"/>
    <w:rsid w:val="5B1D76EC"/>
    <w:rsid w:val="5B276D18"/>
    <w:rsid w:val="5B286E5C"/>
    <w:rsid w:val="5B2A427D"/>
    <w:rsid w:val="5B2D6220"/>
    <w:rsid w:val="5B321A89"/>
    <w:rsid w:val="5B386973"/>
    <w:rsid w:val="5B413A7A"/>
    <w:rsid w:val="5B4B29F4"/>
    <w:rsid w:val="5B4D0671"/>
    <w:rsid w:val="5B5714EF"/>
    <w:rsid w:val="5B57329D"/>
    <w:rsid w:val="5B5B0FE0"/>
    <w:rsid w:val="5B5B16BC"/>
    <w:rsid w:val="5B5B4488"/>
    <w:rsid w:val="5B6836FC"/>
    <w:rsid w:val="5B694D7F"/>
    <w:rsid w:val="5B6F05E7"/>
    <w:rsid w:val="5B70610D"/>
    <w:rsid w:val="5B720572"/>
    <w:rsid w:val="5B744AFF"/>
    <w:rsid w:val="5B773940"/>
    <w:rsid w:val="5B797E8A"/>
    <w:rsid w:val="5B7E082A"/>
    <w:rsid w:val="5B8235FB"/>
    <w:rsid w:val="5B841BB9"/>
    <w:rsid w:val="5B9553E7"/>
    <w:rsid w:val="5BA036EB"/>
    <w:rsid w:val="5BA74225"/>
    <w:rsid w:val="5BA929E0"/>
    <w:rsid w:val="5BB70707"/>
    <w:rsid w:val="5BBC67BE"/>
    <w:rsid w:val="5BC66E68"/>
    <w:rsid w:val="5BCF552A"/>
    <w:rsid w:val="5BD01EF1"/>
    <w:rsid w:val="5BD10A8F"/>
    <w:rsid w:val="5BD41142"/>
    <w:rsid w:val="5BDD0F40"/>
    <w:rsid w:val="5BDD73EA"/>
    <w:rsid w:val="5BDF1983"/>
    <w:rsid w:val="5BDF5D95"/>
    <w:rsid w:val="5BEA2363"/>
    <w:rsid w:val="5BF64EAC"/>
    <w:rsid w:val="5BF84A80"/>
    <w:rsid w:val="5BF9468B"/>
    <w:rsid w:val="5BFF491F"/>
    <w:rsid w:val="5C0A0310"/>
    <w:rsid w:val="5C0F632A"/>
    <w:rsid w:val="5C10358B"/>
    <w:rsid w:val="5C185F11"/>
    <w:rsid w:val="5C2B55F6"/>
    <w:rsid w:val="5C2C64D8"/>
    <w:rsid w:val="5C34538D"/>
    <w:rsid w:val="5C3C2C50"/>
    <w:rsid w:val="5C451348"/>
    <w:rsid w:val="5C495D9A"/>
    <w:rsid w:val="5C5D48E3"/>
    <w:rsid w:val="5C624C31"/>
    <w:rsid w:val="5C846314"/>
    <w:rsid w:val="5C89392A"/>
    <w:rsid w:val="5C914FFD"/>
    <w:rsid w:val="5C954DB9"/>
    <w:rsid w:val="5C98641A"/>
    <w:rsid w:val="5CAA7A61"/>
    <w:rsid w:val="5CB309A7"/>
    <w:rsid w:val="5CB4295F"/>
    <w:rsid w:val="5CB63FF4"/>
    <w:rsid w:val="5CBE651C"/>
    <w:rsid w:val="5CBF559E"/>
    <w:rsid w:val="5CC20C63"/>
    <w:rsid w:val="5CC65D2C"/>
    <w:rsid w:val="5CC85897"/>
    <w:rsid w:val="5CCD0742"/>
    <w:rsid w:val="5CCF1F44"/>
    <w:rsid w:val="5CD544A4"/>
    <w:rsid w:val="5CD962AC"/>
    <w:rsid w:val="5CDD3C76"/>
    <w:rsid w:val="5CE21DD2"/>
    <w:rsid w:val="5CF23EF1"/>
    <w:rsid w:val="5CF54072"/>
    <w:rsid w:val="5CF60A92"/>
    <w:rsid w:val="5CF65137"/>
    <w:rsid w:val="5CFB5EAA"/>
    <w:rsid w:val="5CFE037B"/>
    <w:rsid w:val="5D046781"/>
    <w:rsid w:val="5D072AA1"/>
    <w:rsid w:val="5D082321"/>
    <w:rsid w:val="5D096819"/>
    <w:rsid w:val="5D0B7169"/>
    <w:rsid w:val="5D1257AE"/>
    <w:rsid w:val="5D184CAE"/>
    <w:rsid w:val="5D1D41B4"/>
    <w:rsid w:val="5D1D6CAD"/>
    <w:rsid w:val="5D207DB2"/>
    <w:rsid w:val="5D215911"/>
    <w:rsid w:val="5D312BF8"/>
    <w:rsid w:val="5D347D3A"/>
    <w:rsid w:val="5D4264D8"/>
    <w:rsid w:val="5D510B6F"/>
    <w:rsid w:val="5D5850AB"/>
    <w:rsid w:val="5D5A444B"/>
    <w:rsid w:val="5D5C7C44"/>
    <w:rsid w:val="5D604210"/>
    <w:rsid w:val="5D6E3000"/>
    <w:rsid w:val="5D6E48CE"/>
    <w:rsid w:val="5D72616D"/>
    <w:rsid w:val="5D7719D5"/>
    <w:rsid w:val="5D7A3273"/>
    <w:rsid w:val="5D7A334A"/>
    <w:rsid w:val="5D7E3349"/>
    <w:rsid w:val="5D7E78C3"/>
    <w:rsid w:val="5D88447C"/>
    <w:rsid w:val="5D8B722E"/>
    <w:rsid w:val="5D8D31B3"/>
    <w:rsid w:val="5D9206CA"/>
    <w:rsid w:val="5D955D48"/>
    <w:rsid w:val="5DA244E6"/>
    <w:rsid w:val="5DA4242C"/>
    <w:rsid w:val="5DB555B9"/>
    <w:rsid w:val="5DCD5A99"/>
    <w:rsid w:val="5DE33377"/>
    <w:rsid w:val="5DE3706A"/>
    <w:rsid w:val="5DE51034"/>
    <w:rsid w:val="5DEC2B26"/>
    <w:rsid w:val="5DF35628"/>
    <w:rsid w:val="5DF87A0F"/>
    <w:rsid w:val="5DFD7355"/>
    <w:rsid w:val="5E056FE1"/>
    <w:rsid w:val="5E080D42"/>
    <w:rsid w:val="5E086AD1"/>
    <w:rsid w:val="5E0873B6"/>
    <w:rsid w:val="5E0A0A9B"/>
    <w:rsid w:val="5E140A6B"/>
    <w:rsid w:val="5E1611EE"/>
    <w:rsid w:val="5E196F30"/>
    <w:rsid w:val="5E1D43EF"/>
    <w:rsid w:val="5E225DE5"/>
    <w:rsid w:val="5E313656"/>
    <w:rsid w:val="5E36363E"/>
    <w:rsid w:val="5E48058A"/>
    <w:rsid w:val="5E4A7F79"/>
    <w:rsid w:val="5E506AA9"/>
    <w:rsid w:val="5E525F9E"/>
    <w:rsid w:val="5E5806FA"/>
    <w:rsid w:val="5E59732C"/>
    <w:rsid w:val="5E5D48EA"/>
    <w:rsid w:val="5E5F0DE7"/>
    <w:rsid w:val="5E6463FD"/>
    <w:rsid w:val="5E7357F5"/>
    <w:rsid w:val="5E7534E2"/>
    <w:rsid w:val="5E7D54E8"/>
    <w:rsid w:val="5E80106B"/>
    <w:rsid w:val="5E842F66"/>
    <w:rsid w:val="5E871D75"/>
    <w:rsid w:val="5E9071F2"/>
    <w:rsid w:val="5E9465B6"/>
    <w:rsid w:val="5EA06D09"/>
    <w:rsid w:val="5EA20CD3"/>
    <w:rsid w:val="5EAB02C5"/>
    <w:rsid w:val="5EAC5B0F"/>
    <w:rsid w:val="5EC0115A"/>
    <w:rsid w:val="5EC02E4A"/>
    <w:rsid w:val="5EC7270D"/>
    <w:rsid w:val="5ECA0E77"/>
    <w:rsid w:val="5ECC5D50"/>
    <w:rsid w:val="5ED12224"/>
    <w:rsid w:val="5EDA1C7F"/>
    <w:rsid w:val="5EDB17A2"/>
    <w:rsid w:val="5EDD61AF"/>
    <w:rsid w:val="5EE03675"/>
    <w:rsid w:val="5EE412EC"/>
    <w:rsid w:val="5EE7291C"/>
    <w:rsid w:val="5EF13A09"/>
    <w:rsid w:val="5EF17FD2"/>
    <w:rsid w:val="5EFC5D9B"/>
    <w:rsid w:val="5EFD04E4"/>
    <w:rsid w:val="5F064BBF"/>
    <w:rsid w:val="5F076D88"/>
    <w:rsid w:val="5F0C41DD"/>
    <w:rsid w:val="5F1A2B43"/>
    <w:rsid w:val="5F217E4A"/>
    <w:rsid w:val="5F252540"/>
    <w:rsid w:val="5F2534E9"/>
    <w:rsid w:val="5F340464"/>
    <w:rsid w:val="5F3527F4"/>
    <w:rsid w:val="5F36641B"/>
    <w:rsid w:val="5F39301A"/>
    <w:rsid w:val="5F44582F"/>
    <w:rsid w:val="5F5244A8"/>
    <w:rsid w:val="5F5856BF"/>
    <w:rsid w:val="5F6A13DC"/>
    <w:rsid w:val="5F714C67"/>
    <w:rsid w:val="5F7404E1"/>
    <w:rsid w:val="5F773F0E"/>
    <w:rsid w:val="5F7A218F"/>
    <w:rsid w:val="5F802C35"/>
    <w:rsid w:val="5F876350"/>
    <w:rsid w:val="5F914E80"/>
    <w:rsid w:val="5F944AC0"/>
    <w:rsid w:val="5F9929D7"/>
    <w:rsid w:val="5F9A7BFD"/>
    <w:rsid w:val="5FA47EDA"/>
    <w:rsid w:val="5FA7072F"/>
    <w:rsid w:val="5FA97E40"/>
    <w:rsid w:val="5FAF737E"/>
    <w:rsid w:val="5FB62BC7"/>
    <w:rsid w:val="5FB837BB"/>
    <w:rsid w:val="5FBE4827"/>
    <w:rsid w:val="5FCB02F8"/>
    <w:rsid w:val="5FD650D9"/>
    <w:rsid w:val="5FDA1055"/>
    <w:rsid w:val="5FE165F3"/>
    <w:rsid w:val="5FE33352"/>
    <w:rsid w:val="5FE5593A"/>
    <w:rsid w:val="5FE92242"/>
    <w:rsid w:val="5FFC2665"/>
    <w:rsid w:val="600215CD"/>
    <w:rsid w:val="60082DB8"/>
    <w:rsid w:val="60093710"/>
    <w:rsid w:val="600D03CE"/>
    <w:rsid w:val="60107EBF"/>
    <w:rsid w:val="601259E5"/>
    <w:rsid w:val="60161979"/>
    <w:rsid w:val="60247E3E"/>
    <w:rsid w:val="60263139"/>
    <w:rsid w:val="60285208"/>
    <w:rsid w:val="60432042"/>
    <w:rsid w:val="60442FDD"/>
    <w:rsid w:val="604E2465"/>
    <w:rsid w:val="606C0140"/>
    <w:rsid w:val="606F1089"/>
    <w:rsid w:val="60712CDB"/>
    <w:rsid w:val="60795A64"/>
    <w:rsid w:val="607D37A6"/>
    <w:rsid w:val="60887FE1"/>
    <w:rsid w:val="60982448"/>
    <w:rsid w:val="609B1AFE"/>
    <w:rsid w:val="60A70B9F"/>
    <w:rsid w:val="60A95C4B"/>
    <w:rsid w:val="60B65DB3"/>
    <w:rsid w:val="60B97588"/>
    <w:rsid w:val="60C247D9"/>
    <w:rsid w:val="60C34F31"/>
    <w:rsid w:val="60C44529"/>
    <w:rsid w:val="60CD40D7"/>
    <w:rsid w:val="60D51933"/>
    <w:rsid w:val="60D711EC"/>
    <w:rsid w:val="60D8398C"/>
    <w:rsid w:val="60DC0870"/>
    <w:rsid w:val="60EB47F8"/>
    <w:rsid w:val="60EB4BB4"/>
    <w:rsid w:val="60F65306"/>
    <w:rsid w:val="60F83122"/>
    <w:rsid w:val="60FA4DF7"/>
    <w:rsid w:val="60FC3A1D"/>
    <w:rsid w:val="60FF41BB"/>
    <w:rsid w:val="6101057C"/>
    <w:rsid w:val="61015D0B"/>
    <w:rsid w:val="61047A23"/>
    <w:rsid w:val="61096DE8"/>
    <w:rsid w:val="61147339"/>
    <w:rsid w:val="611507A1"/>
    <w:rsid w:val="611A2856"/>
    <w:rsid w:val="611D53BD"/>
    <w:rsid w:val="612551A4"/>
    <w:rsid w:val="612C643F"/>
    <w:rsid w:val="61314591"/>
    <w:rsid w:val="613A1697"/>
    <w:rsid w:val="61452119"/>
    <w:rsid w:val="614975D9"/>
    <w:rsid w:val="61501252"/>
    <w:rsid w:val="61520A88"/>
    <w:rsid w:val="61527730"/>
    <w:rsid w:val="61546EFE"/>
    <w:rsid w:val="615604A6"/>
    <w:rsid w:val="61563759"/>
    <w:rsid w:val="616008B7"/>
    <w:rsid w:val="616971E7"/>
    <w:rsid w:val="616D381B"/>
    <w:rsid w:val="616E1341"/>
    <w:rsid w:val="617469FE"/>
    <w:rsid w:val="61752431"/>
    <w:rsid w:val="61754037"/>
    <w:rsid w:val="61783F6D"/>
    <w:rsid w:val="617C3672"/>
    <w:rsid w:val="617C3A5E"/>
    <w:rsid w:val="61885921"/>
    <w:rsid w:val="6197590A"/>
    <w:rsid w:val="61A57BA8"/>
    <w:rsid w:val="61A905CB"/>
    <w:rsid w:val="61AD1E69"/>
    <w:rsid w:val="61AE015B"/>
    <w:rsid w:val="61B25108"/>
    <w:rsid w:val="61CC56D8"/>
    <w:rsid w:val="61DC1056"/>
    <w:rsid w:val="61DD3E21"/>
    <w:rsid w:val="61FA788D"/>
    <w:rsid w:val="62011A84"/>
    <w:rsid w:val="6203464F"/>
    <w:rsid w:val="620E39C2"/>
    <w:rsid w:val="6211391B"/>
    <w:rsid w:val="62230430"/>
    <w:rsid w:val="62267E0B"/>
    <w:rsid w:val="62306DE3"/>
    <w:rsid w:val="62364782"/>
    <w:rsid w:val="623E6573"/>
    <w:rsid w:val="624D0F56"/>
    <w:rsid w:val="624F2F20"/>
    <w:rsid w:val="624F4A25"/>
    <w:rsid w:val="625421DD"/>
    <w:rsid w:val="62566E28"/>
    <w:rsid w:val="625B4BFB"/>
    <w:rsid w:val="62612C54"/>
    <w:rsid w:val="626F5370"/>
    <w:rsid w:val="627D5367"/>
    <w:rsid w:val="62960041"/>
    <w:rsid w:val="629923ED"/>
    <w:rsid w:val="629D1B83"/>
    <w:rsid w:val="629D1EDE"/>
    <w:rsid w:val="629E3DF8"/>
    <w:rsid w:val="629F7063"/>
    <w:rsid w:val="62A43F7E"/>
    <w:rsid w:val="62BB05B6"/>
    <w:rsid w:val="62C440D7"/>
    <w:rsid w:val="62D376AD"/>
    <w:rsid w:val="62E53885"/>
    <w:rsid w:val="62E95123"/>
    <w:rsid w:val="62E96ED1"/>
    <w:rsid w:val="62EE0FDA"/>
    <w:rsid w:val="62EF200D"/>
    <w:rsid w:val="62F71255"/>
    <w:rsid w:val="62F760C0"/>
    <w:rsid w:val="62FA63C3"/>
    <w:rsid w:val="62FD4B17"/>
    <w:rsid w:val="6300421A"/>
    <w:rsid w:val="63043D0B"/>
    <w:rsid w:val="63071A4D"/>
    <w:rsid w:val="63071C07"/>
    <w:rsid w:val="630862F2"/>
    <w:rsid w:val="630A5099"/>
    <w:rsid w:val="631141FF"/>
    <w:rsid w:val="63165E27"/>
    <w:rsid w:val="63260125"/>
    <w:rsid w:val="633A3861"/>
    <w:rsid w:val="63410F40"/>
    <w:rsid w:val="63511F41"/>
    <w:rsid w:val="63520F1A"/>
    <w:rsid w:val="6353545E"/>
    <w:rsid w:val="635F3428"/>
    <w:rsid w:val="63646678"/>
    <w:rsid w:val="636A540A"/>
    <w:rsid w:val="636A6BC7"/>
    <w:rsid w:val="636B62EC"/>
    <w:rsid w:val="63730E90"/>
    <w:rsid w:val="637B1AF3"/>
    <w:rsid w:val="637B4030"/>
    <w:rsid w:val="637D06E3"/>
    <w:rsid w:val="63827A52"/>
    <w:rsid w:val="638B442C"/>
    <w:rsid w:val="63936E3D"/>
    <w:rsid w:val="639A01CB"/>
    <w:rsid w:val="639E42D0"/>
    <w:rsid w:val="639F1C85"/>
    <w:rsid w:val="639F4A6D"/>
    <w:rsid w:val="63AC4B00"/>
    <w:rsid w:val="63AE5226"/>
    <w:rsid w:val="63B20803"/>
    <w:rsid w:val="63B22ED7"/>
    <w:rsid w:val="63B70D7D"/>
    <w:rsid w:val="63BC2837"/>
    <w:rsid w:val="63CE72AC"/>
    <w:rsid w:val="63D40BE9"/>
    <w:rsid w:val="63D90D6B"/>
    <w:rsid w:val="63D91A7C"/>
    <w:rsid w:val="63E0211F"/>
    <w:rsid w:val="63E94FFB"/>
    <w:rsid w:val="63E97E76"/>
    <w:rsid w:val="63FB5B09"/>
    <w:rsid w:val="63FB5FE5"/>
    <w:rsid w:val="63FF2724"/>
    <w:rsid w:val="64050627"/>
    <w:rsid w:val="640970FF"/>
    <w:rsid w:val="640E36AB"/>
    <w:rsid w:val="64287ECD"/>
    <w:rsid w:val="642C6DBE"/>
    <w:rsid w:val="643416FF"/>
    <w:rsid w:val="644300A1"/>
    <w:rsid w:val="644638B5"/>
    <w:rsid w:val="64492615"/>
    <w:rsid w:val="64631A7D"/>
    <w:rsid w:val="64656FDC"/>
    <w:rsid w:val="647924D6"/>
    <w:rsid w:val="648570CD"/>
    <w:rsid w:val="64860BA3"/>
    <w:rsid w:val="64927A2E"/>
    <w:rsid w:val="64996C5F"/>
    <w:rsid w:val="649C585B"/>
    <w:rsid w:val="649E77BB"/>
    <w:rsid w:val="64A11739"/>
    <w:rsid w:val="64A42B32"/>
    <w:rsid w:val="64AC114E"/>
    <w:rsid w:val="64AD4222"/>
    <w:rsid w:val="64B4350F"/>
    <w:rsid w:val="64BB2AEF"/>
    <w:rsid w:val="64C0674E"/>
    <w:rsid w:val="64C86FA2"/>
    <w:rsid w:val="64CB1216"/>
    <w:rsid w:val="64CC0858"/>
    <w:rsid w:val="64D257B3"/>
    <w:rsid w:val="64DF4B4C"/>
    <w:rsid w:val="64E002E4"/>
    <w:rsid w:val="64FA2E76"/>
    <w:rsid w:val="65053D6A"/>
    <w:rsid w:val="65102E3B"/>
    <w:rsid w:val="651144BD"/>
    <w:rsid w:val="65125B3C"/>
    <w:rsid w:val="651421FF"/>
    <w:rsid w:val="65180AF8"/>
    <w:rsid w:val="65206DF6"/>
    <w:rsid w:val="652140F8"/>
    <w:rsid w:val="652266CA"/>
    <w:rsid w:val="652561BA"/>
    <w:rsid w:val="652B0AFB"/>
    <w:rsid w:val="652E32C1"/>
    <w:rsid w:val="653730C9"/>
    <w:rsid w:val="65373578"/>
    <w:rsid w:val="653B59DE"/>
    <w:rsid w:val="654673E4"/>
    <w:rsid w:val="65477B54"/>
    <w:rsid w:val="65493C57"/>
    <w:rsid w:val="654C4CF2"/>
    <w:rsid w:val="65515F6B"/>
    <w:rsid w:val="656C203B"/>
    <w:rsid w:val="656F7435"/>
    <w:rsid w:val="657744C7"/>
    <w:rsid w:val="65835D59"/>
    <w:rsid w:val="658904F7"/>
    <w:rsid w:val="658E3D60"/>
    <w:rsid w:val="659F41BF"/>
    <w:rsid w:val="659F5F6D"/>
    <w:rsid w:val="65A05841"/>
    <w:rsid w:val="65A259C8"/>
    <w:rsid w:val="65AD441D"/>
    <w:rsid w:val="65B31A18"/>
    <w:rsid w:val="65B80DDC"/>
    <w:rsid w:val="65C34164"/>
    <w:rsid w:val="65CB0B10"/>
    <w:rsid w:val="65E41810"/>
    <w:rsid w:val="65E45639"/>
    <w:rsid w:val="65EA5AF8"/>
    <w:rsid w:val="65EA7CCA"/>
    <w:rsid w:val="65EB6AAB"/>
    <w:rsid w:val="65EE47FE"/>
    <w:rsid w:val="65F362B8"/>
    <w:rsid w:val="65FA13F5"/>
    <w:rsid w:val="66067D9A"/>
    <w:rsid w:val="661321B2"/>
    <w:rsid w:val="66176813"/>
    <w:rsid w:val="66236A35"/>
    <w:rsid w:val="663D05D9"/>
    <w:rsid w:val="663D12E2"/>
    <w:rsid w:val="66476B75"/>
    <w:rsid w:val="664803B2"/>
    <w:rsid w:val="664F6B20"/>
    <w:rsid w:val="66521858"/>
    <w:rsid w:val="66527D73"/>
    <w:rsid w:val="66551CC6"/>
    <w:rsid w:val="665F0ED1"/>
    <w:rsid w:val="666744C0"/>
    <w:rsid w:val="66723D48"/>
    <w:rsid w:val="66736953"/>
    <w:rsid w:val="66740FF5"/>
    <w:rsid w:val="66772A46"/>
    <w:rsid w:val="668644CF"/>
    <w:rsid w:val="66884C53"/>
    <w:rsid w:val="668F6637"/>
    <w:rsid w:val="66950187"/>
    <w:rsid w:val="6696787D"/>
    <w:rsid w:val="66980C5E"/>
    <w:rsid w:val="6699160F"/>
    <w:rsid w:val="66994EA8"/>
    <w:rsid w:val="669961E6"/>
    <w:rsid w:val="669B3C6C"/>
    <w:rsid w:val="669E6591"/>
    <w:rsid w:val="66A64A54"/>
    <w:rsid w:val="66AA1059"/>
    <w:rsid w:val="66AE597A"/>
    <w:rsid w:val="66AF513E"/>
    <w:rsid w:val="66B02070"/>
    <w:rsid w:val="66BC7031"/>
    <w:rsid w:val="66C3672B"/>
    <w:rsid w:val="66C6108B"/>
    <w:rsid w:val="66CC6F83"/>
    <w:rsid w:val="66D04A67"/>
    <w:rsid w:val="66D86878"/>
    <w:rsid w:val="66D956E3"/>
    <w:rsid w:val="66E3632D"/>
    <w:rsid w:val="66E5403A"/>
    <w:rsid w:val="66E7565D"/>
    <w:rsid w:val="66E77BCB"/>
    <w:rsid w:val="66EE6593"/>
    <w:rsid w:val="66F7115E"/>
    <w:rsid w:val="66F916AD"/>
    <w:rsid w:val="66FC46B4"/>
    <w:rsid w:val="66FC5022"/>
    <w:rsid w:val="66FE139C"/>
    <w:rsid w:val="670C5A4B"/>
    <w:rsid w:val="670D5158"/>
    <w:rsid w:val="67166AA0"/>
    <w:rsid w:val="671820DF"/>
    <w:rsid w:val="67191D4F"/>
    <w:rsid w:val="671929D4"/>
    <w:rsid w:val="671C2C91"/>
    <w:rsid w:val="671D539B"/>
    <w:rsid w:val="67211A19"/>
    <w:rsid w:val="67332E10"/>
    <w:rsid w:val="673D3C8F"/>
    <w:rsid w:val="673F2C7A"/>
    <w:rsid w:val="674F5770"/>
    <w:rsid w:val="67530DBD"/>
    <w:rsid w:val="67543787"/>
    <w:rsid w:val="675E276A"/>
    <w:rsid w:val="675E4F45"/>
    <w:rsid w:val="675F323E"/>
    <w:rsid w:val="676871F3"/>
    <w:rsid w:val="67744978"/>
    <w:rsid w:val="67746F85"/>
    <w:rsid w:val="677F7E04"/>
    <w:rsid w:val="67822D1D"/>
    <w:rsid w:val="67881DBE"/>
    <w:rsid w:val="678B3F0E"/>
    <w:rsid w:val="678C0773"/>
    <w:rsid w:val="678E44EB"/>
    <w:rsid w:val="678E4BAE"/>
    <w:rsid w:val="67931B01"/>
    <w:rsid w:val="679A4CE3"/>
    <w:rsid w:val="67A20C6B"/>
    <w:rsid w:val="67B37AAD"/>
    <w:rsid w:val="67B61DED"/>
    <w:rsid w:val="67C15162"/>
    <w:rsid w:val="67C223E6"/>
    <w:rsid w:val="67C33293"/>
    <w:rsid w:val="67CA4DF7"/>
    <w:rsid w:val="67CC581F"/>
    <w:rsid w:val="67D11FB9"/>
    <w:rsid w:val="67DB7004"/>
    <w:rsid w:val="67DE7DF9"/>
    <w:rsid w:val="67DF779B"/>
    <w:rsid w:val="67E96CAF"/>
    <w:rsid w:val="67F847A0"/>
    <w:rsid w:val="6801543E"/>
    <w:rsid w:val="68017DFD"/>
    <w:rsid w:val="68077DF9"/>
    <w:rsid w:val="680B1697"/>
    <w:rsid w:val="680D3662"/>
    <w:rsid w:val="68190258"/>
    <w:rsid w:val="681C5653"/>
    <w:rsid w:val="681D13CB"/>
    <w:rsid w:val="681D2EC5"/>
    <w:rsid w:val="681F6961"/>
    <w:rsid w:val="682B1D3A"/>
    <w:rsid w:val="682E6809"/>
    <w:rsid w:val="68391B61"/>
    <w:rsid w:val="683E6A34"/>
    <w:rsid w:val="68442FC0"/>
    <w:rsid w:val="6847783C"/>
    <w:rsid w:val="68610A2F"/>
    <w:rsid w:val="68694610"/>
    <w:rsid w:val="686F6420"/>
    <w:rsid w:val="687027DA"/>
    <w:rsid w:val="687F1EA1"/>
    <w:rsid w:val="68805514"/>
    <w:rsid w:val="68825161"/>
    <w:rsid w:val="6884144A"/>
    <w:rsid w:val="68906041"/>
    <w:rsid w:val="6893126F"/>
    <w:rsid w:val="68945B31"/>
    <w:rsid w:val="689A03B4"/>
    <w:rsid w:val="689D114C"/>
    <w:rsid w:val="68A11FFC"/>
    <w:rsid w:val="68A32A99"/>
    <w:rsid w:val="68A839E0"/>
    <w:rsid w:val="68C36F73"/>
    <w:rsid w:val="68E670E3"/>
    <w:rsid w:val="68E7323C"/>
    <w:rsid w:val="68EA23FF"/>
    <w:rsid w:val="68EA39A3"/>
    <w:rsid w:val="68EB2872"/>
    <w:rsid w:val="68FC7DD4"/>
    <w:rsid w:val="68FE11FC"/>
    <w:rsid w:val="690111C8"/>
    <w:rsid w:val="69083E29"/>
    <w:rsid w:val="69126A56"/>
    <w:rsid w:val="691420B0"/>
    <w:rsid w:val="69143BC8"/>
    <w:rsid w:val="69180510"/>
    <w:rsid w:val="691F0BAC"/>
    <w:rsid w:val="69211290"/>
    <w:rsid w:val="69232A11"/>
    <w:rsid w:val="692A5604"/>
    <w:rsid w:val="693374BF"/>
    <w:rsid w:val="69361323"/>
    <w:rsid w:val="69390486"/>
    <w:rsid w:val="69416E65"/>
    <w:rsid w:val="694D5CE0"/>
    <w:rsid w:val="694E2071"/>
    <w:rsid w:val="6957380C"/>
    <w:rsid w:val="69685689"/>
    <w:rsid w:val="696C3AD2"/>
    <w:rsid w:val="696E17E8"/>
    <w:rsid w:val="69790883"/>
    <w:rsid w:val="697A3B33"/>
    <w:rsid w:val="697B04CD"/>
    <w:rsid w:val="697B284D"/>
    <w:rsid w:val="69882A4E"/>
    <w:rsid w:val="698A0CE2"/>
    <w:rsid w:val="699C2C92"/>
    <w:rsid w:val="699E2456"/>
    <w:rsid w:val="699F478D"/>
    <w:rsid w:val="69AC0557"/>
    <w:rsid w:val="69BC4D21"/>
    <w:rsid w:val="69C73CE4"/>
    <w:rsid w:val="69C75A92"/>
    <w:rsid w:val="69CD70E5"/>
    <w:rsid w:val="69D02B99"/>
    <w:rsid w:val="69DA57C5"/>
    <w:rsid w:val="69DA7573"/>
    <w:rsid w:val="69DC008B"/>
    <w:rsid w:val="69E3507C"/>
    <w:rsid w:val="69E623BC"/>
    <w:rsid w:val="69F0218A"/>
    <w:rsid w:val="69F148BD"/>
    <w:rsid w:val="69F27977"/>
    <w:rsid w:val="69F73D8C"/>
    <w:rsid w:val="69FF522C"/>
    <w:rsid w:val="6A0171F6"/>
    <w:rsid w:val="6A0462BC"/>
    <w:rsid w:val="6A072332"/>
    <w:rsid w:val="6A1011E7"/>
    <w:rsid w:val="6A243CED"/>
    <w:rsid w:val="6A292C42"/>
    <w:rsid w:val="6A314603"/>
    <w:rsid w:val="6A3F1ACC"/>
    <w:rsid w:val="6A456103"/>
    <w:rsid w:val="6A46732F"/>
    <w:rsid w:val="6A474B69"/>
    <w:rsid w:val="6A4B6C28"/>
    <w:rsid w:val="6A535730"/>
    <w:rsid w:val="6A550E2D"/>
    <w:rsid w:val="6A58616D"/>
    <w:rsid w:val="6A5D1F52"/>
    <w:rsid w:val="6A6041B6"/>
    <w:rsid w:val="6A6214F7"/>
    <w:rsid w:val="6A655780"/>
    <w:rsid w:val="6A6A5F36"/>
    <w:rsid w:val="6A745C1A"/>
    <w:rsid w:val="6A7C062B"/>
    <w:rsid w:val="6A7F636D"/>
    <w:rsid w:val="6A821E08"/>
    <w:rsid w:val="6A8233D8"/>
    <w:rsid w:val="6A843983"/>
    <w:rsid w:val="6A8A46FA"/>
    <w:rsid w:val="6A954942"/>
    <w:rsid w:val="6A975E28"/>
    <w:rsid w:val="6A99066F"/>
    <w:rsid w:val="6A9C1068"/>
    <w:rsid w:val="6AA162E3"/>
    <w:rsid w:val="6AA53A72"/>
    <w:rsid w:val="6AA62270"/>
    <w:rsid w:val="6ABA55F7"/>
    <w:rsid w:val="6ABC4ECB"/>
    <w:rsid w:val="6AC60AB1"/>
    <w:rsid w:val="6AD24DD2"/>
    <w:rsid w:val="6AD724C5"/>
    <w:rsid w:val="6AD77F57"/>
    <w:rsid w:val="6AE658A0"/>
    <w:rsid w:val="6AE85CC0"/>
    <w:rsid w:val="6AEA51E8"/>
    <w:rsid w:val="6AED32D6"/>
    <w:rsid w:val="6AED636A"/>
    <w:rsid w:val="6AEE7819"/>
    <w:rsid w:val="6AF91C7B"/>
    <w:rsid w:val="6AFD00C0"/>
    <w:rsid w:val="6AFE54E3"/>
    <w:rsid w:val="6B00125C"/>
    <w:rsid w:val="6B047EB9"/>
    <w:rsid w:val="6B062E76"/>
    <w:rsid w:val="6B064398"/>
    <w:rsid w:val="6B093EBB"/>
    <w:rsid w:val="6B0C7675"/>
    <w:rsid w:val="6B127FC3"/>
    <w:rsid w:val="6B161E7E"/>
    <w:rsid w:val="6B2777CA"/>
    <w:rsid w:val="6B2809F7"/>
    <w:rsid w:val="6B322639"/>
    <w:rsid w:val="6B324E30"/>
    <w:rsid w:val="6B327526"/>
    <w:rsid w:val="6B386AC8"/>
    <w:rsid w:val="6B3D425E"/>
    <w:rsid w:val="6B7319FF"/>
    <w:rsid w:val="6B761553"/>
    <w:rsid w:val="6B805CF4"/>
    <w:rsid w:val="6B86481B"/>
    <w:rsid w:val="6B92192A"/>
    <w:rsid w:val="6BA22313"/>
    <w:rsid w:val="6BA47A5A"/>
    <w:rsid w:val="6BAC4F3F"/>
    <w:rsid w:val="6BAE7FDD"/>
    <w:rsid w:val="6BAF2C82"/>
    <w:rsid w:val="6BB071F7"/>
    <w:rsid w:val="6BB07340"/>
    <w:rsid w:val="6BB97D35"/>
    <w:rsid w:val="6BC26511"/>
    <w:rsid w:val="6BC32EA7"/>
    <w:rsid w:val="6BC4672D"/>
    <w:rsid w:val="6BCC08CF"/>
    <w:rsid w:val="6BCC79D0"/>
    <w:rsid w:val="6BD11C59"/>
    <w:rsid w:val="6BD21C09"/>
    <w:rsid w:val="6BD66460"/>
    <w:rsid w:val="6BDD4604"/>
    <w:rsid w:val="6BE15B5F"/>
    <w:rsid w:val="6BE26BB3"/>
    <w:rsid w:val="6BE64B4B"/>
    <w:rsid w:val="6BEA5A68"/>
    <w:rsid w:val="6BFA3EFD"/>
    <w:rsid w:val="6C010FC2"/>
    <w:rsid w:val="6C0259A7"/>
    <w:rsid w:val="6C032026"/>
    <w:rsid w:val="6C0E7680"/>
    <w:rsid w:val="6C122674"/>
    <w:rsid w:val="6C1438A5"/>
    <w:rsid w:val="6C1D218E"/>
    <w:rsid w:val="6C2023AB"/>
    <w:rsid w:val="6C215EC8"/>
    <w:rsid w:val="6C2170AC"/>
    <w:rsid w:val="6C230435"/>
    <w:rsid w:val="6C266360"/>
    <w:rsid w:val="6C283E6B"/>
    <w:rsid w:val="6C335661"/>
    <w:rsid w:val="6C3373D5"/>
    <w:rsid w:val="6C3867D3"/>
    <w:rsid w:val="6C427652"/>
    <w:rsid w:val="6C523DBB"/>
    <w:rsid w:val="6C5506B8"/>
    <w:rsid w:val="6C636C38"/>
    <w:rsid w:val="6C6B0957"/>
    <w:rsid w:val="6C6D56F0"/>
    <w:rsid w:val="6C7041BF"/>
    <w:rsid w:val="6C71135B"/>
    <w:rsid w:val="6C827E52"/>
    <w:rsid w:val="6C8529C6"/>
    <w:rsid w:val="6C871D57"/>
    <w:rsid w:val="6CAB5063"/>
    <w:rsid w:val="6CB87F02"/>
    <w:rsid w:val="6CBE13CE"/>
    <w:rsid w:val="6CBF5C80"/>
    <w:rsid w:val="6CC30793"/>
    <w:rsid w:val="6CD10672"/>
    <w:rsid w:val="6CD84180"/>
    <w:rsid w:val="6CDA59FA"/>
    <w:rsid w:val="6CDA6CF7"/>
    <w:rsid w:val="6CDB7A74"/>
    <w:rsid w:val="6CE00CF9"/>
    <w:rsid w:val="6CE40709"/>
    <w:rsid w:val="6CE835CD"/>
    <w:rsid w:val="6CED29D8"/>
    <w:rsid w:val="6CF6048C"/>
    <w:rsid w:val="6D036543"/>
    <w:rsid w:val="6D0B2EBC"/>
    <w:rsid w:val="6D0D7C60"/>
    <w:rsid w:val="6D172D2D"/>
    <w:rsid w:val="6D1843BC"/>
    <w:rsid w:val="6D2B1638"/>
    <w:rsid w:val="6D360AF8"/>
    <w:rsid w:val="6D387AF8"/>
    <w:rsid w:val="6D3B47CD"/>
    <w:rsid w:val="6D3C191E"/>
    <w:rsid w:val="6D4B2536"/>
    <w:rsid w:val="6D5936E5"/>
    <w:rsid w:val="6D623E6C"/>
    <w:rsid w:val="6D651C53"/>
    <w:rsid w:val="6D656ABB"/>
    <w:rsid w:val="6D756A1A"/>
    <w:rsid w:val="6D761CA9"/>
    <w:rsid w:val="6D786628"/>
    <w:rsid w:val="6D7B37D5"/>
    <w:rsid w:val="6D885538"/>
    <w:rsid w:val="6D895BE1"/>
    <w:rsid w:val="6D9C15C5"/>
    <w:rsid w:val="6DAD09ED"/>
    <w:rsid w:val="6DAE1443"/>
    <w:rsid w:val="6DAF6AD4"/>
    <w:rsid w:val="6DB34098"/>
    <w:rsid w:val="6DB4632D"/>
    <w:rsid w:val="6DB545B6"/>
    <w:rsid w:val="6DBC66BE"/>
    <w:rsid w:val="6DCB45E0"/>
    <w:rsid w:val="6DCC4FA4"/>
    <w:rsid w:val="6DCD6299"/>
    <w:rsid w:val="6DD40BA8"/>
    <w:rsid w:val="6DD81447"/>
    <w:rsid w:val="6DE24C48"/>
    <w:rsid w:val="6DE85FD7"/>
    <w:rsid w:val="6DEE6B99"/>
    <w:rsid w:val="6DFF3A4C"/>
    <w:rsid w:val="6E005B27"/>
    <w:rsid w:val="6E1C213A"/>
    <w:rsid w:val="6E222A47"/>
    <w:rsid w:val="6E273271"/>
    <w:rsid w:val="6E2F5A13"/>
    <w:rsid w:val="6E342070"/>
    <w:rsid w:val="6E417B62"/>
    <w:rsid w:val="6E427DDD"/>
    <w:rsid w:val="6E4375A0"/>
    <w:rsid w:val="6E4A7212"/>
    <w:rsid w:val="6E4C70CF"/>
    <w:rsid w:val="6E511DCE"/>
    <w:rsid w:val="6E514CED"/>
    <w:rsid w:val="6E5813AF"/>
    <w:rsid w:val="6E5A194C"/>
    <w:rsid w:val="6E6049DA"/>
    <w:rsid w:val="6E6921EE"/>
    <w:rsid w:val="6E6B10E2"/>
    <w:rsid w:val="6E755883"/>
    <w:rsid w:val="6E755ABD"/>
    <w:rsid w:val="6E79491A"/>
    <w:rsid w:val="6E7B20BD"/>
    <w:rsid w:val="6E7E0EBD"/>
    <w:rsid w:val="6E8201DA"/>
    <w:rsid w:val="6E861264"/>
    <w:rsid w:val="6E893D2D"/>
    <w:rsid w:val="6E8C1058"/>
    <w:rsid w:val="6E9107EC"/>
    <w:rsid w:val="6E91736A"/>
    <w:rsid w:val="6EAE7330"/>
    <w:rsid w:val="6EB1510F"/>
    <w:rsid w:val="6EB563D5"/>
    <w:rsid w:val="6EB61D75"/>
    <w:rsid w:val="6EBC10DE"/>
    <w:rsid w:val="6EBD5298"/>
    <w:rsid w:val="6EBF0585"/>
    <w:rsid w:val="6EC60514"/>
    <w:rsid w:val="6ECB7690"/>
    <w:rsid w:val="6ED00F45"/>
    <w:rsid w:val="6ED3115B"/>
    <w:rsid w:val="6ED41631"/>
    <w:rsid w:val="6ED65EF4"/>
    <w:rsid w:val="6EEF1D13"/>
    <w:rsid w:val="6EF410D7"/>
    <w:rsid w:val="6EF93024"/>
    <w:rsid w:val="6F105223"/>
    <w:rsid w:val="6F1275B9"/>
    <w:rsid w:val="6F131A93"/>
    <w:rsid w:val="6F143527"/>
    <w:rsid w:val="6F173018"/>
    <w:rsid w:val="6F180B5B"/>
    <w:rsid w:val="6F186F95"/>
    <w:rsid w:val="6F1E6B9B"/>
    <w:rsid w:val="6F1F65C5"/>
    <w:rsid w:val="6F225983"/>
    <w:rsid w:val="6F2B6AC3"/>
    <w:rsid w:val="6F332872"/>
    <w:rsid w:val="6F372DB8"/>
    <w:rsid w:val="6F3C2A7E"/>
    <w:rsid w:val="6F3E05A4"/>
    <w:rsid w:val="6F4F0E28"/>
    <w:rsid w:val="6F521BDC"/>
    <w:rsid w:val="6F541635"/>
    <w:rsid w:val="6F59724A"/>
    <w:rsid w:val="6F5F7406"/>
    <w:rsid w:val="6F614293"/>
    <w:rsid w:val="6F731C91"/>
    <w:rsid w:val="6F754429"/>
    <w:rsid w:val="6F765F90"/>
    <w:rsid w:val="6F7771F4"/>
    <w:rsid w:val="6F814E85"/>
    <w:rsid w:val="6F8226A0"/>
    <w:rsid w:val="6F83245B"/>
    <w:rsid w:val="6F883C90"/>
    <w:rsid w:val="6F946416"/>
    <w:rsid w:val="6F992AFB"/>
    <w:rsid w:val="6F9C22E6"/>
    <w:rsid w:val="6F9C7557"/>
    <w:rsid w:val="6F9D176F"/>
    <w:rsid w:val="6FA42376"/>
    <w:rsid w:val="6FAA5956"/>
    <w:rsid w:val="6FB17903"/>
    <w:rsid w:val="6FB678FF"/>
    <w:rsid w:val="6FC52A74"/>
    <w:rsid w:val="6FC735D0"/>
    <w:rsid w:val="6FCC28A2"/>
    <w:rsid w:val="6FCC5BB0"/>
    <w:rsid w:val="6FCD36D6"/>
    <w:rsid w:val="6FD3454E"/>
    <w:rsid w:val="6FD978F8"/>
    <w:rsid w:val="6FE3114C"/>
    <w:rsid w:val="6FE42A11"/>
    <w:rsid w:val="6FE5761E"/>
    <w:rsid w:val="6FE82E29"/>
    <w:rsid w:val="6FFC5590"/>
    <w:rsid w:val="6FFF6CEB"/>
    <w:rsid w:val="7000707A"/>
    <w:rsid w:val="70054F7D"/>
    <w:rsid w:val="70195142"/>
    <w:rsid w:val="70295AE7"/>
    <w:rsid w:val="702B621B"/>
    <w:rsid w:val="70301DA3"/>
    <w:rsid w:val="70344520"/>
    <w:rsid w:val="703A1840"/>
    <w:rsid w:val="703E4332"/>
    <w:rsid w:val="70454A52"/>
    <w:rsid w:val="706D1DD0"/>
    <w:rsid w:val="707149AA"/>
    <w:rsid w:val="70757FF6"/>
    <w:rsid w:val="707C2386"/>
    <w:rsid w:val="70847D67"/>
    <w:rsid w:val="70856B87"/>
    <w:rsid w:val="708B5A6B"/>
    <w:rsid w:val="70904A2D"/>
    <w:rsid w:val="70963DA4"/>
    <w:rsid w:val="709A7A5C"/>
    <w:rsid w:val="70A1528F"/>
    <w:rsid w:val="70AB1F62"/>
    <w:rsid w:val="70B66FE3"/>
    <w:rsid w:val="70B86135"/>
    <w:rsid w:val="70BA0DD5"/>
    <w:rsid w:val="70BD03E1"/>
    <w:rsid w:val="70BD7BEF"/>
    <w:rsid w:val="70BF34FB"/>
    <w:rsid w:val="70C10E2B"/>
    <w:rsid w:val="70D527EE"/>
    <w:rsid w:val="70E0620F"/>
    <w:rsid w:val="70E35D76"/>
    <w:rsid w:val="70E457D7"/>
    <w:rsid w:val="70E504DB"/>
    <w:rsid w:val="70EB662F"/>
    <w:rsid w:val="70ED125D"/>
    <w:rsid w:val="70F01D72"/>
    <w:rsid w:val="70F133F4"/>
    <w:rsid w:val="70F76C5D"/>
    <w:rsid w:val="70FF1FB5"/>
    <w:rsid w:val="71080E6A"/>
    <w:rsid w:val="71175551"/>
    <w:rsid w:val="711E68DF"/>
    <w:rsid w:val="712254E0"/>
    <w:rsid w:val="712F177E"/>
    <w:rsid w:val="712F44E2"/>
    <w:rsid w:val="71306613"/>
    <w:rsid w:val="713367C2"/>
    <w:rsid w:val="71347EB1"/>
    <w:rsid w:val="71357785"/>
    <w:rsid w:val="7148570A"/>
    <w:rsid w:val="71546E64"/>
    <w:rsid w:val="715776FB"/>
    <w:rsid w:val="71595B19"/>
    <w:rsid w:val="715B5300"/>
    <w:rsid w:val="715F4BD7"/>
    <w:rsid w:val="7165594D"/>
    <w:rsid w:val="71715444"/>
    <w:rsid w:val="71804EA4"/>
    <w:rsid w:val="71880AA7"/>
    <w:rsid w:val="718910FE"/>
    <w:rsid w:val="71895209"/>
    <w:rsid w:val="718A1508"/>
    <w:rsid w:val="718B1CD9"/>
    <w:rsid w:val="719170B1"/>
    <w:rsid w:val="71987BA6"/>
    <w:rsid w:val="719A7A03"/>
    <w:rsid w:val="719D1D62"/>
    <w:rsid w:val="71A65DB6"/>
    <w:rsid w:val="71AD37BF"/>
    <w:rsid w:val="71B3323C"/>
    <w:rsid w:val="71B704E7"/>
    <w:rsid w:val="71BA7C8A"/>
    <w:rsid w:val="71BE75C9"/>
    <w:rsid w:val="71C50B09"/>
    <w:rsid w:val="71CC3003"/>
    <w:rsid w:val="71D23226"/>
    <w:rsid w:val="71D27F8A"/>
    <w:rsid w:val="71E23339"/>
    <w:rsid w:val="71E371E1"/>
    <w:rsid w:val="71E76CD1"/>
    <w:rsid w:val="71E9058B"/>
    <w:rsid w:val="71F744C6"/>
    <w:rsid w:val="71F960CF"/>
    <w:rsid w:val="71FE04BF"/>
    <w:rsid w:val="720151DD"/>
    <w:rsid w:val="720529AA"/>
    <w:rsid w:val="721F3B44"/>
    <w:rsid w:val="722176D0"/>
    <w:rsid w:val="7222732A"/>
    <w:rsid w:val="72247F25"/>
    <w:rsid w:val="722B10B6"/>
    <w:rsid w:val="722B216D"/>
    <w:rsid w:val="722E4900"/>
    <w:rsid w:val="72311867"/>
    <w:rsid w:val="723A65E9"/>
    <w:rsid w:val="724831DC"/>
    <w:rsid w:val="724B282A"/>
    <w:rsid w:val="724E4FA2"/>
    <w:rsid w:val="7251239D"/>
    <w:rsid w:val="7257687B"/>
    <w:rsid w:val="726A7F45"/>
    <w:rsid w:val="72750781"/>
    <w:rsid w:val="727A0E5E"/>
    <w:rsid w:val="727B1B10"/>
    <w:rsid w:val="7280121E"/>
    <w:rsid w:val="72850298"/>
    <w:rsid w:val="72930C07"/>
    <w:rsid w:val="72957448"/>
    <w:rsid w:val="729E12ED"/>
    <w:rsid w:val="72A11576"/>
    <w:rsid w:val="72A24B02"/>
    <w:rsid w:val="72A2659A"/>
    <w:rsid w:val="72A42E14"/>
    <w:rsid w:val="72AA51D3"/>
    <w:rsid w:val="72AD0658"/>
    <w:rsid w:val="72BD7FE1"/>
    <w:rsid w:val="72C55F79"/>
    <w:rsid w:val="72CC5EC7"/>
    <w:rsid w:val="72D134DE"/>
    <w:rsid w:val="72D74F98"/>
    <w:rsid w:val="72DA05E4"/>
    <w:rsid w:val="72DA5AE5"/>
    <w:rsid w:val="72DA6836"/>
    <w:rsid w:val="72DB435C"/>
    <w:rsid w:val="72DD5DFE"/>
    <w:rsid w:val="72E64ED9"/>
    <w:rsid w:val="72F0605A"/>
    <w:rsid w:val="72F22AAA"/>
    <w:rsid w:val="72F316A6"/>
    <w:rsid w:val="72F5459D"/>
    <w:rsid w:val="72FC6EDD"/>
    <w:rsid w:val="730A04A8"/>
    <w:rsid w:val="730A1909"/>
    <w:rsid w:val="731955B0"/>
    <w:rsid w:val="731C562A"/>
    <w:rsid w:val="731D226F"/>
    <w:rsid w:val="731F5D5E"/>
    <w:rsid w:val="7320549F"/>
    <w:rsid w:val="733F2B3D"/>
    <w:rsid w:val="73422CFE"/>
    <w:rsid w:val="7344489A"/>
    <w:rsid w:val="73494671"/>
    <w:rsid w:val="7352385D"/>
    <w:rsid w:val="73524900"/>
    <w:rsid w:val="73591E51"/>
    <w:rsid w:val="7359343D"/>
    <w:rsid w:val="735A34D3"/>
    <w:rsid w:val="735C6276"/>
    <w:rsid w:val="737A2DF5"/>
    <w:rsid w:val="737C3123"/>
    <w:rsid w:val="737D00DE"/>
    <w:rsid w:val="73843959"/>
    <w:rsid w:val="73916BA0"/>
    <w:rsid w:val="73944C37"/>
    <w:rsid w:val="73951641"/>
    <w:rsid w:val="739C2B93"/>
    <w:rsid w:val="73A3131E"/>
    <w:rsid w:val="73B00889"/>
    <w:rsid w:val="73B21D1D"/>
    <w:rsid w:val="73C66DBA"/>
    <w:rsid w:val="73C974CB"/>
    <w:rsid w:val="73D7774A"/>
    <w:rsid w:val="73DA313D"/>
    <w:rsid w:val="73DB1FDC"/>
    <w:rsid w:val="73DB55DA"/>
    <w:rsid w:val="73DF4EE8"/>
    <w:rsid w:val="73E86369"/>
    <w:rsid w:val="73EC02FC"/>
    <w:rsid w:val="73EF2E34"/>
    <w:rsid w:val="73F12089"/>
    <w:rsid w:val="73F41B79"/>
    <w:rsid w:val="73F43927"/>
    <w:rsid w:val="73FA17DB"/>
    <w:rsid w:val="740851F6"/>
    <w:rsid w:val="740D7491"/>
    <w:rsid w:val="740D76E6"/>
    <w:rsid w:val="740E286F"/>
    <w:rsid w:val="740F3B71"/>
    <w:rsid w:val="741144D9"/>
    <w:rsid w:val="741470A6"/>
    <w:rsid w:val="741531EB"/>
    <w:rsid w:val="741555D7"/>
    <w:rsid w:val="74181EC3"/>
    <w:rsid w:val="74192C1B"/>
    <w:rsid w:val="7419338E"/>
    <w:rsid w:val="741A56CB"/>
    <w:rsid w:val="741C4C2C"/>
    <w:rsid w:val="741E793C"/>
    <w:rsid w:val="74220495"/>
    <w:rsid w:val="743106D8"/>
    <w:rsid w:val="74374CAA"/>
    <w:rsid w:val="743E1ACB"/>
    <w:rsid w:val="74407DDC"/>
    <w:rsid w:val="74473ED2"/>
    <w:rsid w:val="7447614D"/>
    <w:rsid w:val="744A79EB"/>
    <w:rsid w:val="744C72C0"/>
    <w:rsid w:val="744D665D"/>
    <w:rsid w:val="74507FAE"/>
    <w:rsid w:val="74510D7A"/>
    <w:rsid w:val="745813FD"/>
    <w:rsid w:val="745A3337"/>
    <w:rsid w:val="745A4046"/>
    <w:rsid w:val="74604B19"/>
    <w:rsid w:val="7463596B"/>
    <w:rsid w:val="74755F58"/>
    <w:rsid w:val="7476236C"/>
    <w:rsid w:val="747F5ADE"/>
    <w:rsid w:val="748051BB"/>
    <w:rsid w:val="74810004"/>
    <w:rsid w:val="74816771"/>
    <w:rsid w:val="748702F8"/>
    <w:rsid w:val="748A603A"/>
    <w:rsid w:val="748B56E1"/>
    <w:rsid w:val="748C1DB2"/>
    <w:rsid w:val="748E78D8"/>
    <w:rsid w:val="74994592"/>
    <w:rsid w:val="749F6192"/>
    <w:rsid w:val="74A76BEC"/>
    <w:rsid w:val="74AA2238"/>
    <w:rsid w:val="74B575A8"/>
    <w:rsid w:val="74B86703"/>
    <w:rsid w:val="74BA7465"/>
    <w:rsid w:val="74BB61F3"/>
    <w:rsid w:val="74C70437"/>
    <w:rsid w:val="74CC0F03"/>
    <w:rsid w:val="74D215AD"/>
    <w:rsid w:val="74D77C10"/>
    <w:rsid w:val="74D91B1C"/>
    <w:rsid w:val="74DA2B1D"/>
    <w:rsid w:val="74DB402B"/>
    <w:rsid w:val="74E27C24"/>
    <w:rsid w:val="74F17E67"/>
    <w:rsid w:val="74F636CF"/>
    <w:rsid w:val="74F8199A"/>
    <w:rsid w:val="74FA124A"/>
    <w:rsid w:val="74FD4A5E"/>
    <w:rsid w:val="7505750C"/>
    <w:rsid w:val="750733DF"/>
    <w:rsid w:val="75083F0D"/>
    <w:rsid w:val="75095D15"/>
    <w:rsid w:val="750B689D"/>
    <w:rsid w:val="750F60B4"/>
    <w:rsid w:val="75117733"/>
    <w:rsid w:val="75153B55"/>
    <w:rsid w:val="751E2F9C"/>
    <w:rsid w:val="7524023C"/>
    <w:rsid w:val="752761A6"/>
    <w:rsid w:val="75280003"/>
    <w:rsid w:val="752E10BB"/>
    <w:rsid w:val="7530098F"/>
    <w:rsid w:val="7530273D"/>
    <w:rsid w:val="753132E3"/>
    <w:rsid w:val="753903FB"/>
    <w:rsid w:val="753C6873"/>
    <w:rsid w:val="75443772"/>
    <w:rsid w:val="75542A4A"/>
    <w:rsid w:val="75580AC2"/>
    <w:rsid w:val="755B3590"/>
    <w:rsid w:val="75602C9C"/>
    <w:rsid w:val="75754674"/>
    <w:rsid w:val="757708EF"/>
    <w:rsid w:val="757A44EF"/>
    <w:rsid w:val="758961FA"/>
    <w:rsid w:val="758D75E2"/>
    <w:rsid w:val="75954C96"/>
    <w:rsid w:val="759F5B15"/>
    <w:rsid w:val="75A60C51"/>
    <w:rsid w:val="75B017A7"/>
    <w:rsid w:val="75B52937"/>
    <w:rsid w:val="75B72E5F"/>
    <w:rsid w:val="75BB5EC9"/>
    <w:rsid w:val="75C158D0"/>
    <w:rsid w:val="75D17819"/>
    <w:rsid w:val="75D34297"/>
    <w:rsid w:val="75DF4163"/>
    <w:rsid w:val="75E43DD4"/>
    <w:rsid w:val="75F82A87"/>
    <w:rsid w:val="760B5F55"/>
    <w:rsid w:val="760C0EA2"/>
    <w:rsid w:val="76117FED"/>
    <w:rsid w:val="76120F31"/>
    <w:rsid w:val="761B33ED"/>
    <w:rsid w:val="76242EF1"/>
    <w:rsid w:val="762776A0"/>
    <w:rsid w:val="762C285C"/>
    <w:rsid w:val="762D3D59"/>
    <w:rsid w:val="762E7A26"/>
    <w:rsid w:val="762F11BB"/>
    <w:rsid w:val="76326989"/>
    <w:rsid w:val="76373F9F"/>
    <w:rsid w:val="76377AFB"/>
    <w:rsid w:val="763B3A90"/>
    <w:rsid w:val="76414B86"/>
    <w:rsid w:val="764D731F"/>
    <w:rsid w:val="764E47FD"/>
    <w:rsid w:val="76512074"/>
    <w:rsid w:val="765329A3"/>
    <w:rsid w:val="765F2447"/>
    <w:rsid w:val="766034F6"/>
    <w:rsid w:val="76636844"/>
    <w:rsid w:val="766A03FA"/>
    <w:rsid w:val="76786CE3"/>
    <w:rsid w:val="767D5E56"/>
    <w:rsid w:val="76860257"/>
    <w:rsid w:val="768A40CF"/>
    <w:rsid w:val="768B39A6"/>
    <w:rsid w:val="768D5752"/>
    <w:rsid w:val="768F16E6"/>
    <w:rsid w:val="769343FB"/>
    <w:rsid w:val="76946DC2"/>
    <w:rsid w:val="76A07565"/>
    <w:rsid w:val="76A21E7B"/>
    <w:rsid w:val="76A41725"/>
    <w:rsid w:val="76AF7143"/>
    <w:rsid w:val="76B46433"/>
    <w:rsid w:val="76B571BE"/>
    <w:rsid w:val="76C020F0"/>
    <w:rsid w:val="76CB442E"/>
    <w:rsid w:val="76D05991"/>
    <w:rsid w:val="76D2511D"/>
    <w:rsid w:val="76D65566"/>
    <w:rsid w:val="76D6594B"/>
    <w:rsid w:val="76D71E86"/>
    <w:rsid w:val="76DA5057"/>
    <w:rsid w:val="76E17798"/>
    <w:rsid w:val="76F66FC9"/>
    <w:rsid w:val="770C71DA"/>
    <w:rsid w:val="770E0EFA"/>
    <w:rsid w:val="77145ED7"/>
    <w:rsid w:val="772054B7"/>
    <w:rsid w:val="7725204A"/>
    <w:rsid w:val="772E3662"/>
    <w:rsid w:val="773A5458"/>
    <w:rsid w:val="773E57F5"/>
    <w:rsid w:val="773F4EBA"/>
    <w:rsid w:val="775D2EE9"/>
    <w:rsid w:val="775E5C88"/>
    <w:rsid w:val="7760272F"/>
    <w:rsid w:val="77617526"/>
    <w:rsid w:val="77646FD5"/>
    <w:rsid w:val="77762421"/>
    <w:rsid w:val="777F5BFE"/>
    <w:rsid w:val="778431D3"/>
    <w:rsid w:val="77876861"/>
    <w:rsid w:val="778C0D1F"/>
    <w:rsid w:val="778E0C86"/>
    <w:rsid w:val="779A30DE"/>
    <w:rsid w:val="779B73FF"/>
    <w:rsid w:val="779E42D6"/>
    <w:rsid w:val="77A967D7"/>
    <w:rsid w:val="77AF524D"/>
    <w:rsid w:val="77BE04D4"/>
    <w:rsid w:val="77C33D3D"/>
    <w:rsid w:val="77C7038B"/>
    <w:rsid w:val="77D1011A"/>
    <w:rsid w:val="77E6212B"/>
    <w:rsid w:val="77EE1B86"/>
    <w:rsid w:val="78011BBD"/>
    <w:rsid w:val="780271FE"/>
    <w:rsid w:val="780D3EB3"/>
    <w:rsid w:val="780F09F4"/>
    <w:rsid w:val="781D5E34"/>
    <w:rsid w:val="78454752"/>
    <w:rsid w:val="78463590"/>
    <w:rsid w:val="7847551F"/>
    <w:rsid w:val="78477E4F"/>
    <w:rsid w:val="784B7F0F"/>
    <w:rsid w:val="784C3D32"/>
    <w:rsid w:val="784E2D88"/>
    <w:rsid w:val="78520C1D"/>
    <w:rsid w:val="78564BB1"/>
    <w:rsid w:val="785D4310"/>
    <w:rsid w:val="785E75C1"/>
    <w:rsid w:val="78610BD4"/>
    <w:rsid w:val="78714FEE"/>
    <w:rsid w:val="78716C80"/>
    <w:rsid w:val="787C539F"/>
    <w:rsid w:val="78882E03"/>
    <w:rsid w:val="78906356"/>
    <w:rsid w:val="78917997"/>
    <w:rsid w:val="78961451"/>
    <w:rsid w:val="7899684C"/>
    <w:rsid w:val="789B3C40"/>
    <w:rsid w:val="789C4F47"/>
    <w:rsid w:val="78A07BDA"/>
    <w:rsid w:val="78A12D80"/>
    <w:rsid w:val="78A5383E"/>
    <w:rsid w:val="78A618F7"/>
    <w:rsid w:val="78A90480"/>
    <w:rsid w:val="78A94A54"/>
    <w:rsid w:val="78B57C75"/>
    <w:rsid w:val="78BB4A14"/>
    <w:rsid w:val="78BE62B2"/>
    <w:rsid w:val="78C7160B"/>
    <w:rsid w:val="78CF16E4"/>
    <w:rsid w:val="78D0113A"/>
    <w:rsid w:val="78D02D62"/>
    <w:rsid w:val="78D1018A"/>
    <w:rsid w:val="78DA7590"/>
    <w:rsid w:val="78E57186"/>
    <w:rsid w:val="78E81581"/>
    <w:rsid w:val="78FB5823"/>
    <w:rsid w:val="78FD502C"/>
    <w:rsid w:val="78FF20EC"/>
    <w:rsid w:val="790463BB"/>
    <w:rsid w:val="790A3368"/>
    <w:rsid w:val="790C34C1"/>
    <w:rsid w:val="79124A15"/>
    <w:rsid w:val="79140577"/>
    <w:rsid w:val="79156227"/>
    <w:rsid w:val="79160290"/>
    <w:rsid w:val="79164E8D"/>
    <w:rsid w:val="791757D6"/>
    <w:rsid w:val="791E3D49"/>
    <w:rsid w:val="791F3EF0"/>
    <w:rsid w:val="79246A5D"/>
    <w:rsid w:val="79270455"/>
    <w:rsid w:val="792C5912"/>
    <w:rsid w:val="793B612E"/>
    <w:rsid w:val="793D7B1F"/>
    <w:rsid w:val="79443BE8"/>
    <w:rsid w:val="79532625"/>
    <w:rsid w:val="7963404D"/>
    <w:rsid w:val="796706F8"/>
    <w:rsid w:val="796B38FC"/>
    <w:rsid w:val="796D45E5"/>
    <w:rsid w:val="797B484A"/>
    <w:rsid w:val="797D29BA"/>
    <w:rsid w:val="797F0137"/>
    <w:rsid w:val="79807AF4"/>
    <w:rsid w:val="79811327"/>
    <w:rsid w:val="79856DD0"/>
    <w:rsid w:val="798B1341"/>
    <w:rsid w:val="799139C7"/>
    <w:rsid w:val="79913C1E"/>
    <w:rsid w:val="79927E6B"/>
    <w:rsid w:val="79974007"/>
    <w:rsid w:val="79A951B4"/>
    <w:rsid w:val="79AE22A9"/>
    <w:rsid w:val="79B056D2"/>
    <w:rsid w:val="79C33873"/>
    <w:rsid w:val="79C478F8"/>
    <w:rsid w:val="79C54BB3"/>
    <w:rsid w:val="79CB0C87"/>
    <w:rsid w:val="79CC2C61"/>
    <w:rsid w:val="79CD1FA6"/>
    <w:rsid w:val="79CF7A75"/>
    <w:rsid w:val="79D00993"/>
    <w:rsid w:val="79D0644A"/>
    <w:rsid w:val="79D26C2E"/>
    <w:rsid w:val="79D3446D"/>
    <w:rsid w:val="79D77999"/>
    <w:rsid w:val="79E571FF"/>
    <w:rsid w:val="79EA5148"/>
    <w:rsid w:val="79FA32DB"/>
    <w:rsid w:val="79FB1D40"/>
    <w:rsid w:val="79FE4490"/>
    <w:rsid w:val="79FF2E57"/>
    <w:rsid w:val="7A06426F"/>
    <w:rsid w:val="7A071041"/>
    <w:rsid w:val="7A0A1BA4"/>
    <w:rsid w:val="7A1659FE"/>
    <w:rsid w:val="7A167234"/>
    <w:rsid w:val="7A21433A"/>
    <w:rsid w:val="7A364017"/>
    <w:rsid w:val="7A3C72BF"/>
    <w:rsid w:val="7A3E2401"/>
    <w:rsid w:val="7A440A39"/>
    <w:rsid w:val="7A480529"/>
    <w:rsid w:val="7A4D5B40"/>
    <w:rsid w:val="7A5433E4"/>
    <w:rsid w:val="7A575453"/>
    <w:rsid w:val="7A601D17"/>
    <w:rsid w:val="7A690120"/>
    <w:rsid w:val="7A71693B"/>
    <w:rsid w:val="7A7237F8"/>
    <w:rsid w:val="7A735340"/>
    <w:rsid w:val="7A794B87"/>
    <w:rsid w:val="7A7B6D35"/>
    <w:rsid w:val="7A7C08EA"/>
    <w:rsid w:val="7A8265E1"/>
    <w:rsid w:val="7A831207"/>
    <w:rsid w:val="7A847899"/>
    <w:rsid w:val="7A851EF0"/>
    <w:rsid w:val="7A877AEE"/>
    <w:rsid w:val="7A8C4ACA"/>
    <w:rsid w:val="7A8F7F06"/>
    <w:rsid w:val="7A904800"/>
    <w:rsid w:val="7A920D57"/>
    <w:rsid w:val="7A9630BB"/>
    <w:rsid w:val="7A9A64AE"/>
    <w:rsid w:val="7AA61952"/>
    <w:rsid w:val="7AAC6D0A"/>
    <w:rsid w:val="7AAF78A6"/>
    <w:rsid w:val="7AB157D1"/>
    <w:rsid w:val="7AB32C19"/>
    <w:rsid w:val="7AB45BBF"/>
    <w:rsid w:val="7AB86EAC"/>
    <w:rsid w:val="7AC202DC"/>
    <w:rsid w:val="7AC35E02"/>
    <w:rsid w:val="7ACD6C80"/>
    <w:rsid w:val="7AD466D7"/>
    <w:rsid w:val="7AD973D3"/>
    <w:rsid w:val="7ADC2AD0"/>
    <w:rsid w:val="7ADF0621"/>
    <w:rsid w:val="7ADF141F"/>
    <w:rsid w:val="7AE07D83"/>
    <w:rsid w:val="7AE41444"/>
    <w:rsid w:val="7AE86C17"/>
    <w:rsid w:val="7AEB754E"/>
    <w:rsid w:val="7AED10D1"/>
    <w:rsid w:val="7AF81F4F"/>
    <w:rsid w:val="7AF8704C"/>
    <w:rsid w:val="7AFE6E3A"/>
    <w:rsid w:val="7B000E04"/>
    <w:rsid w:val="7B016AEC"/>
    <w:rsid w:val="7B0625BD"/>
    <w:rsid w:val="7B066182"/>
    <w:rsid w:val="7B106256"/>
    <w:rsid w:val="7B113011"/>
    <w:rsid w:val="7B1228E5"/>
    <w:rsid w:val="7B252618"/>
    <w:rsid w:val="7B262E2C"/>
    <w:rsid w:val="7B2C4B2A"/>
    <w:rsid w:val="7B3A415B"/>
    <w:rsid w:val="7B3A4316"/>
    <w:rsid w:val="7B3B008E"/>
    <w:rsid w:val="7B42766E"/>
    <w:rsid w:val="7B433300"/>
    <w:rsid w:val="7B47537F"/>
    <w:rsid w:val="7B4D2534"/>
    <w:rsid w:val="7B4E1B6F"/>
    <w:rsid w:val="7B4F58E7"/>
    <w:rsid w:val="7B550C59"/>
    <w:rsid w:val="7B5B24DE"/>
    <w:rsid w:val="7B5D6256"/>
    <w:rsid w:val="7B6018A2"/>
    <w:rsid w:val="7B682F4D"/>
    <w:rsid w:val="7B686D42"/>
    <w:rsid w:val="7B767318"/>
    <w:rsid w:val="7B7B5A43"/>
    <w:rsid w:val="7B7C238D"/>
    <w:rsid w:val="7B8324D9"/>
    <w:rsid w:val="7B841746"/>
    <w:rsid w:val="7B8668CC"/>
    <w:rsid w:val="7B877C8F"/>
    <w:rsid w:val="7B8A5E90"/>
    <w:rsid w:val="7B961B5A"/>
    <w:rsid w:val="7B9A031E"/>
    <w:rsid w:val="7B9D1A21"/>
    <w:rsid w:val="7BA07EF1"/>
    <w:rsid w:val="7BBB0F8B"/>
    <w:rsid w:val="7BC734B7"/>
    <w:rsid w:val="7BC76794"/>
    <w:rsid w:val="7BC77B74"/>
    <w:rsid w:val="7BDA3403"/>
    <w:rsid w:val="7BE27D1D"/>
    <w:rsid w:val="7BEC1388"/>
    <w:rsid w:val="7BEF2FA8"/>
    <w:rsid w:val="7BF42EE8"/>
    <w:rsid w:val="7BF70459"/>
    <w:rsid w:val="7BF70D2C"/>
    <w:rsid w:val="7C084414"/>
    <w:rsid w:val="7C0B3F04"/>
    <w:rsid w:val="7C1E1BC0"/>
    <w:rsid w:val="7C1F724E"/>
    <w:rsid w:val="7C301566"/>
    <w:rsid w:val="7C304436"/>
    <w:rsid w:val="7C40022E"/>
    <w:rsid w:val="7C4A1FD6"/>
    <w:rsid w:val="7C5547E5"/>
    <w:rsid w:val="7C572CA5"/>
    <w:rsid w:val="7C5C4760"/>
    <w:rsid w:val="7C5F5BC9"/>
    <w:rsid w:val="7C6B6BDE"/>
    <w:rsid w:val="7C6D4277"/>
    <w:rsid w:val="7C6F6241"/>
    <w:rsid w:val="7C726357"/>
    <w:rsid w:val="7C75137E"/>
    <w:rsid w:val="7C792C1C"/>
    <w:rsid w:val="7C7C14D7"/>
    <w:rsid w:val="7C7C270C"/>
    <w:rsid w:val="7C7E46D6"/>
    <w:rsid w:val="7C8109D2"/>
    <w:rsid w:val="7C83257B"/>
    <w:rsid w:val="7C87760A"/>
    <w:rsid w:val="7C8B6DF3"/>
    <w:rsid w:val="7C9061B7"/>
    <w:rsid w:val="7C94401F"/>
    <w:rsid w:val="7C9942EC"/>
    <w:rsid w:val="7C9A4780"/>
    <w:rsid w:val="7CA2355F"/>
    <w:rsid w:val="7CA270D6"/>
    <w:rsid w:val="7CA83501"/>
    <w:rsid w:val="7CB15929"/>
    <w:rsid w:val="7CC93351"/>
    <w:rsid w:val="7CCB71F0"/>
    <w:rsid w:val="7CCF3A4E"/>
    <w:rsid w:val="7CD93074"/>
    <w:rsid w:val="7CD95DB0"/>
    <w:rsid w:val="7CDB4582"/>
    <w:rsid w:val="7CE56503"/>
    <w:rsid w:val="7CF77FE5"/>
    <w:rsid w:val="7D0239FF"/>
    <w:rsid w:val="7D0D1FCA"/>
    <w:rsid w:val="7D1312C2"/>
    <w:rsid w:val="7D162B61"/>
    <w:rsid w:val="7D1E0730"/>
    <w:rsid w:val="7D25259C"/>
    <w:rsid w:val="7D260229"/>
    <w:rsid w:val="7D264D6A"/>
    <w:rsid w:val="7D2B74AC"/>
    <w:rsid w:val="7D2D4BBF"/>
    <w:rsid w:val="7D300EAC"/>
    <w:rsid w:val="7D346D1C"/>
    <w:rsid w:val="7D364FB1"/>
    <w:rsid w:val="7D4014B8"/>
    <w:rsid w:val="7D4278A5"/>
    <w:rsid w:val="7D562F5D"/>
    <w:rsid w:val="7D576338"/>
    <w:rsid w:val="7D5E40CD"/>
    <w:rsid w:val="7D5F5C90"/>
    <w:rsid w:val="7D627B54"/>
    <w:rsid w:val="7D693BED"/>
    <w:rsid w:val="7D6F2271"/>
    <w:rsid w:val="7D717D97"/>
    <w:rsid w:val="7D73135D"/>
    <w:rsid w:val="7D752EE9"/>
    <w:rsid w:val="7D7618A3"/>
    <w:rsid w:val="7D901841"/>
    <w:rsid w:val="7D9121E7"/>
    <w:rsid w:val="7D976D31"/>
    <w:rsid w:val="7D9E45FE"/>
    <w:rsid w:val="7DA912DF"/>
    <w:rsid w:val="7DAB2803"/>
    <w:rsid w:val="7DB43817"/>
    <w:rsid w:val="7DBF5E6D"/>
    <w:rsid w:val="7DC1150E"/>
    <w:rsid w:val="7DCB394B"/>
    <w:rsid w:val="7DD33363"/>
    <w:rsid w:val="7DFD25E6"/>
    <w:rsid w:val="7DFF5828"/>
    <w:rsid w:val="7E0D3F64"/>
    <w:rsid w:val="7E1561C9"/>
    <w:rsid w:val="7E1846B6"/>
    <w:rsid w:val="7E1B5792"/>
    <w:rsid w:val="7E2855D2"/>
    <w:rsid w:val="7E2F3896"/>
    <w:rsid w:val="7E307C52"/>
    <w:rsid w:val="7E36297D"/>
    <w:rsid w:val="7E3867EB"/>
    <w:rsid w:val="7E3E12D6"/>
    <w:rsid w:val="7E424E6F"/>
    <w:rsid w:val="7E453524"/>
    <w:rsid w:val="7E5130BF"/>
    <w:rsid w:val="7E5B0B97"/>
    <w:rsid w:val="7E5C45A3"/>
    <w:rsid w:val="7E5F5E41"/>
    <w:rsid w:val="7E634CED"/>
    <w:rsid w:val="7E675567"/>
    <w:rsid w:val="7E68067F"/>
    <w:rsid w:val="7E682F48"/>
    <w:rsid w:val="7E6C4FCC"/>
    <w:rsid w:val="7E6E5450"/>
    <w:rsid w:val="7E717724"/>
    <w:rsid w:val="7E801C59"/>
    <w:rsid w:val="7E8D6E52"/>
    <w:rsid w:val="7E964329"/>
    <w:rsid w:val="7E9B44C8"/>
    <w:rsid w:val="7EA83C8C"/>
    <w:rsid w:val="7EAA261C"/>
    <w:rsid w:val="7EAD7503"/>
    <w:rsid w:val="7EB54F34"/>
    <w:rsid w:val="7EBB46EF"/>
    <w:rsid w:val="7EBC5E02"/>
    <w:rsid w:val="7ECB7DE9"/>
    <w:rsid w:val="7ED11564"/>
    <w:rsid w:val="7ED44A81"/>
    <w:rsid w:val="7ED512DB"/>
    <w:rsid w:val="7ED72300"/>
    <w:rsid w:val="7ED93E46"/>
    <w:rsid w:val="7EDC3936"/>
    <w:rsid w:val="7EED7732"/>
    <w:rsid w:val="7EEE486F"/>
    <w:rsid w:val="7EF56355"/>
    <w:rsid w:val="7EFB200E"/>
    <w:rsid w:val="7F022716"/>
    <w:rsid w:val="7F05494A"/>
    <w:rsid w:val="7F08472B"/>
    <w:rsid w:val="7F0C5FC9"/>
    <w:rsid w:val="7F121D42"/>
    <w:rsid w:val="7F134DCE"/>
    <w:rsid w:val="7F1D01D6"/>
    <w:rsid w:val="7F260841"/>
    <w:rsid w:val="7F2836A6"/>
    <w:rsid w:val="7F2D5F40"/>
    <w:rsid w:val="7F333FA9"/>
    <w:rsid w:val="7F35420B"/>
    <w:rsid w:val="7F356489"/>
    <w:rsid w:val="7F364DF4"/>
    <w:rsid w:val="7F37689C"/>
    <w:rsid w:val="7F392ACD"/>
    <w:rsid w:val="7F3948E4"/>
    <w:rsid w:val="7F3D5145"/>
    <w:rsid w:val="7F405C73"/>
    <w:rsid w:val="7F443853"/>
    <w:rsid w:val="7F45110E"/>
    <w:rsid w:val="7F572507"/>
    <w:rsid w:val="7F592B7C"/>
    <w:rsid w:val="7F5931D8"/>
    <w:rsid w:val="7F5B78C9"/>
    <w:rsid w:val="7F5F4710"/>
    <w:rsid w:val="7F73429A"/>
    <w:rsid w:val="7F7A210D"/>
    <w:rsid w:val="7F8C303C"/>
    <w:rsid w:val="7F912972"/>
    <w:rsid w:val="7FA170DF"/>
    <w:rsid w:val="7FA171E2"/>
    <w:rsid w:val="7FA51F7A"/>
    <w:rsid w:val="7FA5399F"/>
    <w:rsid w:val="7FA77AA0"/>
    <w:rsid w:val="7FAA1908"/>
    <w:rsid w:val="7FB26CFE"/>
    <w:rsid w:val="7FBA5054"/>
    <w:rsid w:val="7FBE4C91"/>
    <w:rsid w:val="7FC433AA"/>
    <w:rsid w:val="7FC9210C"/>
    <w:rsid w:val="7FD447A3"/>
    <w:rsid w:val="7FD91178"/>
    <w:rsid w:val="7FE47E50"/>
    <w:rsid w:val="7FE634CA"/>
    <w:rsid w:val="7FF07699"/>
    <w:rsid w:val="7FFF42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9"/>
    <w:pPr>
      <w:keepNext/>
      <w:keepLines/>
      <w:ind w:firstLine="0" w:firstLineChars="0"/>
      <w:outlineLvl w:val="1"/>
    </w:pPr>
    <w:rPr>
      <w:b/>
      <w:bCs/>
      <w:kern w:val="0"/>
      <w:sz w:val="28"/>
      <w:szCs w:val="28"/>
    </w:rPr>
  </w:style>
  <w:style w:type="paragraph" w:styleId="4">
    <w:name w:val="heading 3"/>
    <w:basedOn w:val="1"/>
    <w:next w:val="1"/>
    <w:qFormat/>
    <w:locked/>
    <w:uiPriority w:val="9"/>
    <w:pPr>
      <w:keepNext/>
      <w:keepLines/>
      <w:ind w:firstLine="0" w:firstLineChars="0"/>
      <w:outlineLvl w:val="2"/>
    </w:pPr>
    <w:rPr>
      <w:b/>
      <w:bCs/>
      <w:sz w:val="28"/>
      <w:szCs w:val="32"/>
    </w:rPr>
  </w:style>
  <w:style w:type="paragraph" w:styleId="5">
    <w:name w:val="heading 4"/>
    <w:basedOn w:val="1"/>
    <w:next w:val="1"/>
    <w:link w:val="37"/>
    <w:qFormat/>
    <w:locked/>
    <w:uiPriority w:val="0"/>
    <w:pPr>
      <w:keepNext/>
      <w:spacing w:line="380" w:lineRule="exact"/>
      <w:ind w:left="-113" w:right="-113"/>
      <w:jc w:val="center"/>
      <w:outlineLvl w:val="3"/>
    </w:pPr>
    <w:rPr>
      <w:rFonts w:ascii="宋体" w:hAnsi="宋体"/>
      <w:b/>
      <w:spacing w:val="-10"/>
    </w:rPr>
  </w:style>
  <w:style w:type="character" w:default="1" w:styleId="30">
    <w:name w:val="Default Paragraph Font"/>
    <w:semiHidden/>
    <w:uiPriority w:val="0"/>
  </w:style>
  <w:style w:type="table" w:default="1" w:styleId="2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next w:val="5"/>
    <w:qFormat/>
    <w:uiPriority w:val="0"/>
    <w:pPr>
      <w:ind w:firstLine="200" w:firstLineChars="200"/>
    </w:pPr>
    <w:rPr>
      <w:sz w:val="28"/>
    </w:rPr>
  </w:style>
  <w:style w:type="paragraph" w:styleId="7">
    <w:name w:val="caption"/>
    <w:basedOn w:val="1"/>
    <w:next w:val="1"/>
    <w:qFormat/>
    <w:locked/>
    <w:uiPriority w:val="0"/>
    <w:pPr>
      <w:spacing w:before="152" w:after="160"/>
    </w:pPr>
    <w:rPr>
      <w:rFonts w:ascii="Arial" w:hAnsi="Arial" w:eastAsia="黑体"/>
      <w:sz w:val="20"/>
      <w:szCs w:val="20"/>
    </w:rPr>
  </w:style>
  <w:style w:type="paragraph" w:styleId="8">
    <w:name w:val="annotation text"/>
    <w:basedOn w:val="1"/>
    <w:link w:val="47"/>
    <w:semiHidden/>
    <w:qFormat/>
    <w:uiPriority w:val="0"/>
    <w:pPr>
      <w:jc w:val="left"/>
    </w:pPr>
    <w:rPr>
      <w:kern w:val="0"/>
      <w:sz w:val="24"/>
      <w:szCs w:val="20"/>
    </w:rPr>
  </w:style>
  <w:style w:type="paragraph" w:styleId="9">
    <w:name w:val="Salutation"/>
    <w:basedOn w:val="1"/>
    <w:next w:val="1"/>
    <w:qFormat/>
    <w:uiPriority w:val="0"/>
  </w:style>
  <w:style w:type="paragraph" w:styleId="10">
    <w:name w:val="Body Text"/>
    <w:basedOn w:val="1"/>
    <w:next w:val="1"/>
    <w:link w:val="39"/>
    <w:uiPriority w:val="0"/>
    <w:pPr>
      <w:widowControl/>
      <w:snapToGrid w:val="0"/>
      <w:spacing w:before="60" w:after="160" w:line="259" w:lineRule="auto"/>
      <w:ind w:right="113"/>
    </w:pPr>
    <w:rPr>
      <w:rFonts w:ascii="Times New Roman" w:hAnsi="Times New Roman" w:eastAsia="宋体"/>
      <w:kern w:val="0"/>
      <w:sz w:val="18"/>
      <w:szCs w:val="20"/>
    </w:rPr>
  </w:style>
  <w:style w:type="paragraph" w:styleId="11">
    <w:name w:val="Body Text Indent"/>
    <w:basedOn w:val="1"/>
    <w:link w:val="40"/>
    <w:qFormat/>
    <w:uiPriority w:val="0"/>
    <w:pPr>
      <w:spacing w:after="120"/>
      <w:ind w:left="420" w:leftChars="200"/>
    </w:pPr>
    <w:rPr>
      <w:kern w:val="0"/>
      <w:sz w:val="24"/>
    </w:rPr>
  </w:style>
  <w:style w:type="paragraph" w:styleId="12">
    <w:name w:val="Block Text"/>
    <w:basedOn w:val="1"/>
    <w:next w:val="1"/>
    <w:qFormat/>
    <w:uiPriority w:val="0"/>
    <w:pPr>
      <w:snapToGrid w:val="0"/>
      <w:spacing w:line="408" w:lineRule="auto"/>
      <w:ind w:left="-113" w:right="-510" w:firstLine="510"/>
    </w:pPr>
    <w:rPr>
      <w:sz w:val="24"/>
      <w:szCs w:val="20"/>
    </w:rPr>
  </w:style>
  <w:style w:type="paragraph" w:styleId="13">
    <w:name w:val="Plain Text"/>
    <w:basedOn w:val="1"/>
    <w:qFormat/>
    <w:uiPriority w:val="0"/>
    <w:pPr>
      <w:snapToGrid w:val="0"/>
      <w:spacing w:line="324" w:lineRule="auto"/>
    </w:pPr>
    <w:rPr>
      <w:rFonts w:ascii="宋体" w:hAnsi="Courier New" w:eastAsia="宋体"/>
      <w:kern w:val="2"/>
      <w:sz w:val="21"/>
      <w:lang w:val="en-US" w:eastAsia="zh-CN" w:bidi="ar-SA"/>
    </w:rPr>
  </w:style>
  <w:style w:type="paragraph" w:styleId="14">
    <w:name w:val="List Bullet 5"/>
    <w:basedOn w:val="1"/>
    <w:qFormat/>
    <w:uiPriority w:val="0"/>
    <w:pPr>
      <w:numPr>
        <w:ilvl w:val="0"/>
        <w:numId w:val="1"/>
      </w:numPr>
    </w:pPr>
  </w:style>
  <w:style w:type="paragraph" w:styleId="15">
    <w:name w:val="Date"/>
    <w:basedOn w:val="1"/>
    <w:next w:val="1"/>
    <w:link w:val="41"/>
    <w:qFormat/>
    <w:uiPriority w:val="0"/>
    <w:pPr>
      <w:ind w:left="100" w:leftChars="2500"/>
    </w:pPr>
    <w:rPr>
      <w:kern w:val="0"/>
      <w:sz w:val="24"/>
      <w:szCs w:val="20"/>
    </w:rPr>
  </w:style>
  <w:style w:type="paragraph" w:styleId="16">
    <w:name w:val="Body Text Indent 2"/>
    <w:basedOn w:val="1"/>
    <w:next w:val="17"/>
    <w:qFormat/>
    <w:uiPriority w:val="0"/>
    <w:pPr>
      <w:spacing w:after="120" w:line="480" w:lineRule="auto"/>
      <w:ind w:left="420" w:leftChars="200"/>
    </w:pPr>
  </w:style>
  <w:style w:type="paragraph" w:styleId="17">
    <w:name w:val="Body Text First Indent 2"/>
    <w:basedOn w:val="11"/>
    <w:qFormat/>
    <w:uiPriority w:val="99"/>
    <w:pPr>
      <w:spacing w:line="520" w:lineRule="exact"/>
      <w:ind w:firstLine="420" w:firstLineChars="200"/>
    </w:pPr>
    <w:rPr>
      <w:sz w:val="24"/>
    </w:rPr>
  </w:style>
  <w:style w:type="paragraph" w:styleId="18">
    <w:name w:val="Balloon Text"/>
    <w:basedOn w:val="1"/>
    <w:link w:val="42"/>
    <w:semiHidden/>
    <w:qFormat/>
    <w:uiPriority w:val="0"/>
    <w:rPr>
      <w:kern w:val="0"/>
      <w:sz w:val="18"/>
      <w:szCs w:val="18"/>
    </w:rPr>
  </w:style>
  <w:style w:type="paragraph" w:styleId="19">
    <w:name w:val="footer"/>
    <w:basedOn w:val="1"/>
    <w:link w:val="43"/>
    <w:qFormat/>
    <w:uiPriority w:val="0"/>
    <w:pPr>
      <w:tabs>
        <w:tab w:val="center" w:pos="4153"/>
        <w:tab w:val="right" w:pos="8306"/>
      </w:tabs>
      <w:snapToGrid w:val="0"/>
      <w:jc w:val="left"/>
    </w:pPr>
    <w:rPr>
      <w:kern w:val="0"/>
      <w:sz w:val="18"/>
      <w:szCs w:val="18"/>
    </w:rPr>
  </w:style>
  <w:style w:type="paragraph" w:styleId="20">
    <w:name w:val="envelope return"/>
    <w:basedOn w:val="1"/>
    <w:qFormat/>
    <w:uiPriority w:val="0"/>
    <w:pPr>
      <w:widowControl/>
    </w:pPr>
    <w:rPr>
      <w:kern w:val="0"/>
      <w:sz w:val="22"/>
      <w:szCs w:val="20"/>
      <w:lang w:val="en-GB" w:eastAsia="en-US"/>
    </w:rPr>
  </w:style>
  <w:style w:type="paragraph" w:styleId="21">
    <w:name w:val="header"/>
    <w:basedOn w:val="1"/>
    <w:link w:val="44"/>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locked/>
    <w:uiPriority w:val="39"/>
    <w:pPr>
      <w:spacing w:before="120" w:after="120"/>
      <w:jc w:val="left"/>
    </w:pPr>
    <w:rPr>
      <w:bCs/>
      <w:caps/>
    </w:rPr>
  </w:style>
  <w:style w:type="paragraph" w:styleId="23">
    <w:name w:val="Body Text 2"/>
    <w:basedOn w:val="1"/>
    <w:qFormat/>
    <w:uiPriority w:val="0"/>
    <w:pPr>
      <w:spacing w:after="120" w:afterLines="0" w:afterAutospacing="0" w:line="480" w:lineRule="auto"/>
    </w:pPr>
  </w:style>
  <w:style w:type="paragraph" w:styleId="24">
    <w:name w:val="Normal (Web)"/>
    <w:basedOn w:val="1"/>
    <w:link w:val="45"/>
    <w:uiPriority w:val="0"/>
    <w:pPr>
      <w:widowControl/>
      <w:spacing w:before="100" w:beforeAutospacing="1" w:after="100" w:afterAutospacing="1"/>
      <w:jc w:val="left"/>
    </w:pPr>
    <w:rPr>
      <w:rFonts w:ascii="宋体" w:hAnsi="宋体"/>
      <w:kern w:val="0"/>
      <w:sz w:val="24"/>
      <w:szCs w:val="20"/>
    </w:rPr>
  </w:style>
  <w:style w:type="paragraph" w:styleId="25">
    <w:name w:val="Title"/>
    <w:basedOn w:val="1"/>
    <w:next w:val="1"/>
    <w:qFormat/>
    <w:locked/>
    <w:uiPriority w:val="0"/>
    <w:pPr>
      <w:numPr>
        <w:ilvl w:val="4"/>
        <w:numId w:val="2"/>
      </w:numPr>
      <w:ind w:firstLineChars="0"/>
      <w:jc w:val="center"/>
      <w:outlineLvl w:val="4"/>
    </w:pPr>
    <w:rPr>
      <w:rFonts w:ascii="Cambria" w:hAnsi="Cambria" w:eastAsia="Times New Roman"/>
      <w:b/>
      <w:bCs/>
      <w:sz w:val="21"/>
      <w:szCs w:val="32"/>
    </w:rPr>
  </w:style>
  <w:style w:type="paragraph" w:styleId="26">
    <w:name w:val="annotation subject"/>
    <w:basedOn w:val="8"/>
    <w:next w:val="8"/>
    <w:link w:val="46"/>
    <w:semiHidden/>
    <w:qFormat/>
    <w:uiPriority w:val="0"/>
    <w:rPr>
      <w:b/>
      <w:bCs/>
      <w:kern w:val="2"/>
    </w:rPr>
  </w:style>
  <w:style w:type="paragraph" w:styleId="27">
    <w:name w:val="Body Text First Indent"/>
    <w:basedOn w:val="10"/>
    <w:qFormat/>
    <w:uiPriority w:val="0"/>
    <w:pPr>
      <w:ind w:firstLine="420"/>
    </w:pPr>
  </w:style>
  <w:style w:type="table" w:styleId="29">
    <w:name w:val="Table Grid"/>
    <w:basedOn w:val="2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locked/>
    <w:uiPriority w:val="0"/>
    <w:rPr>
      <w:b/>
    </w:rPr>
  </w:style>
  <w:style w:type="character" w:styleId="32">
    <w:name w:val="page number"/>
    <w:qFormat/>
    <w:uiPriority w:val="0"/>
  </w:style>
  <w:style w:type="character" w:styleId="33">
    <w:name w:val="FollowedHyperlink"/>
    <w:qFormat/>
    <w:uiPriority w:val="0"/>
    <w:rPr>
      <w:color w:val="000000"/>
      <w:u w:val="none"/>
    </w:rPr>
  </w:style>
  <w:style w:type="character" w:styleId="34">
    <w:name w:val="Emphasis"/>
    <w:qFormat/>
    <w:locked/>
    <w:uiPriority w:val="0"/>
  </w:style>
  <w:style w:type="character" w:styleId="35">
    <w:name w:val="Hyperlink"/>
    <w:qFormat/>
    <w:uiPriority w:val="0"/>
    <w:rPr>
      <w:color w:val="000000"/>
      <w:u w:val="none"/>
    </w:rPr>
  </w:style>
  <w:style w:type="character" w:styleId="36">
    <w:name w:val="annotation reference"/>
    <w:semiHidden/>
    <w:qFormat/>
    <w:uiPriority w:val="0"/>
    <w:rPr>
      <w:sz w:val="21"/>
    </w:rPr>
  </w:style>
  <w:style w:type="character" w:customStyle="1" w:styleId="37">
    <w:name w:val="标题 4 字符"/>
    <w:basedOn w:val="30"/>
    <w:link w:val="5"/>
    <w:qFormat/>
    <w:uiPriority w:val="0"/>
    <w:rPr>
      <w:rFonts w:ascii="等线 Light" w:hAnsi="等线 Light" w:eastAsia="等线 Light" w:cs="Times New Roman"/>
      <w:b/>
      <w:bCs/>
      <w:kern w:val="2"/>
      <w:sz w:val="28"/>
      <w:szCs w:val="28"/>
    </w:rPr>
  </w:style>
  <w:style w:type="character" w:customStyle="1" w:styleId="38">
    <w:name w:val="批注文字 Char"/>
    <w:link w:val="8"/>
    <w:qFormat/>
    <w:locked/>
    <w:uiPriority w:val="0"/>
    <w:rPr>
      <w:rFonts w:ascii="Times New Roman" w:hAnsi="Times New Roman" w:eastAsia="宋体"/>
      <w:sz w:val="24"/>
    </w:rPr>
  </w:style>
  <w:style w:type="character" w:customStyle="1" w:styleId="39">
    <w:name w:val="正文文本 Char"/>
    <w:link w:val="10"/>
    <w:qFormat/>
    <w:locked/>
    <w:uiPriority w:val="0"/>
    <w:rPr>
      <w:rFonts w:ascii="Times New Roman" w:hAnsi="Times New Roman" w:eastAsia="宋体"/>
      <w:sz w:val="18"/>
    </w:rPr>
  </w:style>
  <w:style w:type="character" w:customStyle="1" w:styleId="40">
    <w:name w:val="正文文本缩进 Char"/>
    <w:link w:val="11"/>
    <w:semiHidden/>
    <w:qFormat/>
    <w:locked/>
    <w:uiPriority w:val="0"/>
    <w:rPr>
      <w:rFonts w:ascii="Times New Roman" w:hAnsi="Times New Roman" w:eastAsia="宋体" w:cs="Times New Roman"/>
      <w:sz w:val="24"/>
      <w:szCs w:val="24"/>
    </w:rPr>
  </w:style>
  <w:style w:type="character" w:customStyle="1" w:styleId="41">
    <w:name w:val="日期 Char"/>
    <w:link w:val="15"/>
    <w:qFormat/>
    <w:locked/>
    <w:uiPriority w:val="0"/>
    <w:rPr>
      <w:rFonts w:ascii="Times New Roman" w:hAnsi="Times New Roman" w:eastAsia="宋体"/>
      <w:sz w:val="24"/>
    </w:rPr>
  </w:style>
  <w:style w:type="character" w:customStyle="1" w:styleId="42">
    <w:name w:val="批注框文本 Char"/>
    <w:link w:val="18"/>
    <w:semiHidden/>
    <w:qFormat/>
    <w:locked/>
    <w:uiPriority w:val="0"/>
    <w:rPr>
      <w:rFonts w:ascii="Times New Roman" w:hAnsi="Times New Roman" w:eastAsia="宋体" w:cs="Times New Roman"/>
      <w:sz w:val="18"/>
      <w:szCs w:val="18"/>
    </w:rPr>
  </w:style>
  <w:style w:type="character" w:customStyle="1" w:styleId="43">
    <w:name w:val="页脚 Char"/>
    <w:link w:val="19"/>
    <w:qFormat/>
    <w:locked/>
    <w:uiPriority w:val="0"/>
    <w:rPr>
      <w:rFonts w:cs="Times New Roman"/>
      <w:sz w:val="18"/>
      <w:szCs w:val="18"/>
    </w:rPr>
  </w:style>
  <w:style w:type="character" w:customStyle="1" w:styleId="44">
    <w:name w:val="页眉 Char"/>
    <w:link w:val="21"/>
    <w:qFormat/>
    <w:locked/>
    <w:uiPriority w:val="0"/>
    <w:rPr>
      <w:rFonts w:cs="Times New Roman"/>
      <w:sz w:val="18"/>
      <w:szCs w:val="18"/>
    </w:rPr>
  </w:style>
  <w:style w:type="character" w:customStyle="1" w:styleId="45">
    <w:name w:val="普通(网站) Char1"/>
    <w:link w:val="24"/>
    <w:qFormat/>
    <w:locked/>
    <w:uiPriority w:val="0"/>
    <w:rPr>
      <w:rFonts w:ascii="宋体" w:hAnsi="宋体" w:eastAsia="宋体"/>
      <w:sz w:val="24"/>
    </w:rPr>
  </w:style>
  <w:style w:type="character" w:customStyle="1" w:styleId="46">
    <w:name w:val="批注主题 Char"/>
    <w:link w:val="26"/>
    <w:semiHidden/>
    <w:qFormat/>
    <w:locked/>
    <w:uiPriority w:val="0"/>
    <w:rPr>
      <w:rFonts w:cs="Times New Roman"/>
      <w:b/>
      <w:bCs/>
      <w:kern w:val="2"/>
      <w:szCs w:val="24"/>
    </w:rPr>
  </w:style>
  <w:style w:type="character" w:customStyle="1" w:styleId="47">
    <w:name w:val="批注文字 字符"/>
    <w:basedOn w:val="30"/>
    <w:link w:val="8"/>
    <w:qFormat/>
    <w:uiPriority w:val="0"/>
    <w:rPr>
      <w:sz w:val="24"/>
    </w:rPr>
  </w:style>
  <w:style w:type="paragraph" w:customStyle="1" w:styleId="48">
    <w:name w:val="Default"/>
    <w:basedOn w:val="49"/>
    <w:next w:val="16"/>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49">
    <w:name w:val="标题2"/>
    <w:basedOn w:val="3"/>
    <w:qFormat/>
    <w:uiPriority w:val="0"/>
    <w:pPr>
      <w:numPr>
        <w:ilvl w:val="1"/>
        <w:numId w:val="3"/>
      </w:numPr>
      <w:spacing w:before="0" w:after="0" w:line="440" w:lineRule="exact"/>
    </w:pPr>
    <w:rPr>
      <w:kern w:val="0"/>
      <w:sz w:val="28"/>
    </w:rPr>
  </w:style>
  <w:style w:type="paragraph" w:customStyle="1" w:styleId="50">
    <w:name w:val="样式 标题 2"/>
    <w:basedOn w:val="3"/>
    <w:qFormat/>
    <w:uiPriority w:val="0"/>
    <w:pPr>
      <w:spacing w:before="50" w:after="50"/>
    </w:pPr>
    <w:rPr>
      <w:szCs w:val="28"/>
    </w:rPr>
  </w:style>
  <w:style w:type="paragraph" w:customStyle="1" w:styleId="51">
    <w:name w:val="1正文段落"/>
    <w:basedOn w:val="1"/>
    <w:qFormat/>
    <w:uiPriority w:val="0"/>
    <w:pPr>
      <w:ind w:firstLine="480"/>
      <w:jc w:val="left"/>
    </w:pPr>
    <w:rPr>
      <w:snapToGrid w:val="0"/>
      <w:kern w:val="0"/>
    </w:rPr>
  </w:style>
  <w:style w:type="paragraph" w:customStyle="1" w:styleId="52">
    <w:name w:val="报告表正文"/>
    <w:basedOn w:val="1"/>
    <w:qFormat/>
    <w:uiPriority w:val="0"/>
    <w:pPr>
      <w:adjustRightInd w:val="0"/>
      <w:spacing w:line="312" w:lineRule="auto"/>
      <w:ind w:left="113" w:right="113" w:firstLine="482"/>
      <w:jc w:val="left"/>
    </w:pPr>
    <w:rPr>
      <w:kern w:val="0"/>
      <w:sz w:val="24"/>
      <w:szCs w:val="20"/>
    </w:rPr>
  </w:style>
  <w:style w:type="paragraph" w:customStyle="1" w:styleId="53">
    <w:name w:val="样式 正文文本缩进 + 行距: 1.5 倍行距"/>
    <w:basedOn w:val="11"/>
    <w:qFormat/>
    <w:uiPriority w:val="0"/>
    <w:pPr>
      <w:ind w:left="90" w:leftChars="32" w:firstLine="560"/>
    </w:pPr>
  </w:style>
  <w:style w:type="character" w:customStyle="1" w:styleId="54">
    <w:name w:val="font21"/>
    <w:basedOn w:val="30"/>
    <w:qFormat/>
    <w:uiPriority w:val="99"/>
    <w:rPr>
      <w:rFonts w:ascii="宋体" w:hAnsi="宋体" w:eastAsia="宋体"/>
      <w:color w:val="000000"/>
      <w:sz w:val="21"/>
      <w:u w:val="none"/>
    </w:rPr>
  </w:style>
  <w:style w:type="character" w:customStyle="1" w:styleId="55">
    <w:name w:val="批注文字 字符1"/>
    <w:semiHidden/>
    <w:qFormat/>
    <w:uiPriority w:val="0"/>
    <w:rPr>
      <w:rFonts w:ascii="Times New Roman" w:hAnsi="Times New Roman" w:eastAsia="宋体" w:cs="Times New Roman"/>
      <w:sz w:val="24"/>
      <w:szCs w:val="24"/>
    </w:rPr>
  </w:style>
  <w:style w:type="character" w:customStyle="1" w:styleId="56">
    <w:name w:val="正文文本 字符1"/>
    <w:semiHidden/>
    <w:qFormat/>
    <w:uiPriority w:val="0"/>
    <w:rPr>
      <w:rFonts w:ascii="Times New Roman" w:hAnsi="Times New Roman" w:eastAsia="宋体" w:cs="Times New Roman"/>
      <w:sz w:val="24"/>
      <w:szCs w:val="24"/>
    </w:rPr>
  </w:style>
  <w:style w:type="character" w:customStyle="1" w:styleId="57">
    <w:name w:val="font11"/>
    <w:qFormat/>
    <w:uiPriority w:val="99"/>
    <w:rPr>
      <w:rFonts w:ascii="Times New Roman" w:hAnsi="Times New Roman"/>
      <w:color w:val="000000"/>
      <w:sz w:val="22"/>
      <w:u w:val="none"/>
    </w:rPr>
  </w:style>
  <w:style w:type="character" w:customStyle="1" w:styleId="58">
    <w:name w:val="普通(网站) Char"/>
    <w:qFormat/>
    <w:locked/>
    <w:uiPriority w:val="0"/>
    <w:rPr>
      <w:rFonts w:ascii="宋体" w:hAnsi="宋体" w:eastAsia="宋体"/>
      <w:sz w:val="24"/>
    </w:rPr>
  </w:style>
  <w:style w:type="character" w:customStyle="1" w:styleId="59">
    <w:name w:val="font41"/>
    <w:qFormat/>
    <w:uiPriority w:val="99"/>
    <w:rPr>
      <w:rFonts w:ascii="Times New Roman" w:hAnsi="Times New Roman"/>
      <w:color w:val="000000"/>
      <w:sz w:val="21"/>
      <w:u w:val="none"/>
      <w:vertAlign w:val="subscript"/>
    </w:rPr>
  </w:style>
  <w:style w:type="character" w:customStyle="1" w:styleId="60">
    <w:name w:val="日期 字符"/>
    <w:semiHidden/>
    <w:qFormat/>
    <w:uiPriority w:val="0"/>
    <w:rPr>
      <w:rFonts w:ascii="Times New Roman" w:hAnsi="Times New Roman" w:eastAsia="宋体" w:cs="Times New Roman"/>
      <w:sz w:val="24"/>
      <w:szCs w:val="24"/>
    </w:rPr>
  </w:style>
  <w:style w:type="character" w:customStyle="1" w:styleId="61">
    <w:name w:val="表格 Char"/>
    <w:link w:val="62"/>
    <w:qFormat/>
    <w:locked/>
    <w:uiPriority w:val="0"/>
    <w:rPr>
      <w:rFonts w:ascii="宋体"/>
      <w:sz w:val="21"/>
    </w:rPr>
  </w:style>
  <w:style w:type="paragraph" w:customStyle="1" w:styleId="62">
    <w:name w:val="表格"/>
    <w:basedOn w:val="1"/>
    <w:next w:val="1"/>
    <w:link w:val="61"/>
    <w:qFormat/>
    <w:uiPriority w:val="0"/>
    <w:pPr>
      <w:adjustRightInd w:val="0"/>
      <w:snapToGrid w:val="0"/>
      <w:spacing w:beforeLines="10" w:afterLines="10" w:line="259" w:lineRule="auto"/>
      <w:jc w:val="center"/>
    </w:pPr>
    <w:rPr>
      <w:rFonts w:ascii="宋体"/>
      <w:kern w:val="0"/>
      <w:szCs w:val="20"/>
    </w:rPr>
  </w:style>
  <w:style w:type="character" w:customStyle="1" w:styleId="63">
    <w:name w:val="radio-btn"/>
    <w:qFormat/>
    <w:uiPriority w:val="0"/>
    <w:rPr>
      <w:sz w:val="24"/>
      <w:szCs w:val="24"/>
    </w:rPr>
  </w:style>
  <w:style w:type="character" w:customStyle="1" w:styleId="64">
    <w:name w:val="lishishuju"/>
    <w:qFormat/>
    <w:uiPriority w:val="0"/>
    <w:rPr>
      <w:b/>
      <w:color w:val="000052"/>
      <w:sz w:val="24"/>
      <w:szCs w:val="24"/>
      <w:bdr w:val="single" w:color="E3E3E3" w:sz="6" w:space="0"/>
    </w:rPr>
  </w:style>
  <w:style w:type="character" w:customStyle="1" w:styleId="65">
    <w:name w:val="radio-btn1"/>
    <w:qFormat/>
    <w:uiPriority w:val="0"/>
    <w:rPr>
      <w:sz w:val="24"/>
      <w:szCs w:val="24"/>
    </w:rPr>
  </w:style>
  <w:style w:type="character" w:customStyle="1" w:styleId="66">
    <w:name w:val="radio-btn2"/>
    <w:qFormat/>
    <w:uiPriority w:val="0"/>
    <w:rPr>
      <w:sz w:val="21"/>
      <w:szCs w:val="21"/>
    </w:rPr>
  </w:style>
  <w:style w:type="character" w:customStyle="1" w:styleId="67">
    <w:name w:val="lable"/>
    <w:qFormat/>
    <w:uiPriority w:val="0"/>
    <w:rPr>
      <w:sz w:val="24"/>
      <w:szCs w:val="24"/>
    </w:rPr>
  </w:style>
  <w:style w:type="character" w:customStyle="1" w:styleId="68">
    <w:name w:val="znspantitle"/>
    <w:qFormat/>
    <w:uiPriority w:val="0"/>
    <w:rPr>
      <w:b/>
      <w:color w:val="333333"/>
    </w:rPr>
  </w:style>
  <w:style w:type="character" w:customStyle="1" w:styleId="69">
    <w:name w:val="cur1"/>
    <w:qFormat/>
    <w:uiPriority w:val="0"/>
    <w:rPr>
      <w:color w:val="FFFFFF"/>
      <w:shd w:val="clear" w:color="auto" w:fill="2F6B98"/>
    </w:rPr>
  </w:style>
  <w:style w:type="paragraph" w:customStyle="1" w:styleId="70">
    <w:name w:val="样式35"/>
    <w:basedOn w:val="1"/>
    <w:qFormat/>
    <w:uiPriority w:val="0"/>
    <w:pPr>
      <w:adjustRightInd w:val="0"/>
      <w:spacing w:line="312" w:lineRule="auto"/>
      <w:ind w:firstLine="567"/>
    </w:pPr>
    <w:rPr>
      <w:rFonts w:ascii="宋体"/>
      <w:kern w:val="0"/>
      <w:szCs w:val="20"/>
    </w:rPr>
  </w:style>
  <w:style w:type="paragraph" w:customStyle="1" w:styleId="71">
    <w:name w:val="表头"/>
    <w:basedOn w:val="72"/>
    <w:qFormat/>
    <w:uiPriority w:val="99"/>
    <w:pPr>
      <w:spacing w:line="420" w:lineRule="exact"/>
      <w:jc w:val="center"/>
    </w:pPr>
    <w:rPr>
      <w:rFonts w:hAnsi="宋体"/>
      <w:b/>
      <w:color w:val="000000"/>
      <w:position w:val="2"/>
      <w:sz w:val="24"/>
    </w:rPr>
  </w:style>
  <w:style w:type="paragraph" w:customStyle="1" w:styleId="72">
    <w:name w:val="文本"/>
    <w:basedOn w:val="11"/>
    <w:next w:val="1"/>
    <w:qFormat/>
    <w:uiPriority w:val="0"/>
    <w:pPr>
      <w:adjustRightInd w:val="0"/>
      <w:snapToGrid w:val="0"/>
      <w:ind w:firstLine="960"/>
    </w:pPr>
  </w:style>
  <w:style w:type="paragraph" w:customStyle="1" w:styleId="7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4">
    <w:name w:val="11正文"/>
    <w:qFormat/>
    <w:uiPriority w:val="0"/>
    <w:pPr>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75">
    <w:name w:val="表格内部—常用"/>
    <w:basedOn w:val="1"/>
    <w:next w:val="1"/>
    <w:qFormat/>
    <w:uiPriority w:val="99"/>
    <w:pPr>
      <w:jc w:val="center"/>
    </w:pPr>
    <w:rPr>
      <w:sz w:val="21"/>
      <w:szCs w:val="21"/>
    </w:rPr>
  </w:style>
  <w:style w:type="paragraph" w:customStyle="1" w:styleId="76">
    <w:name w:val="表格正文"/>
    <w:basedOn w:val="1"/>
    <w:next w:val="1"/>
    <w:qFormat/>
    <w:uiPriority w:val="0"/>
    <w:pPr>
      <w:jc w:val="center"/>
    </w:pPr>
    <w:rPr>
      <w:sz w:val="24"/>
    </w:rPr>
  </w:style>
  <w:style w:type="character" w:customStyle="1" w:styleId="77">
    <w:name w:val="font01"/>
    <w:qFormat/>
    <w:uiPriority w:val="0"/>
    <w:rPr>
      <w:rFonts w:ascii="Tahoma" w:hAnsi="Tahoma" w:eastAsia="Tahoma" w:cs="Tahoma"/>
      <w:color w:val="000000"/>
      <w:sz w:val="22"/>
      <w:szCs w:val="22"/>
      <w:u w:val="none"/>
    </w:rPr>
  </w:style>
  <w:style w:type="paragraph" w:customStyle="1" w:styleId="78">
    <w:name w:val="正文部分"/>
    <w:basedOn w:val="1"/>
    <w:qFormat/>
    <w:uiPriority w:val="0"/>
    <w:pPr>
      <w:topLinePunct/>
      <w:adjustRightInd w:val="0"/>
      <w:snapToGrid w:val="0"/>
      <w:spacing w:line="360" w:lineRule="auto"/>
      <w:ind w:firstLine="480" w:firstLineChars="200"/>
    </w:pPr>
    <w:rPr>
      <w:kern w:val="0"/>
      <w:sz w:val="24"/>
      <w:shd w:val="clear" w:color="auto" w:fill="FFFFFF"/>
      <w:lang w:val="zh-CN"/>
    </w:rPr>
  </w:style>
  <w:style w:type="paragraph" w:customStyle="1" w:styleId="79">
    <w:name w:val="eia正文"/>
    <w:basedOn w:val="1"/>
    <w:next w:val="1"/>
    <w:unhideWhenUsed/>
    <w:qFormat/>
    <w:uiPriority w:val="99"/>
    <w:pPr>
      <w:spacing w:line="360" w:lineRule="auto"/>
      <w:ind w:firstLine="200" w:firstLineChars="200"/>
      <w:jc w:val="left"/>
    </w:pPr>
    <w:rPr>
      <w:rFonts w:hint="eastAsia" w:ascii="Calibri" w:hAnsi="Calibri"/>
      <w:color w:val="000000"/>
      <w:kern w:val="0"/>
      <w:sz w:val="22"/>
      <w:szCs w:val="20"/>
      <w:lang w:val="sq-AL" w:eastAsia="en-US"/>
    </w:rPr>
  </w:style>
  <w:style w:type="paragraph" w:customStyle="1" w:styleId="80">
    <w:name w:val="外婆的标题之小标题"/>
    <w:basedOn w:val="81"/>
    <w:qFormat/>
    <w:uiPriority w:val="0"/>
    <w:pPr>
      <w:ind w:firstLine="560" w:firstLineChars="200"/>
      <w:outlineLvl w:val="0"/>
    </w:pPr>
  </w:style>
  <w:style w:type="paragraph" w:customStyle="1" w:styleId="81">
    <w:name w:val="外婆的标题之标题"/>
    <w:basedOn w:val="82"/>
    <w:qFormat/>
    <w:uiPriority w:val="0"/>
    <w:pPr>
      <w:spacing w:line="360" w:lineRule="auto"/>
      <w:jc w:val="left"/>
    </w:pPr>
    <w:rPr>
      <w:rFonts w:eastAsia="宋体"/>
      <w:sz w:val="24"/>
    </w:rPr>
  </w:style>
  <w:style w:type="paragraph" w:customStyle="1" w:styleId="82">
    <w:name w:val="外婆的标题之大标题"/>
    <w:basedOn w:val="1"/>
    <w:qFormat/>
    <w:uiPriority w:val="0"/>
    <w:rPr>
      <w:rFonts w:eastAsia="黑体"/>
      <w:b/>
      <w:sz w:val="28"/>
    </w:rPr>
  </w:style>
  <w:style w:type="paragraph" w:customStyle="1" w:styleId="83">
    <w:name w:val="List Paragraph"/>
    <w:basedOn w:val="1"/>
    <w:qFormat/>
    <w:uiPriority w:val="0"/>
    <w:pPr>
      <w:spacing w:line="360" w:lineRule="auto"/>
      <w:ind w:firstLine="420" w:firstLineChars="200"/>
    </w:pPr>
    <w:rPr>
      <w:rFonts w:cs="黑体"/>
      <w:sz w:val="28"/>
      <w:szCs w:val="22"/>
    </w:rPr>
  </w:style>
  <w:style w:type="paragraph" w:customStyle="1" w:styleId="84">
    <w:name w:val="居中正文"/>
    <w:basedOn w:val="27"/>
    <w:qFormat/>
    <w:uiPriority w:val="0"/>
    <w:pPr>
      <w:adjustRightInd w:val="0"/>
      <w:spacing w:before="120" w:after="0" w:line="360" w:lineRule="auto"/>
      <w:ind w:firstLine="0" w:firstLineChars="0"/>
      <w:jc w:val="center"/>
      <w:textAlignment w:val="baseline"/>
    </w:pPr>
    <w:rPr>
      <w:rFonts w:ascii="宋体"/>
      <w:kern w:val="28"/>
      <w:sz w:val="24"/>
      <w:szCs w:val="20"/>
    </w:rPr>
  </w:style>
  <w:style w:type="paragraph" w:customStyle="1" w:styleId="85">
    <w:name w:val="表格字体"/>
    <w:basedOn w:val="13"/>
    <w:qFormat/>
    <w:uiPriority w:val="0"/>
    <w:pPr>
      <w:adjustRightInd w:val="0"/>
      <w:spacing w:line="240" w:lineRule="auto"/>
      <w:jc w:val="center"/>
      <w:textAlignment w:val="baseline"/>
    </w:pPr>
    <w:rPr>
      <w:rFonts w:ascii="Times New Roman" w:hAnsi="Times New Roman"/>
      <w:spacing w:val="-2"/>
      <w:kern w:val="28"/>
      <w:szCs w:val="20"/>
    </w:rPr>
  </w:style>
  <w:style w:type="paragraph" w:customStyle="1" w:styleId="86">
    <w:name w:val="表标题"/>
    <w:basedOn w:val="1"/>
    <w:qFormat/>
    <w:uiPriority w:val="0"/>
    <w:pPr>
      <w:jc w:val="center"/>
    </w:pPr>
    <w:rPr>
      <w:b/>
      <w:color w:val="000000"/>
    </w:rPr>
  </w:style>
  <w:style w:type="paragraph" w:customStyle="1" w:styleId="87">
    <w:name w:val="WPSOffice手动目录 1"/>
    <w:qFormat/>
    <w:uiPriority w:val="0"/>
    <w:pPr>
      <w:ind w:leftChars="0"/>
    </w:pPr>
    <w:rPr>
      <w:rFonts w:ascii="Times New Roman" w:hAnsi="Times New Roman" w:eastAsia="宋体" w:cs="Times New Roman"/>
      <w:sz w:val="20"/>
      <w:szCs w:val="20"/>
    </w:rPr>
  </w:style>
  <w:style w:type="paragraph" w:customStyle="1" w:styleId="88">
    <w:name w:val="WPSOffice手动目录 2"/>
    <w:qFormat/>
    <w:uiPriority w:val="0"/>
    <w:pPr>
      <w:ind w:leftChars="200"/>
    </w:pPr>
    <w:rPr>
      <w:rFonts w:ascii="Times New Roman" w:hAnsi="Times New Roman" w:eastAsia="宋体" w:cs="Times New Roman"/>
      <w:sz w:val="20"/>
      <w:szCs w:val="20"/>
    </w:rPr>
  </w:style>
  <w:style w:type="paragraph" w:customStyle="1" w:styleId="89">
    <w:name w:val="4正文文本"/>
    <w:basedOn w:val="1"/>
    <w:qFormat/>
    <w:uiPriority w:val="0"/>
    <w:pPr>
      <w:spacing w:line="360" w:lineRule="auto"/>
      <w:ind w:firstLine="840" w:firstLineChars="200"/>
      <w:jc w:val="left"/>
    </w:pPr>
    <w:rPr>
      <w:sz w:val="24"/>
    </w:rPr>
  </w:style>
  <w:style w:type="paragraph" w:customStyle="1" w:styleId="90">
    <w:name w:val="Table Paragraph"/>
    <w:basedOn w:val="1"/>
    <w:qFormat/>
    <w:uiPriority w:val="1"/>
    <w:pPr>
      <w:jc w:val="center"/>
    </w:pPr>
    <w:rPr>
      <w:rFonts w:ascii="Times New Roman" w:hAnsi="Times New Roman" w:eastAsia="Times New Roman" w:cs="Times New Roman"/>
      <w:lang w:val="zh-CN" w:eastAsia="zh-CN" w:bidi="zh-CN"/>
    </w:rPr>
  </w:style>
  <w:style w:type="paragraph" w:customStyle="1" w:styleId="91">
    <w:name w:val="表格样式"/>
    <w:basedOn w:val="1"/>
    <w:next w:val="1"/>
    <w:qFormat/>
    <w:uiPriority w:val="0"/>
    <w:pPr>
      <w:adjustRightInd/>
      <w:snapToGrid/>
      <w:spacing w:line="360" w:lineRule="exact"/>
      <w:ind w:firstLine="0" w:firstLineChars="0"/>
      <w:jc w:val="center"/>
    </w:pPr>
    <w:rPr>
      <w:sz w:val="21"/>
      <w:szCs w:val="20"/>
    </w:rPr>
  </w:style>
  <w:style w:type="paragraph" w:customStyle="1" w:styleId="92">
    <w:name w:val="表后正文"/>
    <w:basedOn w:val="16"/>
    <w:qFormat/>
    <w:uiPriority w:val="0"/>
    <w:pPr>
      <w:adjustRightInd w:val="0"/>
      <w:spacing w:before="156" w:beforeLines="50" w:after="0" w:afterLines="0" w:line="480" w:lineRule="exact"/>
      <w:ind w:left="0" w:leftChars="0" w:firstLine="560" w:firstLineChars="200"/>
      <w:textAlignment w:val="baseline"/>
    </w:pPr>
    <w:rPr>
      <w:rFonts w:eastAsia="楷体_GB2312"/>
      <w:color w:val="000000"/>
      <w:sz w:val="28"/>
      <w:szCs w:val="20"/>
    </w:rPr>
  </w:style>
  <w:style w:type="paragraph" w:customStyle="1" w:styleId="93">
    <w:name w:val="表内正文"/>
    <w:basedOn w:val="1"/>
    <w:qFormat/>
    <w:uiPriority w:val="0"/>
    <w:pPr>
      <w:wordWrap w:val="0"/>
      <w:spacing w:line="360" w:lineRule="auto"/>
      <w:ind w:firstLine="1044" w:firstLineChars="200"/>
      <w:jc w:val="left"/>
    </w:pPr>
    <w:rPr>
      <w:rFonts w:hint="eastAsia"/>
      <w:kern w:val="0"/>
      <w:sz w:val="20"/>
      <w:szCs w:val="20"/>
    </w:rPr>
  </w:style>
  <w:style w:type="paragraph" w:customStyle="1" w:styleId="94">
    <w:name w:val="xl27"/>
    <w:basedOn w:val="1"/>
    <w:next w:val="95"/>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ind w:firstLine="560"/>
      <w:jc w:val="center"/>
    </w:pPr>
    <w:rPr>
      <w:rFonts w:ascii="???-18030" w:hAnsi="???-18030" w:cs="???-18030"/>
      <w:kern w:val="0"/>
      <w:szCs w:val="20"/>
    </w:rPr>
  </w:style>
  <w:style w:type="paragraph" w:customStyle="1" w:styleId="95">
    <w:name w:val="A正文"/>
    <w:basedOn w:val="1"/>
    <w:qFormat/>
    <w:uiPriority w:val="0"/>
    <w:pPr>
      <w:widowControl/>
      <w:overflowPunct w:val="0"/>
      <w:autoSpaceDE w:val="0"/>
      <w:autoSpaceDN w:val="0"/>
      <w:jc w:val="left"/>
      <w:textAlignment w:val="baseline"/>
    </w:pPr>
  </w:style>
  <w:style w:type="paragraph" w:customStyle="1" w:styleId="96">
    <w:name w:val="样式 正文文本缩进正文文字缩进 + 首行缩进:  2 字符"/>
    <w:basedOn w:val="1"/>
    <w:next w:val="1"/>
    <w:unhideWhenUsed/>
    <w:qFormat/>
    <w:uiPriority w:val="0"/>
    <w:pPr>
      <w:widowControl/>
      <w:spacing w:line="336" w:lineRule="auto"/>
      <w:ind w:firstLine="560"/>
      <w:jc w:val="left"/>
    </w:pPr>
    <w:rPr>
      <w:rFonts w:hint="default" w:ascii="宋体" w:eastAsia="宋体" w:cs="宋体"/>
      <w:sz w:val="28"/>
      <w:szCs w:val="28"/>
    </w:rPr>
  </w:style>
  <w:style w:type="paragraph" w:customStyle="1" w:styleId="97">
    <w:name w:val="正文kmj"/>
    <w:basedOn w:val="1"/>
    <w:qFormat/>
    <w:uiPriority w:val="0"/>
    <w:pPr>
      <w:snapToGrid w:val="0"/>
      <w:spacing w:line="400" w:lineRule="exact"/>
      <w:ind w:firstLine="200" w:firstLineChars="200"/>
      <w:textAlignment w:val="center"/>
    </w:pPr>
    <w:rPr>
      <w:rFonts w:ascii="Times New Roman" w:hAnsi="Times New Roman" w:eastAsia="宋体"/>
    </w:rPr>
  </w:style>
  <w:style w:type="character" w:customStyle="1" w:styleId="98">
    <w:name w:val="fontstyle01"/>
    <w:qFormat/>
    <w:uiPriority w:val="0"/>
    <w:rPr>
      <w:rFonts w:hint="eastAsia" w:ascii="宋体" w:hAnsi="宋体" w:eastAsia="宋体"/>
      <w:color w:val="000000"/>
      <w:sz w:val="24"/>
      <w:szCs w:val="24"/>
    </w:rPr>
  </w:style>
  <w:style w:type="paragraph" w:customStyle="1" w:styleId="99">
    <w:name w:val="报告"/>
    <w:basedOn w:val="1"/>
    <w:qFormat/>
    <w:uiPriority w:val="0"/>
    <w:pPr>
      <w:overflowPunct w:val="0"/>
      <w:autoSpaceDE w:val="0"/>
      <w:autoSpaceDN w:val="0"/>
      <w:adjustRightInd w:val="0"/>
      <w:spacing w:line="400" w:lineRule="atLeast"/>
      <w:ind w:left="400" w:leftChars="400"/>
    </w:pPr>
    <w:rPr>
      <w:kern w:val="0"/>
      <w:sz w:val="24"/>
    </w:rPr>
  </w:style>
  <w:style w:type="paragraph" w:customStyle="1" w:styleId="100">
    <w:name w:val="Plain Text"/>
    <w:basedOn w:val="1"/>
    <w:semiHidden/>
    <w:qFormat/>
    <w:uiPriority w:val="0"/>
    <w:rPr>
      <w:rFonts w:hint="eastAsia" w:ascii="宋体" w:hAnsi="Courier New"/>
      <w:sz w:val="28"/>
    </w:rPr>
  </w:style>
  <w:style w:type="paragraph" w:customStyle="1" w:styleId="101">
    <w:name w:val="表格文字（对中）"/>
    <w:basedOn w:val="6"/>
    <w:qFormat/>
    <w:uiPriority w:val="0"/>
    <w:pPr>
      <w:spacing w:line="480" w:lineRule="exact"/>
      <w:ind w:firstLine="0"/>
      <w:jc w:val="center"/>
    </w:pPr>
    <w:rPr>
      <w:rFonts w:ascii="黑体" w:hAnsi="Calibri" w:eastAsia="黑体"/>
      <w:color w:val="000000"/>
      <w:sz w:val="24"/>
      <w:szCs w:val="21"/>
      <w:lang w:val="en-US" w:eastAsia="zh-CN"/>
    </w:rPr>
  </w:style>
  <w:style w:type="paragraph" w:customStyle="1" w:styleId="102">
    <w:name w:val="3项目由来"/>
    <w:basedOn w:val="1"/>
    <w:qFormat/>
    <w:uiPriority w:val="0"/>
    <w:pPr>
      <w:spacing w:line="360" w:lineRule="auto"/>
      <w:ind w:firstLine="840" w:firstLineChars="200"/>
      <w:outlineLvl w:val="2"/>
    </w:pPr>
    <w:rPr>
      <w:b/>
      <w:bCs/>
      <w:kern w:val="0"/>
      <w:sz w:val="24"/>
      <w:szCs w:val="20"/>
    </w:rPr>
  </w:style>
  <w:style w:type="paragraph" w:customStyle="1" w:styleId="103">
    <w:name w:val="4-正文"/>
    <w:basedOn w:val="104"/>
    <w:qFormat/>
    <w:uiPriority w:val="0"/>
    <w:pPr>
      <w:adjustRightInd w:val="0"/>
      <w:snapToGrid w:val="0"/>
      <w:spacing w:line="360" w:lineRule="auto"/>
      <w:ind w:firstLine="200" w:firstLineChars="200"/>
    </w:pPr>
    <w:rPr>
      <w:rFonts w:hAnsi="仿宋_GB2312"/>
      <w:sz w:val="30"/>
    </w:rPr>
  </w:style>
  <w:style w:type="paragraph" w:customStyle="1" w:styleId="104">
    <w:name w:val="4在用-正文"/>
    <w:basedOn w:val="1"/>
    <w:qFormat/>
    <w:uiPriority w:val="0"/>
    <w:pPr>
      <w:adjustRightInd w:val="0"/>
      <w:snapToGrid w:val="0"/>
      <w:spacing w:line="360" w:lineRule="auto"/>
      <w:ind w:firstLine="200" w:firstLineChars="200"/>
    </w:pPr>
    <w:rPr>
      <w:rFonts w:ascii="仿宋_GB2312" w:hAnsi="Arial" w:eastAsia="仿宋_GB2312"/>
      <w:bCs/>
      <w:szCs w:val="32"/>
    </w:rPr>
  </w:style>
  <w:style w:type="paragraph" w:customStyle="1" w:styleId="105">
    <w:name w:val="3-四级标题"/>
    <w:basedOn w:val="1"/>
    <w:qFormat/>
    <w:uiPriority w:val="0"/>
    <w:pPr>
      <w:adjustRightInd w:val="0"/>
      <w:snapToGrid w:val="0"/>
      <w:spacing w:line="360" w:lineRule="auto"/>
      <w:ind w:firstLine="200" w:firstLineChars="200"/>
      <w:outlineLvl w:val="3"/>
    </w:pPr>
    <w:rPr>
      <w:rFonts w:ascii="仿宋_GB2312" w:hAnsi="仿宋_GB2312" w:eastAsia="仿宋_GB2312"/>
      <w:b/>
      <w:sz w:val="30"/>
      <w:szCs w:val="32"/>
    </w:rPr>
  </w:style>
  <w:style w:type="paragraph" w:customStyle="1" w:styleId="106">
    <w:name w:val="5表头"/>
    <w:basedOn w:val="89"/>
    <w:qFormat/>
    <w:uiPriority w:val="0"/>
    <w:pPr>
      <w:ind w:firstLine="0" w:firstLineChars="0"/>
      <w:jc w:val="center"/>
    </w:pPr>
    <w:rPr>
      <w:b/>
    </w:rPr>
  </w:style>
  <w:style w:type="paragraph" w:customStyle="1" w:styleId="107">
    <w:name w:val="2工程内容及规模"/>
    <w:basedOn w:val="1"/>
    <w:qFormat/>
    <w:uiPriority w:val="0"/>
    <w:pPr>
      <w:spacing w:line="360" w:lineRule="auto"/>
      <w:jc w:val="left"/>
      <w:outlineLvl w:val="1"/>
    </w:pPr>
    <w:rPr>
      <w:b/>
      <w:sz w:val="28"/>
      <w:szCs w:val="28"/>
    </w:rPr>
  </w:style>
  <w:style w:type="paragraph" w:customStyle="1" w:styleId="108">
    <w:name w:val="表格标题"/>
    <w:basedOn w:val="109"/>
    <w:next w:val="1"/>
    <w:qFormat/>
    <w:uiPriority w:val="0"/>
    <w:pPr>
      <w:spacing w:line="240" w:lineRule="auto"/>
      <w:ind w:firstLine="0" w:firstLineChars="0"/>
      <w:jc w:val="center"/>
    </w:pPr>
    <w:rPr>
      <w:b/>
      <w:sz w:val="21"/>
    </w:rPr>
  </w:style>
  <w:style w:type="paragraph" w:customStyle="1" w:styleId="109">
    <w:name w:val="表格居中"/>
    <w:basedOn w:val="110"/>
    <w:next w:val="1"/>
    <w:qFormat/>
    <w:uiPriority w:val="0"/>
    <w:pPr>
      <w:spacing w:line="240" w:lineRule="auto"/>
      <w:jc w:val="center"/>
    </w:pPr>
    <w:rPr>
      <w:rFonts w:ascii="宋体" w:hAnsi="宋体"/>
      <w:bCs/>
      <w:snapToGrid w:val="0"/>
      <w:kern w:val="18"/>
      <w:szCs w:val="21"/>
    </w:rPr>
  </w:style>
  <w:style w:type="paragraph" w:customStyle="1" w:styleId="110">
    <w:name w:val="第一页"/>
    <w:basedOn w:val="1"/>
    <w:qFormat/>
    <w:uiPriority w:val="0"/>
    <w:pPr>
      <w:spacing w:line="500" w:lineRule="exact"/>
    </w:pPr>
  </w:style>
  <w:style w:type="paragraph" w:customStyle="1" w:styleId="111">
    <w:name w:val="表格内容"/>
    <w:basedOn w:val="13"/>
    <w:next w:val="1"/>
    <w:qFormat/>
    <w:uiPriority w:val="0"/>
    <w:pPr>
      <w:adjustRightInd w:val="0"/>
      <w:snapToGrid w:val="0"/>
      <w:spacing w:line="240" w:lineRule="auto"/>
      <w:ind w:firstLine="0" w:firstLineChars="0"/>
      <w:jc w:val="center"/>
    </w:pPr>
    <w:rPr>
      <w:rFonts w:ascii="Times New Roman" w:hAnsi="Times New Roman"/>
    </w:rPr>
  </w:style>
  <w:style w:type="paragraph" w:customStyle="1" w:styleId="112">
    <w:name w:val="6表格小"/>
    <w:basedOn w:val="1"/>
    <w:qFormat/>
    <w:uiPriority w:val="99"/>
    <w:pPr>
      <w:snapToGrid w:val="0"/>
      <w:jc w:val="center"/>
    </w:pPr>
    <w:rPr>
      <w:spacing w:val="2"/>
      <w:szCs w:val="20"/>
    </w:rPr>
  </w:style>
  <w:style w:type="paragraph" w:customStyle="1" w:styleId="113">
    <w:name w:val="2-三级标题"/>
    <w:basedOn w:val="1"/>
    <w:qFormat/>
    <w:uiPriority w:val="0"/>
    <w:pPr>
      <w:adjustRightInd w:val="0"/>
      <w:snapToGrid w:val="0"/>
      <w:spacing w:line="360" w:lineRule="auto"/>
      <w:ind w:firstLine="602" w:firstLineChars="200"/>
      <w:outlineLvl w:val="2"/>
    </w:pPr>
    <w:rPr>
      <w:rFonts w:ascii="楷体_GB2312" w:hAnsi="楷体_GB2312" w:eastAsia="楷体_GB2312"/>
      <w:b/>
      <w:sz w:val="30"/>
      <w:szCs w:val="32"/>
    </w:rPr>
  </w:style>
  <w:style w:type="paragraph" w:customStyle="1" w:styleId="114">
    <w:name w:val="真·正文"/>
    <w:basedOn w:val="1"/>
    <w:qFormat/>
    <w:uiPriority w:val="0"/>
    <w:pPr>
      <w:spacing w:line="360" w:lineRule="auto"/>
      <w:ind w:firstLine="482" w:firstLineChars="200"/>
      <w:jc w:val="left"/>
    </w:pPr>
    <w:rPr>
      <w:rFonts w:ascii="Times New Roman" w:hAnsi="Times New Roman" w:eastAsia="宋体"/>
      <w:sz w:val="24"/>
    </w:rPr>
  </w:style>
  <w:style w:type="paragraph" w:customStyle="1" w:styleId="115">
    <w:name w:val="表格内容--中祥"/>
    <w:basedOn w:val="1"/>
    <w:qFormat/>
    <w:uiPriority w:val="0"/>
    <w:pPr>
      <w:spacing w:line="240" w:lineRule="auto"/>
      <w:ind w:firstLine="0" w:firstLineChars="0"/>
      <w:jc w:val="center"/>
    </w:pPr>
    <w:rPr>
      <w:rFonts w:ascii="Times New Roman" w:hAnsi="Times New Roman" w:eastAsia="宋体" w:cs="Times New Roman"/>
      <w:kern w:val="0"/>
      <w:sz w:val="21"/>
      <w:szCs w:val="21"/>
    </w:rPr>
  </w:style>
  <w:style w:type="paragraph" w:customStyle="1" w:styleId="116">
    <w:name w:val="5-图表"/>
    <w:basedOn w:val="103"/>
    <w:qFormat/>
    <w:uiPriority w:val="0"/>
    <w:pPr>
      <w:ind w:firstLine="0" w:firstLineChars="0"/>
      <w:jc w:val="center"/>
    </w:pPr>
  </w:style>
  <w:style w:type="table" w:customStyle="1" w:styleId="117">
    <w:name w:val="Table Normal"/>
    <w:unhideWhenUsed/>
    <w:qFormat/>
    <w:uiPriority w:val="0"/>
    <w:tblPr>
      <w:tblCellMar>
        <w:top w:w="0" w:type="dxa"/>
        <w:left w:w="0" w:type="dxa"/>
        <w:bottom w:w="0" w:type="dxa"/>
        <w:right w:w="0" w:type="dxa"/>
      </w:tblCellMar>
    </w:tblPr>
  </w:style>
  <w:style w:type="paragraph" w:customStyle="1" w:styleId="11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4.wmf"/><Relationship Id="rId23" Type="http://schemas.openxmlformats.org/officeDocument/2006/relationships/image" Target="media/image13.wmf"/><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emf"/><Relationship Id="rId14" Type="http://schemas.openxmlformats.org/officeDocument/2006/relationships/oleObject" Target="embeddings/oleObject3.bin"/><Relationship Id="rId13" Type="http://schemas.openxmlformats.org/officeDocument/2006/relationships/image" Target="media/image4.png"/><Relationship Id="rId12" Type="http://schemas.openxmlformats.org/officeDocument/2006/relationships/image" Target="media/image3.emf"/><Relationship Id="rId11" Type="http://schemas.openxmlformats.org/officeDocument/2006/relationships/oleObject" Target="embeddings/oleObject2.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0810f88a-d72d-4570-9378-bbf86d62d9ea</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54F1D998</paraID>
      <start>18</start>
      <end>21</end>
      <status>unmodified</status>
      <modifiedWord/>
      <trackRevisions>false</trackRevisions>
    </reviewItem>
    <reviewItem>
      <errorID>b8825a2d-ec71-4cec-b338-f790c1789b1f</errorID>
      <errorWord> </errorWord>
      <group>L1_Word</group>
      <groupName>字词问题</groupName>
      <ability>L2_Typo</ability>
      <abilityName>字词错误</abilityName>
      <candidateList>
        <item>°</item>
      </candidateList>
      <explain/>
      <paraID>212B8F7B</paraID>
      <start>14</start>
      <end>15</end>
      <status>unmodified</status>
      <modifiedWord/>
      <trackRevisions>false</trackRevisions>
    </reviewItem>
    <reviewItem>
      <errorID>3c0bd4d0-0e0d-4a83-b673-33af21965bb0</errorID>
      <errorWord> </errorWord>
      <group>L1_Word</group>
      <groupName>字词问题</groupName>
      <ability>L2_Typo</ability>
      <abilityName>字词错误</abilityName>
      <candidateList>
        <item>°</item>
      </candidateList>
      <explain/>
      <paraID>212B8F7B</paraID>
      <start>31</start>
      <end>32</end>
      <status>unmodified</status>
      <modifiedWord/>
      <trackRevisions>false</trackRevisions>
    </reviewItem>
    <reviewItem>
      <errorID>f24027d5-e601-4275-aba6-2e1721c1e3ec</errorID>
      <errorWord>－</errorWord>
      <group>L1_Punc</group>
      <groupName>标点问题</groupName>
      <ability>L2_Punc</ability>
      <abilityName>标点符号检查</abilityName>
      <candidateList>
        <item>-</item>
      </candidateList>
      <explain/>
      <paraID> 6158792</paraID>
      <start>13</start>
      <end>14</end>
      <status>unmodified</status>
      <modifiedWord/>
      <trackRevisions>false</trackRevisions>
    </reviewItem>
    <reviewItem>
      <errorID>ba8f8028-22ac-41d0-b44f-f6648c80206d</errorID>
      <errorWord>洗</errorWord>
      <group>L1_Word</group>
      <groupName>字词问题</groupName>
      <ability>L2_Typo</ability>
      <abilityName>字词错误</abilityName>
      <candidateList>
        <item>洗选</item>
      </candidateList>
      <explain/>
      <paraID> 6158792</paraID>
      <start>22</start>
      <end>23</end>
      <status>unmodified</status>
      <modifiedWord/>
      <trackRevisions>false</trackRevisions>
    </reviewItem>
    <reviewItem>
      <errorID>8da91ec2-61eb-4875-ad0f-38c500eff412</errorID>
      <errorWord>》（试行）</errorWord>
      <group>L1_Word</group>
      <groupName>字词问题</groupName>
      <ability>L2_Typo</ability>
      <abilityName>字词错误</abilityName>
      <candidateList>
        <item>（试行）》</item>
      </candidateList>
      <explain/>
      <paraID>2E61A3A7</paraID>
      <start>27</start>
      <end>32</end>
      <status>unmodified</status>
      <modifiedWord/>
      <trackRevisions>false</trackRevisions>
    </reviewItem>
    <reviewItem>
      <errorID>f473a967-e74e-480c-9e5b-7ee9040d57b5</errorID>
      <errorWord>(</errorWord>
      <group>L1_Format</group>
      <groupName>格式问题</groupName>
      <ability>L2_HalfPunc</ability>
      <abilityName>全半角检查</abilityName>
      <candidateList>
        <item>（</item>
      </candidateList>
      <explain>文本全半角错误。</explain>
      <paraID>5CB4C396</paraID>
      <start>7</start>
      <end>8</end>
      <status>unmodified</status>
      <modifiedWord/>
      <trackRevisions>false</trackRevisions>
    </reviewItem>
    <reviewItem>
      <errorID>189dc5a5-da91-4ee9-aeb1-b8f3a14d1188</errorID>
      <errorWord>)</errorWord>
      <group>L1_Format</group>
      <groupName>格式问题</groupName>
      <ability>L2_HalfPunc</ability>
      <abilityName>全半角检查</abilityName>
      <candidateList>
        <item>）</item>
      </candidateList>
      <explain>文本全半角错误。</explain>
      <paraID>5CB4C396</paraID>
      <start>18</start>
      <end>19</end>
      <status>unmodified</status>
      <modifiedWord/>
      <trackRevisions>false</trackRevisions>
    </reviewItem>
    <reviewItem>
      <errorID>5e2ab621-ee3d-4ce9-a26b-b3d596338dee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3720F454</paraID>
      <start>0</start>
      <end>2</end>
      <status>unmodified</status>
      <modifiedWord/>
      <trackRevisions>false</trackRevisions>
    </reviewItem>
    <reviewItem>
      <errorID>db8d6e44-379d-49f4-9ac4-b6805fe740f2</errorID>
      <errorWord>；</errorWord>
      <group>L1_Punc</group>
      <groupName>标点问题</groupName>
      <ability>L2_Punc</ability>
      <abilityName>标点符号检查</abilityName>
      <candidateList>
        <item/>
      </candidateList>
      <explain/>
      <paraID> DF793A0</paraID>
      <start>31</start>
      <end>32</end>
      <status>unmodified</status>
      <modifiedWord/>
      <trackRevisions>false</trackRevisions>
    </reviewItem>
    <reviewItem>
      <errorID>1aeadcb4-c7a9-4488-8f14-3b8e4ec6af88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68EA752</paraID>
      <start>0</start>
      <end>2</end>
      <status>unmodified</status>
      <modifiedWord/>
      <trackRevisions>false</trackRevisions>
    </reviewItem>
    <reviewItem>
      <errorID>fc8b558e-3d62-4301-9831-3b6fddcc53d1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68EA752</paraID>
      <start>31</start>
      <end>32</end>
      <status>unmodified</status>
      <modifiedWord/>
      <trackRevisions>false</trackRevisions>
    </reviewItem>
    <reviewItem>
      <errorID>edb05e90-f996-4c72-9c74-b49616b61e1b</errorID>
      <errorWord>、</errorWord>
      <group>L1_Punc</group>
      <groupName>标点问题</groupName>
      <ability>L2_Punc</ability>
      <abilityName>标点符号检查</abilityName>
      <candidateList>
        <item>，</item>
      </candidateList>
      <explain/>
      <paraID>7758C7F1</paraID>
      <start>223</start>
      <end>224</end>
      <status>unmodified</status>
      <modifiedWord/>
      <trackRevisions>false</trackRevisions>
    </reviewItem>
    <reviewItem>
      <errorID>f952f640-5c7c-45c3-ac4c-99dc618b3d47</errorID>
      <errorWord>、</errorWord>
      <group>L1_Punc</group>
      <groupName>标点问题</groupName>
      <ability>L2_Punc</ability>
      <abilityName>标点符号检查</abilityName>
      <candidateList>
        <item>，</item>
      </candidateList>
      <explain/>
      <paraID>7758C7F1</paraID>
      <start>247</start>
      <end>248</end>
      <status>unmodified</status>
      <modifiedWord/>
      <trackRevisions>false</trackRevisions>
    </reviewItem>
    <reviewItem>
      <errorID>59bd8e9d-59fc-49b5-b341-c183eeba7098</errorID>
      <errorWord>、</errorWord>
      <group>L1_Punc</group>
      <groupName>标点问题</groupName>
      <ability>L2_Punc</ability>
      <abilityName>标点符号检查</abilityName>
      <candidateList>
        <item>，</item>
      </candidateList>
      <explain/>
      <paraID>7758C7F1</paraID>
      <start>272</start>
      <end>273</end>
      <status>unmodified</status>
      <modifiedWord/>
      <trackRevisions>false</trackRevisions>
    </reviewItem>
    <reviewItem>
      <errorID>72ef7d93-4935-4ba9-b30a-35e3d63bcde0</errorID>
      <errorWord>；</errorWord>
      <group>L1_Punc</group>
      <groupName>标点问题</groupName>
      <ability>L2_Punc</ability>
      <abilityName>标点符号检查</abilityName>
      <candidateList>
        <item>。</item>
      </candidateList>
      <explain/>
      <paraID>7758C7F1</paraID>
      <start>297</start>
      <end>298</end>
      <status>unmodified</status>
      <modifiedWord/>
      <trackRevisions>false</trackRevisions>
    </reviewItem>
    <reviewItem>
      <errorID>88ec9bd8-3358-40d6-ac37-531228238be9</errorID>
      <errorWord>以</errorWord>
      <group>L1_Word</group>
      <groupName>字词问题</groupName>
      <ability>L2_Typo</ability>
      <abilityName>字词错误</abilityName>
      <candidateList>
        <item>秉持</item>
      </candidateList>
      <explain/>
      <paraID>6845CDA0</paraID>
      <start>114</start>
      <end>115</end>
      <status>unmodified</status>
      <modifiedWord/>
      <trackRevisions>false</trackRevisions>
    </reviewItem>
    <reviewItem>
      <errorID>3d35dc28-6cc8-4ad7-8506-6b36685b322c</errorID>
      <errorWord>将</errorWord>
      <group>L1_Punc</group>
      <groupName>标点问题</groupName>
      <ability>L2_Punc</ability>
      <abilityName>标点符号检查</abilityName>
      <candidateList>
        <item>，将</item>
      </candidateList>
      <explain/>
      <paraID>6845CDA0</paraID>
      <start>142</start>
      <end>143</end>
      <status>unmodified</status>
      <modifiedWord/>
      <trackRevisions>false</trackRevisions>
    </reviewItem>
    <reviewItem>
      <errorID>1a396d9d-95db-4382-95f7-46c43259a4b9</errorID>
      <errorWord>生命</errorWord>
      <group>L1_Grammar</group>
      <groupName>语法问题</groupName>
      <ability>L2_Grammar</ability>
      <abilityName>语法错误</abilityName>
      <candidateList>
        <item>矿工生命</item>
      </candidateList>
      <explain/>
      <paraID>21BFEFA6</paraID>
      <start>103</start>
      <end>105</end>
      <status>unmodified</status>
      <modifiedWord/>
      <trackRevisions>false</trackRevisions>
    </reviewItem>
    <reviewItem>
      <errorID>3ae03ec0-717e-42c9-872c-56e514653be0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21BFEFA6</paraID>
      <start>191</start>
      <end>194</end>
      <status>unmodified</status>
      <modifiedWord/>
      <trackRevisions>false</trackRevisions>
    </reviewItem>
    <reviewItem>
      <errorID>0a4ad597-32ad-40fe-96e9-c1b2d4f03dc9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E28C4BA</paraID>
      <start>25</start>
      <end>26</end>
      <status>unmodified</status>
      <modifiedWord/>
      <trackRevisions>false</trackRevisions>
    </reviewItem>
    <reviewItem>
      <errorID>b93ca1a3-5184-4cae-ac55-d0ed9856392c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2651A62F</paraID>
      <start>0</start>
      <end>2</end>
      <status>unmodified</status>
      <modifiedWord/>
      <trackRevisions>false</trackRevisions>
    </reviewItem>
    <reviewItem>
      <errorID>199053c9-c91a-478f-bb66-e8a2370ef3fa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7979308F</paraID>
      <start>93</start>
      <end>94</end>
      <status>unmodified</status>
      <modifiedWord/>
      <trackRevisions>false</trackRevisions>
    </reviewItem>
    <reviewItem>
      <errorID>d4a1780a-ea7a-4909-800a-fdcdd01a4fce</errorID>
      <errorWord>。</errorWord>
      <group>L1_Punc</group>
      <groupName>标点问题</groupName>
      <ability>L2_Punc</ability>
      <abilityName>标点符号检查</abilityName>
      <candidateList>
        <item>”。</item>
      </candidateList>
      <explain/>
      <paraID>7979308F</paraID>
      <start>134</start>
      <end>135</end>
      <status>unmodified</status>
      <modifiedWord/>
      <trackRevisions>false</trackRevisions>
    </reviewItem>
    <reviewItem>
      <errorID>6deb84c6-c384-4928-8660-677d58970be5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7624F025</paraID>
      <start>0</start>
      <end>2</end>
      <status>unmodified</status>
      <modifiedWord/>
      <trackRevisions>false</trackRevisions>
    </reviewItem>
    <reviewItem>
      <errorID>19ebafb8-8c79-4c6b-abce-9cd96e181d3f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E5D3942</paraID>
      <start>0</start>
      <end>2</end>
      <status>unmodified</status>
      <modifiedWord/>
      <trackRevisions>false</trackRevisions>
    </reviewItem>
    <reviewItem>
      <errorID>ae8d9039-138a-4d4f-a3ea-eedaa94f212b</errorID>
      <errorWord>淮南市公开</errorWord>
      <group>L1_Grammar</group>
      <groupName>语法问题</groupName>
      <ability>L2_Grammar</ability>
      <abilityName>语法错误</abilityName>
      <candidateList>
        <item>淮南市</item>
      </candidateList>
      <explain/>
      <paraID>5F354CA3</paraID>
      <start>257</start>
      <end>262</end>
      <status>unmodified</status>
      <modifiedWord/>
      <trackRevisions>false</trackRevisions>
    </reviewItem>
    <reviewItem>
      <errorID>e8e46d00-48d9-437d-bd76-db4a455b04c4</errorID>
      <errorWord>:</errorWord>
      <group>L1_Format</group>
      <groupName>格式问题</groupName>
      <ability>L2_HalfPunc</ability>
      <abilityName>全半角检查</abilityName>
      <candidateList>
        <item>：</item>
      </candidateList>
      <explain>文本全半角错误。</explain>
      <paraID>219E07F7</paraID>
      <start>15</start>
      <end>16</end>
      <status>unmodified</status>
      <modifiedWord/>
      <trackRevisions>false</trackRevisions>
    </reviewItem>
    <reviewItem>
      <errorID>61b4f086-6865-4db0-94e6-2a5d9fac4f27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6F141058</paraID>
      <start>0</start>
      <end>3</end>
      <status>unmodified</status>
      <modifiedWord/>
      <trackRevisions>false</trackRevisions>
    </reviewItem>
    <reviewItem>
      <errorID>702271f9-366a-4969-9ee2-a1ebc489a837</errorID>
      <errorWord>;</errorWord>
      <group>L1_Format</group>
      <groupName>格式问题</groupName>
      <ability>L2_HalfPunc</ability>
      <abilityName>全半角检查</abilityName>
      <candidateList>
        <item>；</item>
      </candidateList>
      <explain>文本全半角错误。</explain>
      <paraID>6F141058</paraID>
      <start>13</start>
      <end>14</end>
      <status>unmodified</status>
      <modifiedWord/>
      <trackRevisions>false</trackRevisions>
    </reviewItem>
    <reviewItem>
      <errorID>acbc9f82-f253-42e6-a62a-1cd1b18e6aa4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738167B3</paraID>
      <start>0</start>
      <end>3</end>
      <status>unmodified</status>
      <modifiedWord/>
      <trackRevisions>false</trackRevisions>
    </reviewItem>
    <reviewItem>
      <errorID>ccc88c9d-8b94-46c7-9186-12a8777ad626</errorID>
      <errorWord>;</errorWord>
      <group>L1_Format</group>
      <groupName>格式问题</groupName>
      <ability>L2_HalfPunc</ability>
      <abilityName>全半角检查</abilityName>
      <candidateList>
        <item>；</item>
      </candidateList>
      <explain>文本全半角错误。</explain>
      <paraID>738167B3</paraID>
      <start>10</start>
      <end>11</end>
      <status>unmodified</status>
      <modifiedWord/>
      <trackRevisions>false</trackRevisions>
    </reviewItem>
    <reviewItem>
      <errorID>8e1a9306-f602-495d-a94b-65f62ef10bfe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7045D3BF</paraID>
      <start>0</start>
      <end>3</end>
      <status>unmodified</status>
      <modifiedWord/>
      <trackRevisions>false</trackRevisions>
    </reviewItem>
    <reviewItem>
      <errorID>7ba5f064-9883-4c65-8cec-656fcfc88cfc</errorID>
      <errorWord>;</errorWord>
      <group>L1_Format</group>
      <groupName>格式问题</groupName>
      <ability>L2_HalfPunc</ability>
      <abilityName>全半角检查</abilityName>
      <candidateList>
        <item>；</item>
      </candidateList>
      <explain>文本全半角错误。</explain>
      <paraID>7045D3BF</paraID>
      <start>11</start>
      <end>12</end>
      <status>unmodified</status>
      <modifiedWord/>
      <trackRevisions>false</trackRevisions>
    </reviewItem>
    <reviewItem>
      <errorID>7d60d9ac-884f-45eb-b2f2-1ba46a9f2d1b</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173E687F</paraID>
      <start>0</start>
      <end>3</end>
      <status>unmodified</status>
      <modifiedWord/>
      <trackRevisions>false</trackRevisions>
    </reviewItem>
    <reviewItem>
      <errorID>a85a68ce-b009-4009-a2ac-8ef711507d1a</errorID>
      <errorWord>;</errorWord>
      <group>L1_Format</group>
      <groupName>格式问题</groupName>
      <ability>L2_HalfPunc</ability>
      <abilityName>全半角检查</abilityName>
      <candidateList>
        <item>；</item>
      </candidateList>
      <explain>文本全半角错误。</explain>
      <paraID>173E687F</paraID>
      <start>16</start>
      <end>17</end>
      <status>unmodified</status>
      <modifiedWord/>
      <trackRevisions>false</trackRevisions>
    </reviewItem>
    <reviewItem>
      <errorID>2b515685-f054-41a3-a45a-b52f61983c20</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5A86C3C5</paraID>
      <start>0</start>
      <end>3</end>
      <status>unmodified</status>
      <modifiedWord/>
      <trackRevisions>false</trackRevisions>
    </reviewItem>
    <reviewItem>
      <errorID>35a740a2-e40d-4657-9b7b-33802f08e92d</errorID>
      <errorWord>;</errorWord>
      <group>L1_Format</group>
      <groupName>格式问题</groupName>
      <ability>L2_HalfPunc</ability>
      <abilityName>全半角检查</abilityName>
      <candidateList>
        <item>；</item>
      </candidateList>
      <explain>文本全半角错误。</explain>
      <paraID>5A86C3C5</paraID>
      <start>22</start>
      <end>23</end>
      <status>unmodified</status>
      <modifiedWord/>
      <trackRevisions>false</trackRevisions>
    </reviewItem>
    <reviewItem>
      <errorID>4d87b7f8-16d6-4757-9dd3-793db31f8881</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33C8FC8B</paraID>
      <start>0</start>
      <end>3</end>
      <status>unmodified</status>
      <modifiedWord/>
      <trackRevisions>false</trackRevisions>
    </reviewItem>
    <reviewItem>
      <errorID>dfbd3bd4-3c6f-410d-9471-a035c024c0b0</errorID>
      <errorWord>;</errorWord>
      <group>L1_Format</group>
      <groupName>格式问题</groupName>
      <ability>L2_HalfPunc</ability>
      <abilityName>全半角检查</abilityName>
      <candidateList>
        <item>；</item>
      </candidateList>
      <explain>文本全半角错误。</explain>
      <paraID>33C8FC8B</paraID>
      <start>25</start>
      <end>26</end>
      <status>unmodified</status>
      <modifiedWord/>
      <trackRevisions>false</trackRevisions>
    </reviewItem>
    <reviewItem>
      <errorID>28c8ddf8-0a14-4315-a382-2a1fce92d82e</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5EF747D8</paraID>
      <start>0</start>
      <end>3</end>
      <status>unmodified</status>
      <modifiedWord/>
      <trackRevisions>false</trackRevisions>
    </reviewItem>
    <reviewItem>
      <errorID>f173ae67-5773-42cf-a204-c71f3c32b4e7</errorID>
      <errorWord>;</errorWord>
      <group>L1_Format</group>
      <groupName>格式问题</groupName>
      <ability>L2_HalfPunc</ability>
      <abilityName>全半角检查</abilityName>
      <candidateList>
        <item>；</item>
      </candidateList>
      <explain>文本全半角错误。</explain>
      <paraID>5EF747D8</paraID>
      <start>11</start>
      <end>12</end>
      <status>unmodified</status>
      <modifiedWord/>
      <trackRevisions>false</trackRevisions>
    </reviewItem>
    <reviewItem>
      <errorID>3eac13f4-09a9-423b-95d0-6b05d582384e</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404B24C</paraID>
      <start>0</start>
      <end>3</end>
      <status>unmodified</status>
      <modifiedWord/>
      <trackRevisions>false</trackRevisions>
    </reviewItem>
    <reviewItem>
      <errorID>c9b1d138-af0b-4842-9337-cd7cbfba3fa2</errorID>
      <errorWord>;</errorWord>
      <group>L1_Format</group>
      <groupName>格式问题</groupName>
      <ability>L2_HalfPunc</ability>
      <abilityName>全半角检查</abilityName>
      <candidateList>
        <item>；</item>
      </candidateList>
      <explain>文本全半角错误。</explain>
      <paraID> 404B24C</paraID>
      <start>18</start>
      <end>19</end>
      <status>unmodified</status>
      <modifiedWord/>
      <trackRevisions>false</trackRevisions>
    </reviewItem>
    <reviewItem>
      <errorID>607e5711-b893-495e-bd10-97440f606250</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74A6A8B4</paraID>
      <start>0</start>
      <end>3</end>
      <status>unmodified</status>
      <modifiedWord/>
      <trackRevisions>false</trackRevisions>
    </reviewItem>
    <reviewItem>
      <errorID>f3a9446b-54e0-44a1-9234-a033bb14278e</errorID>
      <errorWord>;</errorWord>
      <group>L1_Format</group>
      <groupName>格式问题</groupName>
      <ability>L2_HalfPunc</ability>
      <abilityName>全半角检查</abilityName>
      <candidateList>
        <item>；</item>
      </candidateList>
      <explain>文本全半角错误。</explain>
      <paraID>74A6A8B4</paraID>
      <start>19</start>
      <end>20</end>
      <status>unmodified</status>
      <modifiedWord/>
      <trackRevisions>false</trackRevisions>
    </reviewItem>
    <reviewItem>
      <errorID>91ab8219-82e9-4e4a-aff2-2a6b70914316</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BE18821</paraID>
      <start>0</start>
      <end>3</end>
      <status>unmodified</status>
      <modifiedWord/>
      <trackRevisions>false</trackRevisions>
    </reviewItem>
    <reviewItem>
      <errorID>9b9f71ba-35f8-4852-aba7-cdc246297b09</errorID>
      <errorWord>造成*+-</errorWord>
      <group>L1_Grammar</group>
      <groupName>语法问题</groupName>
      <ability>L2_Grammar</ability>
      <abilityName>语法错误</abilityName>
      <candidateList>
        <item>造成</item>
      </candidateList>
      <explain/>
      <paraID>27117D2F</paraID>
      <start>17</start>
      <end>22</end>
      <status>unmodified</status>
      <modifiedWord/>
      <trackRevisions>false</trackRevisions>
    </reviewItem>
    <reviewItem>
      <errorID>e25db5b0-cf92-42db-97e2-5e768aa9e21b</errorID>
      <errorWord>大气环境部分</errorWord>
      <group>L1_Grammar</group>
      <groupName>语法问题</groupName>
      <ability>L2_Grammar</ability>
      <abilityName>语法错误</abilityName>
      <candidateList>
        <item>大气环境</item>
      </candidateList>
      <explain/>
      <paraID>6779E988</paraID>
      <start>0</start>
      <end>6</end>
      <status>unmodified</status>
      <modifiedWord/>
      <trackRevisions>false</trackRevisions>
    </reviewItem>
    <reviewItem>
      <errorID>720de3ed-4705-4fb7-885c-46f8e9e6eff2</errorID>
      <errorWord> </errorWord>
      <group>L1_Punc</group>
      <groupName>标点问题</groupName>
      <ability>L2_Punc</ability>
      <abilityName>标点符号检查</abilityName>
      <candidateList>
        <item/>
      </candidateList>
      <explain>此处空格冗余，建议删除。</explain>
      <paraID>6779E988</paraID>
      <start>173</start>
      <end>174</end>
      <status>unmodified</status>
      <modifiedWord/>
      <trackRevisions>false</trackRevisions>
    </reviewItem>
    <reviewItem>
      <errorID>7836b0b0-cfcf-4035-b76e-852f6a358921</errorID>
      <errorWord> </errorWord>
      <group>L1_Punc</group>
      <groupName>标点问题</groupName>
      <ability>L2_Punc</ability>
      <abilityName>标点符号检查</abilityName>
      <candidateList>
        <item/>
      </candidateList>
      <explain>此处空格冗余，建议删除。</explain>
      <paraID>6779E988</paraID>
      <start>206</start>
      <end>207</end>
      <status>unmodified</status>
      <modifiedWord/>
      <trackRevisions>false</trackRevisions>
    </reviewItem>
    <reviewItem>
      <errorID>a69bee41-1629-4881-8bd7-700280b62530</errorID>
      <errorWord>土壤/污染</errorWord>
      <group>L1_Word</group>
      <groupName>字词问题</groupName>
      <ability>L2_Typo</ability>
      <abilityName>字词错误</abilityName>
      <candidateList>
        <item>土壤污染</item>
      </candidateList>
      <explain/>
      <paraID>6779E988</paraID>
      <start>239</start>
      <end>244</end>
      <status>unmodified</status>
      <modifiedWord/>
      <trackRevisions>false</trackRevisions>
    </reviewItem>
    <reviewItem>
      <errorID>01fecbce-9435-4262-88c2-00022b02d718</errorID>
      <errorWord>行 动计划</errorWord>
      <group>L1_Word</group>
      <groupName>字词问题</groupName>
      <ability>L2_Typo</ability>
      <abilityName>字词错误</abilityName>
      <candidateList>
        <item>行动计划</item>
      </candidateList>
      <explain/>
      <paraID>6779E988</paraID>
      <start>246</start>
      <end>251</end>
      <status>unmodified</status>
      <modifiedWord/>
      <trackRevisions>false</trackRevisions>
    </reviewItem>
    <reviewItem>
      <errorID>c2d5e048-3673-432f-b100-e721c5436d53</errorID>
      <errorWord>土壤污染7</errorWord>
      <group>L1_Word</group>
      <groupName>字词问题</groupName>
      <ability>L2_Typo</ability>
      <abilityName>字词错误</abilityName>
      <candidateList>
        <item>土壤污染</item>
      </candidateList>
      <explain/>
      <paraID>6779E988</paraID>
      <start>256</start>
      <end>261</end>
      <status>unmodified</status>
      <modifiedWord/>
      <trackRevisions>false</trackRevisions>
    </reviewItem>
    <reviewItem>
      <errorID>80661a98-1ecf-4369-8cdd-66393cea8556</errorID>
      <errorWord>工 作</errorWord>
      <group>L1_Word</group>
      <groupName>字词问题</groupName>
      <ability>L2_Typo</ability>
      <abilityName>字词错误</abilityName>
      <candidateList>
        <item>工作</item>
      </candidateList>
      <explain/>
      <paraID>6779E988</paraID>
      <start>280</start>
      <end>283</end>
      <status>unmodified</status>
      <modifiedWord/>
      <trackRevisions>false</trackRevisions>
    </reviewItem>
    <reviewItem>
      <errorID>ce100d26-59c3-4182-8aa2-66b021d345db</errorID>
      <errorWord>2018</errorWord>
      <group>L1_Punc</group>
      <groupName>标点问题</groupName>
      <ability>L2_Punc</ability>
      <abilityName>标点符号检查</abilityName>
      <candidateList>
        <item>（2018</item>
      </candidateList>
      <explain/>
      <paraID>6779E988</paraID>
      <start>320</start>
      <end>324</end>
      <status>unmodified</status>
      <modifiedWord/>
      <trackRevisions>false</trackRevisions>
    </reviewItem>
    <reviewItem>
      <errorID>610078dc-edb6-430c-aced-7f15f169ed77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6779E988</paraID>
      <start>324</start>
      <end>325</end>
      <status>unmodified</status>
      <modifiedWord/>
      <trackRevisions>false</trackRevisions>
    </reviewItem>
    <reviewItem>
      <errorID>288d1191-8640-44ec-bec6-a354a89d9b5a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6779E988</paraID>
      <start>330</start>
      <end>331</end>
      <status>unmodified</status>
      <modifiedWord/>
      <trackRevisions>false</trackRevisions>
    </reviewItem>
    <reviewItem>
      <errorID>c4ad6923-2ad4-4457-939b-97f01c2c171e</errorID>
      <errorWord> </errorWord>
      <group>L1_Punc</group>
      <groupName>标点问题</groupName>
      <ability>L2_Punc</ability>
      <abilityName>标点符号检查</abilityName>
      <candidateList>
        <item/>
      </candidateList>
      <explain>此处空格冗余，建议删除。</explain>
      <paraID>6779E988</paraID>
      <start>364</start>
      <end>365</end>
      <status>unmodified</status>
      <modifiedWord/>
      <trackRevisions>false</trackRevisions>
    </reviewItem>
    <reviewItem>
      <errorID>a8016112-fd03-438c-8c58-4c711d1780ea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6779E988</paraID>
      <start>375</start>
      <end>376</end>
      <status>unmodified</status>
      <modifiedWord/>
      <trackRevisions>false</trackRevisions>
    </reviewItem>
    <reviewItem>
      <errorID>4be16da8-d20b-4c65-99ef-d4b371605846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6779E988</paraID>
      <start>392</start>
      <end>393</end>
      <status>unmodified</status>
      <modifiedWord/>
      <trackRevisions>false</trackRevisions>
    </reviewItem>
    <reviewItem>
      <errorID>cff7ea3d-eee0-4b71-beb2-88a5c86fa62c</errorID>
      <errorWord>等</errorWord>
      <group>L1_Punc</group>
      <groupName>标点问题</groupName>
      <ability>L2_Punc</ability>
      <abilityName>标点符号检查</abilityName>
      <candidateList>
        <item>》等</item>
      </candidateList>
      <explain/>
      <paraID>6779E988</paraID>
      <start>403</start>
      <end>404</end>
      <status>unmodified</status>
      <modifiedWord/>
      <trackRevisions>false</trackRevisions>
    </reviewItem>
    <reviewItem>
      <errorID>d9a752bc-b402-4bcf-b517-19b6ed0fc1ef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6779E988</paraID>
      <start>622</start>
      <end>623</end>
      <status>unmodified</status>
      <modifiedWord/>
      <trackRevisions>false</trackRevisions>
    </reviewItem>
    <reviewItem>
      <errorID>cd0553cf-924f-4601-a63b-6cb498a4caa0</errorID>
      <errorWord>法律、法规</errorWord>
      <group>L1_Word</group>
      <groupName>字词问题</groupName>
      <ability>L2_Typo</ability>
      <abilityName>字词错误</abilityName>
      <candidateList>
        <item>法律法规</item>
      </candidateList>
      <explain/>
      <paraID>28DEAC53</paraID>
      <start>16</start>
      <end>21</end>
      <status>unmodified</status>
      <modifiedWord/>
      <trackRevisions>false</trackRevisions>
    </reviewItem>
    <reviewItem>
      <errorID>4203991f-00bb-4ecb-8a71-3a259f3a859a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4B9DED6</paraID>
      <start>0</start>
      <end>2</end>
      <status>unmodified</status>
      <modifiedWord/>
      <trackRevisions>false</trackRevisions>
    </reviewItem>
    <reviewItem>
      <errorID>aa651b29-6a93-4b8d-bf0f-d03bdd862ad8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31FFC443</paraID>
      <start>1</start>
      <end>3</end>
      <status>unmodified</status>
      <modifiedWord/>
      <trackRevisions>false</trackRevisions>
    </reviewItem>
    <reviewItem>
      <errorID>c833cb5e-d218-42b5-b81e-07002bd75904</errorID>
      <errorWord>=/*-看哭、足</errorWord>
      <group>L1_Grammar</group>
      <groupName>语法问题</groupName>
      <ability>L2_Grammar</ability>
      <abilityName>语法错误</abilityName>
      <candidateList>
        <item>满足</item>
      </candidateList>
      <explain/>
      <paraID>79404D05</paraID>
      <start>5</start>
      <end>13</end>
      <status>unmodified</status>
      <modifiedWord/>
      <trackRevisions>false</trackRevisions>
    </reviewItem>
    <reviewItem>
      <errorID>7f4fd6a3-3c2b-4e63-8785-93b420160a96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7D7EB4A2</paraID>
      <start>0</start>
      <end>2</end>
      <status>unmodified</status>
      <modifiedWord/>
      <trackRevisions>false</trackRevisions>
    </reviewItem>
    <reviewItem>
      <errorID>067135ea-b865-4eee-a2cd-ba018093e751</errorID>
      <errorWord>(</errorWord>
      <group>L1_Format</group>
      <groupName>格式问题</groupName>
      <ability>L2_HalfPunc</ability>
      <abilityName>全半角检查</abilityName>
      <candidateList>
        <item>（</item>
      </candidateList>
      <explain>文本全半角错误。</explain>
      <paraID>7E6D421D</paraID>
      <start>68</start>
      <end>69</end>
      <status>unmodified</status>
      <modifiedWord/>
      <trackRevisions>false</trackRevisions>
    </reviewItem>
    <reviewItem>
      <errorID>137bf699-2d35-4e84-b87e-5ce351a0de42</errorID>
      <errorWord>)</errorWord>
      <group>L1_Format</group>
      <groupName>格式问题</groupName>
      <ability>L2_HalfPunc</ability>
      <abilityName>全半角检查</abilityName>
      <candidateList>
        <item>）</item>
      </candidateList>
      <explain>文本全半角错误。</explain>
      <paraID>7E6D421D</paraID>
      <start>71</start>
      <end>72</end>
      <status>unmodified</status>
      <modifiedWord/>
      <trackRevisions>false</trackRevisions>
    </reviewItem>
    <reviewItem>
      <errorID>8de980c2-0792-4010-98d5-1771710010d1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DED45E1</paraID>
      <start>15</start>
      <end>18</end>
      <status>unmodified</status>
      <modifiedWord/>
      <trackRevisions>false</trackRevisions>
    </reviewItem>
    <reviewItem>
      <errorID>a57f7f0f-444c-43f0-ac02-6747f1bc38e4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DED45E1</paraID>
      <start>32</start>
      <end>35</end>
      <status>unmodified</status>
      <modifiedWord/>
      <trackRevisions>false</trackRevisions>
    </reviewItem>
    <reviewItem>
      <errorID>7c506725-6a9f-42e2-b47a-be5fa7ca20a1</errorID>
      <errorWord>--</errorWord>
      <group>L1_Punc</group>
      <groupName>标点问题</groupName>
      <ability>L2_Punc</ability>
      <abilityName>标点符号检查</abilityName>
      <candidateList>
        <item>—</item>
      </candidateList>
      <explain/>
      <paraID> DED45E1</paraID>
      <start>101</start>
      <end>103</end>
      <status>unmodified</status>
      <modifiedWord/>
      <trackRevisions>false</trackRevisions>
    </reviewItem>
    <reviewItem>
      <errorID>b0e1115f-61b4-4e1f-83ac-46b4f8e0f29a</errorID>
      <errorWord>--</errorWord>
      <group>L1_Punc</group>
      <groupName>标点问题</groupName>
      <ability>L2_Punc</ability>
      <abilityName>标点符号检查</abilityName>
      <candidateList>
        <item>—</item>
      </candidateList>
      <explain/>
      <paraID> DED45E1</paraID>
      <start>116</start>
      <end>118</end>
      <status>unmodified</status>
      <modifiedWord/>
      <trackRevisions>false</trackRevisions>
    </reviewItem>
    <reviewItem>
      <errorID>16478fc5-5fd1-4f61-a582-3c6bbc009286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6CE2B95A</paraID>
      <start>0</start>
      <end>2</end>
      <status>unmodified</status>
      <modifiedWord/>
      <trackRevisions>false</trackRevisions>
    </reviewItem>
    <reviewItem>
      <errorID>d071526a-ac66-4c15-81ba-6dc18db9f456</errorID>
      <errorWord>抽</errorWord>
      <group>L1_Word</group>
      <groupName>字词问题</groupName>
      <ability>L2_Typo</ability>
      <abilityName>字词错误</abilityName>
      <candidateList>
        <item>对抽</item>
      </candidateList>
      <explain/>
      <paraID> BF7B099</paraID>
      <start>44</start>
      <end>45</end>
      <status>unmodified</status>
      <modifiedWord/>
      <trackRevisions>false</trackRevisions>
    </reviewItem>
    <reviewItem>
      <errorID>168e9706-d5ec-4327-9176-8424bcfc14c2</errorID>
      <errorWord>(</errorWord>
      <group>L1_Format</group>
      <groupName>格式问题</groupName>
      <ability>L2_HalfPunc</ability>
      <abilityName>全半角检查</abilityName>
      <candidateList>
        <item>（</item>
      </candidateList>
      <explain>文本全半角错误。</explain>
      <paraID>6EFA403A</paraID>
      <start>231</start>
      <end>232</end>
      <status>unmodified</status>
      <modifiedWord/>
      <trackRevisions>false</trackRevisions>
    </reviewItem>
    <reviewItem>
      <errorID>118adb6b-0991-49c6-8b8c-ba29646fa2d9</errorID>
      <errorWord>)</errorWord>
      <group>L1_Format</group>
      <groupName>格式问题</groupName>
      <ability>L2_HalfPunc</ability>
      <abilityName>全半角检查</abilityName>
      <candidateList>
        <item>）</item>
      </candidateList>
      <explain>文本全半角错误。</explain>
      <paraID>6EFA403A</paraID>
      <start>244</start>
      <end>245</end>
      <status>unmodified</status>
      <modifiedWord/>
      <trackRevisions>false</trackRevisions>
    </reviewItem>
    <reviewItem>
      <errorID>d94256e7-8100-4c76-8849-19dee913396f</errorID>
      <errorWord>(</errorWord>
      <group>L1_Format</group>
      <groupName>格式问题</groupName>
      <ability>L2_HalfPunc</ability>
      <abilityName>全半角检查</abilityName>
      <candidateList>
        <item>（</item>
      </candidateList>
      <explain>文本全半角错误。</explain>
      <paraID>6EFA403A</paraID>
      <start>247</start>
      <end>248</end>
      <status>unmodified</status>
      <modifiedWord/>
      <trackRevisions>false</trackRevisions>
    </reviewItem>
    <reviewItem>
      <errorID>23186d9e-f304-4e15-901e-247e71755191</errorID>
      <errorWord>)</errorWord>
      <group>L1_Format</group>
      <groupName>格式问题</groupName>
      <ability>L2_HalfPunc</ability>
      <abilityName>全半角检查</abilityName>
      <candidateList>
        <item>）</item>
      </candidateList>
      <explain>文本全半角错误。</explain>
      <paraID>6EFA403A</paraID>
      <start>251</start>
      <end>252</end>
      <status>unmodified</status>
      <modifiedWord/>
      <trackRevisions>false</trackRevisions>
    </reviewItem>
    <reviewItem>
      <errorID>fe9ddbb4-3ae3-469e-8ef2-0c96165d2528</errorID>
      <errorWord>(</errorWord>
      <group>L1_Format</group>
      <groupName>格式问题</groupName>
      <ability>L2_HalfPunc</ability>
      <abilityName>全半角检查</abilityName>
      <candidateList>
        <item>（</item>
      </candidateList>
      <explain>文本全半角错误。</explain>
      <paraID> 62FFF85</paraID>
      <start>153</start>
      <end>154</end>
      <status>unmodified</status>
      <modifiedWord/>
      <trackRevisions>false</trackRevisions>
    </reviewItem>
    <reviewItem>
      <errorID>f23fb670-b87b-47d2-a7f9-4bc855d71fa5</errorID>
      <errorWord>)</errorWord>
      <group>L1_Format</group>
      <groupName>格式问题</groupName>
      <ability>L2_HalfPunc</ability>
      <abilityName>全半角检查</abilityName>
      <candidateList>
        <item>）</item>
      </candidateList>
      <explain>文本全半角错误。</explain>
      <paraID> 62FFF85</paraID>
      <start>166</start>
      <end>167</end>
      <status>unmodified</status>
      <modifiedWord/>
      <trackRevisions>false</trackRevisions>
    </reviewItem>
    <reviewItem>
      <errorID>1492837a-81f7-4381-9b9a-1226f9f9c294</errorID>
      <errorWord>(</errorWord>
      <group>L1_Format</group>
      <groupName>格式问题</groupName>
      <ability>L2_HalfPunc</ability>
      <abilityName>全半角检查</abilityName>
      <candidateList>
        <item>（</item>
      </candidateList>
      <explain>文本全半角错误。</explain>
      <paraID> 62FFF85</paraID>
      <start>169</start>
      <end>170</end>
      <status>unmodified</status>
      <modifiedWord/>
      <trackRevisions>false</trackRevisions>
    </reviewItem>
    <reviewItem>
      <errorID>d90fe454-2ccb-4513-b395-d9515f521dde</errorID>
      <errorWord>)</errorWord>
      <group>L1_Format</group>
      <groupName>格式问题</groupName>
      <ability>L2_HalfPunc</ability>
      <abilityName>全半角检查</abilityName>
      <candidateList>
        <item>）</item>
      </candidateList>
      <explain>文本全半角错误。</explain>
      <paraID> 62FFF85</paraID>
      <start>173</start>
      <end>174</end>
      <status>unmodified</status>
      <modifiedWord/>
      <trackRevisions>false</trackRevisions>
    </reviewItem>
    <reviewItem>
      <errorID>442f8b8b-dd10-4c38-b926-863b664b21d6</errorID>
      <errorWord>(</errorWord>
      <group>L1_Format</group>
      <groupName>格式问题</groupName>
      <ability>L2_HalfPunc</ability>
      <abilityName>全半角检查</abilityName>
      <candidateList>
        <item>（</item>
      </candidateList>
      <explain>文本全半角错误。</explain>
      <paraID>5666E4EF</paraID>
      <start>132</start>
      <end>133</end>
      <status>unmodified</status>
      <modifiedWord/>
      <trackRevisions>false</trackRevisions>
    </reviewItem>
    <reviewItem>
      <errorID>7e177a78-b5e0-4daa-bf34-779fae1ccdd2</errorID>
      <errorWord>)</errorWord>
      <group>L1_Format</group>
      <groupName>格式问题</groupName>
      <ability>L2_HalfPunc</ability>
      <abilityName>全半角检查</abilityName>
      <candidateList>
        <item>）</item>
      </candidateList>
      <explain>文本全半角错误。</explain>
      <paraID>5666E4EF</paraID>
      <start>145</start>
      <end>146</end>
      <status>unmodified</status>
      <modifiedWord/>
      <trackRevisions>false</trackRevisions>
    </reviewItem>
    <reviewItem>
      <errorID>3aa4b764-85b8-43fb-9171-7bd7f052f5dd</errorID>
      <errorWord>(</errorWord>
      <group>L1_Format</group>
      <groupName>格式问题</groupName>
      <ability>L2_HalfPunc</ability>
      <abilityName>全半角检查</abilityName>
      <candidateList>
        <item>（</item>
      </candidateList>
      <explain>文本全半角错误。</explain>
      <paraID>5666E4EF</paraID>
      <start>148</start>
      <end>149</end>
      <status>unmodified</status>
      <modifiedWord/>
      <trackRevisions>false</trackRevisions>
    </reviewItem>
    <reviewItem>
      <errorID>dfd9158d-0950-42a4-93a3-730bc3618b7f</errorID>
      <errorWord>)</errorWord>
      <group>L1_Format</group>
      <groupName>格式问题</groupName>
      <ability>L2_HalfPunc</ability>
      <abilityName>全半角检查</abilityName>
      <candidateList>
        <item>）</item>
      </candidateList>
      <explain>文本全半角错误。</explain>
      <paraID>5666E4EF</paraID>
      <start>152</start>
      <end>153</end>
      <status>unmodified</status>
      <modifiedWord/>
      <trackRevisions>false</trackRevisions>
    </reviewItem>
    <reviewItem>
      <errorID>1a5fa111-e93f-481f-bd46-f3632da8fc9d</errorID>
      <errorWord>(</errorWord>
      <group>L1_Format</group>
      <groupName>格式问题</groupName>
      <ability>L2_HalfPunc</ability>
      <abilityName>全半角检查</abilityName>
      <candidateList>
        <item>（</item>
      </candidateList>
      <explain>文本全半角错误。</explain>
      <paraID>41A461D1</paraID>
      <start>132</start>
      <end>133</end>
      <status>unmodified</status>
      <modifiedWord/>
      <trackRevisions>false</trackRevisions>
    </reviewItem>
    <reviewItem>
      <errorID>548d8775-c321-43a6-933f-c425a5bc6452</errorID>
      <errorWord>)</errorWord>
      <group>L1_Format</group>
      <groupName>格式问题</groupName>
      <ability>L2_HalfPunc</ability>
      <abilityName>全半角检查</abilityName>
      <candidateList>
        <item>）</item>
      </candidateList>
      <explain>文本全半角错误。</explain>
      <paraID>41A461D1</paraID>
      <start>145</start>
      <end>146</end>
      <status>unmodified</status>
      <modifiedWord/>
      <trackRevisions>false</trackRevisions>
    </reviewItem>
    <reviewItem>
      <errorID>80e02be6-cba1-42e1-ae96-5853dbe509c2</errorID>
      <errorWord>(</errorWord>
      <group>L1_Format</group>
      <groupName>格式问题</groupName>
      <ability>L2_HalfPunc</ability>
      <abilityName>全半角检查</abilityName>
      <candidateList>
        <item>（</item>
      </candidateList>
      <explain>文本全半角错误。</explain>
      <paraID>41A461D1</paraID>
      <start>148</start>
      <end>149</end>
      <status>unmodified</status>
      <modifiedWord/>
      <trackRevisions>false</trackRevisions>
    </reviewItem>
    <reviewItem>
      <errorID>a2f11e1e-7bf3-4b71-9101-c0c6dce8c6fe</errorID>
      <errorWord>)</errorWord>
      <group>L1_Format</group>
      <groupName>格式问题</groupName>
      <ability>L2_HalfPunc</ability>
      <abilityName>全半角检查</abilityName>
      <candidateList>
        <item>）</item>
      </candidateList>
      <explain>文本全半角错误。</explain>
      <paraID>41A461D1</paraID>
      <start>152</start>
      <end>153</end>
      <status>unmodified</status>
      <modifiedWord/>
      <trackRevisions>false</trackRevisions>
    </reviewItem>
    <reviewItem>
      <errorID>d6c798e3-6b62-458f-a674-6b36f17cc910</errorID>
      <errorWord>(</errorWord>
      <group>L1_Format</group>
      <groupName>格式问题</groupName>
      <ability>L2_HalfPunc</ability>
      <abilityName>全半角检查</abilityName>
      <candidateList>
        <item>（</item>
      </candidateList>
      <explain>文本全半角错误。</explain>
      <paraID>2AD5BA3E</paraID>
      <start>65</start>
      <end>66</end>
      <status>unmodified</status>
      <modifiedWord/>
      <trackRevisions>false</trackRevisions>
    </reviewItem>
    <reviewItem>
      <errorID>c3f32ae4-c596-43b5-bf00-ed645d8eeb98</errorID>
      <errorWord>)</errorWord>
      <group>L1_Format</group>
      <groupName>格式问题</groupName>
      <ability>L2_HalfPunc</ability>
      <abilityName>全半角检查</abilityName>
      <candidateList>
        <item>）</item>
      </candidateList>
      <explain>文本全半角错误。</explain>
      <paraID>2AD5BA3E</paraID>
      <start>78</start>
      <end>79</end>
      <status>unmodified</status>
      <modifiedWord/>
      <trackRevisions>false</trackRevisions>
    </reviewItem>
    <reviewItem>
      <errorID>2cecaa1d-ee34-4a91-bc12-f2a47b28cbb4</errorID>
      <errorWord>(</errorWord>
      <group>L1_Format</group>
      <groupName>格式问题</groupName>
      <ability>L2_HalfPunc</ability>
      <abilityName>全半角检查</abilityName>
      <candidateList>
        <item>（</item>
      </candidateList>
      <explain>文本全半角错误。</explain>
      <paraID>2AD5BA3E</paraID>
      <start>81</start>
      <end>82</end>
      <status>unmodified</status>
      <modifiedWord/>
      <trackRevisions>false</trackRevisions>
    </reviewItem>
    <reviewItem>
      <errorID>be51577d-7611-4b43-a20a-76b81d4c60a7</errorID>
      <errorWord>)</errorWord>
      <group>L1_Format</group>
      <groupName>格式问题</groupName>
      <ability>L2_HalfPunc</ability>
      <abilityName>全半角检查</abilityName>
      <candidateList>
        <item>）</item>
      </candidateList>
      <explain>文本全半角错误。</explain>
      <paraID>2AD5BA3E</paraID>
      <start>85</start>
      <end>86</end>
      <status>unmodified</status>
      <modifiedWord/>
      <trackRevisions>false</trackRevisions>
    </reviewItem>
    <reviewItem>
      <errorID>57c8ba33-418d-4716-9b88-c8bc6a897fcd</errorID>
      <errorWord>为约6168m3 </errorWord>
      <group>L1_Word</group>
      <groupName>字词问题</groupName>
      <ability>L2_Typo</ability>
      <abilityName>字词错误</abilityName>
      <candidateList>
        <item>约为6168m³</item>
      </candidateList>
      <explain/>
      <paraID>6AA71154</paraID>
      <start>8</start>
      <end>17</end>
      <status>unmodified</status>
      <modifiedWord/>
      <trackRevisions>false</trackRevisions>
    </reviewItem>
    <reviewItem>
      <errorID>21422d9a-002f-4ecb-91ae-5c95c7228224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4810BDB9</paraID>
      <start>0</start>
      <end>2</end>
      <status>unmodified</status>
      <modifiedWord/>
      <trackRevisions>false</trackRevisions>
    </reviewItem>
    <reviewItem>
      <errorID>552ae790-3f4b-46a3-b007-40db1579f17c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5868CC6E</paraID>
      <start>0</start>
      <end>2</end>
      <status>unmodified</status>
      <modifiedWord/>
      <trackRevisions>false</trackRevisions>
    </reviewItem>
    <reviewItem>
      <errorID>750fa2b3-74d2-4742-9b2a-81fe8bb12526</errorID>
      <errorWord>(</errorWord>
      <group>L1_Format</group>
      <groupName>格式问题</groupName>
      <ability>L2_HalfPunc</ability>
      <abilityName>全半角检查</abilityName>
      <candidateList>
        <item>（</item>
      </candidateList>
      <explain>文本全半角错误。</explain>
      <paraID>293310A5</paraID>
      <start>2</start>
      <end>3</end>
      <status>unmodified</status>
      <modifiedWord/>
      <trackRevisions>false</trackRevisions>
    </reviewItem>
    <reviewItem>
      <errorID>6fa415c4-e765-4b07-a82c-00f2f16c53d4</errorID>
      <errorWord>m3</errorWord>
      <group>L1_Word</group>
      <groupName>字词问题</groupName>
      <ability>L2_Typo</ability>
      <abilityName>字词错误</abilityName>
      <candidateList>
        <item>m³</item>
      </candidateList>
      <explain/>
      <paraID>293310A5</paraID>
      <start>3</start>
      <end>5</end>
      <status>unmodified</status>
      <modifiedWord/>
      <trackRevisions>false</trackRevisions>
    </reviewItem>
    <reviewItem>
      <errorID>8d115a89-2deb-4aca-a037-06be50ec76d2</errorID>
      <errorWord>)</errorWord>
      <group>L1_Format</group>
      <groupName>格式问题</groupName>
      <ability>L2_HalfPunc</ability>
      <abilityName>全半角检查</abilityName>
      <candidateList>
        <item>）</item>
      </candidateList>
      <explain>文本全半角错误。</explain>
      <paraID>293310A5</paraID>
      <start>9</start>
      <end>10</end>
      <status>unmodified</status>
      <modifiedWord/>
      <trackRevisions>false</trackRevisions>
    </reviewItem>
    <reviewItem>
      <errorID>154babd0-f265-4b2e-abf2-a0a73bf7a7f3</errorID>
      <errorWord>(</errorWord>
      <group>L1_Format</group>
      <groupName>格式问题</groupName>
      <ability>L2_HalfPunc</ability>
      <abilityName>全半角检查</abilityName>
      <candidateList>
        <item>（</item>
      </candidateList>
      <explain>文本全半角错误。</explain>
      <paraID>7F1B572C</paraID>
      <start>7</start>
      <end>8</end>
      <status>unmodified</status>
      <modifiedWord/>
      <trackRevisions>false</trackRevisions>
    </reviewItem>
    <reviewItem>
      <errorID>9a2a20fd-13f3-41c6-89fc-5b031f7ea413</errorID>
      <errorWord>m3</errorWord>
      <group>L1_Word</group>
      <groupName>字词问题</groupName>
      <ability>L2_Typo</ability>
      <abilityName>字词错误</abilityName>
      <candidateList>
        <item>m³</item>
      </candidateList>
      <explain/>
      <paraID>7F1B572C</paraID>
      <start>8</start>
      <end>10</end>
      <status>unmodified</status>
      <modifiedWord/>
      <trackRevisions>false</trackRevisions>
    </reviewItem>
    <reviewItem>
      <errorID>3aa1d128-a0c6-42c9-b956-5cb7ec308f37</errorID>
      <errorWord>)</errorWord>
      <group>L1_Format</group>
      <groupName>格式问题</groupName>
      <ability>L2_HalfPunc</ability>
      <abilityName>全半角检查</abilityName>
      <candidateList>
        <item>）</item>
      </candidateList>
      <explain>文本全半角错误。</explain>
      <paraID>7F1B572C</paraID>
      <start>14</start>
      <end>15</end>
      <status>unmodified</status>
      <modifiedWord/>
      <trackRevisions>false</trackRevisions>
    </reviewItem>
    <reviewItem>
      <errorID>a1f45345-1070-45c0-bdbc-8b88047ace24</errorID>
      <errorWord>(</errorWord>
      <group>L1_Format</group>
      <groupName>格式问题</groupName>
      <ability>L2_HalfPunc</ability>
      <abilityName>全半角检查</abilityName>
      <candidateList>
        <item>（</item>
      </candidateList>
      <explain>文本全半角错误。</explain>
      <paraID>7E028EAA</paraID>
      <start>9</start>
      <end>10</end>
      <status>unmodified</status>
      <modifiedWord/>
      <trackRevisions>false</trackRevisions>
    </reviewItem>
    <reviewItem>
      <errorID>1f439cc8-11cc-4a5f-89b2-3f0b4b11a36d</errorID>
      <errorWord>m3</errorWord>
      <group>L1_Word</group>
      <groupName>字词问题</groupName>
      <ability>L2_Typo</ability>
      <abilityName>字词错误</abilityName>
      <candidateList>
        <item>m³</item>
      </candidateList>
      <explain/>
      <paraID>7E028EAA</paraID>
      <start>10</start>
      <end>12</end>
      <status>unmodified</status>
      <modifiedWord/>
      <trackRevisions>false</trackRevisions>
    </reviewItem>
    <reviewItem>
      <errorID>9d6b8041-28e2-49a5-a0c9-3846850482ca</errorID>
      <errorWord>)</errorWord>
      <group>L1_Format</group>
      <groupName>格式问题</groupName>
      <ability>L2_HalfPunc</ability>
      <abilityName>全半角检查</abilityName>
      <candidateList>
        <item>）</item>
      </candidateList>
      <explain>文本全半角错误。</explain>
      <paraID>7E028EAA</paraID>
      <start>16</start>
      <end>17</end>
      <status>unmodified</status>
      <modifiedWord/>
      <trackRevisions>false</trackRevisions>
    </reviewItem>
    <reviewItem>
      <errorID>67c40278-7e41-489b-b3a8-329724fbab25</errorID>
      <errorWord>(</errorWord>
      <group>L1_Format</group>
      <groupName>格式问题</groupName>
      <ability>L2_HalfPunc</ability>
      <abilityName>全半角检查</abilityName>
      <candidateList>
        <item>（</item>
      </candidateList>
      <explain>文本全半角错误。</explain>
      <paraID>49523136</paraID>
      <start>3</start>
      <end>4</end>
      <status>unmodified</status>
      <modifiedWord/>
      <trackRevisions>false</trackRevisions>
    </reviewItem>
    <reviewItem>
      <errorID>b25a8d58-a477-4c3c-8b93-c2b8a880f39b</errorID>
      <errorWord>)</errorWord>
      <group>L1_Format</group>
      <groupName>格式问题</groupName>
      <ability>L2_HalfPunc</ability>
      <abilityName>全半角检查</abilityName>
      <candidateList>
        <item>）</item>
      </candidateList>
      <explain>文本全半角错误。</explain>
      <paraID>49523136</paraID>
      <start>10</start>
      <end>11</end>
      <status>unmodified</status>
      <modifiedWord/>
      <trackRevisions>false</trackRevisions>
    </reviewItem>
    <reviewItem>
      <errorID>76e204fe-108f-4c8d-ba57-3e23598465f0</errorID>
      <errorWord> </errorWord>
      <group>L1_Punc</group>
      <groupName>标点问题</groupName>
      <ability>L2_Punc</ability>
      <abilityName>标点符号检查</abilityName>
      <candidateList>
        <item/>
      </candidateList>
      <explain>此处空格冗余，建议删除。</explain>
      <paraID>573CE084</paraID>
      <start>2</start>
      <end>3</end>
      <status>unmodified</status>
      <modifiedWord/>
      <trackRevisions>false</trackRevisions>
    </reviewItem>
    <reviewItem>
      <errorID>9ec72625-fffd-4b05-bc69-6a8059965a5b</errorID>
      <errorWord>(</errorWord>
      <group>L1_Format</group>
      <groupName>格式问题</groupName>
      <ability>L2_HalfPunc</ability>
      <abilityName>全半角检查</abilityName>
      <candidateList>
        <item>（</item>
      </candidateList>
      <explain>文本全半角错误。</explain>
      <paraID>56DB28EF</paraID>
      <start>3</start>
      <end>4</end>
      <status>unmodified</status>
      <modifiedWord/>
      <trackRevisions>false</trackRevisions>
    </reviewItem>
    <reviewItem>
      <errorID>4ebfd7bc-0ad2-48c7-8bd2-51a5368ad258</errorID>
      <errorWord>m3</errorWord>
      <group>L1_Word</group>
      <groupName>字词问题</groupName>
      <ability>L2_Typo</ability>
      <abilityName>字词错误</abilityName>
      <candidateList>
        <item>m³</item>
      </candidateList>
      <explain/>
      <paraID>56DB28EF</paraID>
      <start>4</start>
      <end>6</end>
      <status>unmodified</status>
      <modifiedWord/>
      <trackRevisions>false</trackRevisions>
    </reviewItem>
    <reviewItem>
      <errorID>79f968a9-4206-4a09-8081-0327891404a4</errorID>
      <errorWord>)</errorWord>
      <group>L1_Format</group>
      <groupName>格式问题</groupName>
      <ability>L2_HalfPunc</ability>
      <abilityName>全半角检查</abilityName>
      <candidateList>
        <item>）</item>
      </candidateList>
      <explain>文本全半角错误。</explain>
      <paraID>56DB28EF</paraID>
      <start>10</start>
      <end>11</end>
      <status>unmodified</status>
      <modifiedWord/>
      <trackRevisions>false</trackRevisions>
    </reviewItem>
    <reviewItem>
      <errorID>2d195e52-bf67-445e-b9c8-dcb9c02e9660</errorID>
      <errorWord>(</errorWord>
      <group>L1_Format</group>
      <groupName>格式问题</groupName>
      <ability>L2_HalfPunc</ability>
      <abilityName>全半角检查</abilityName>
      <candidateList>
        <item>（</item>
      </candidateList>
      <explain>文本全半角错误。</explain>
      <paraID>21379180</paraID>
      <start>5</start>
      <end>6</end>
      <status>unmodified</status>
      <modifiedWord/>
      <trackRevisions>false</trackRevisions>
    </reviewItem>
    <reviewItem>
      <errorID>35a1556b-7c3e-43c2-8a08-65859488e085</errorID>
      <errorWord>)</errorWord>
      <group>L1_Format</group>
      <groupName>格式问题</groupName>
      <ability>L2_HalfPunc</ability>
      <abilityName>全半角检查</abilityName>
      <candidateList>
        <item>）</item>
      </candidateList>
      <explain>文本全半角错误。</explain>
      <paraID>21379180</paraID>
      <start>12</start>
      <end>13</end>
      <status>unmodified</status>
      <modifiedWord/>
      <trackRevisions>false</trackRevisions>
    </reviewItem>
    <reviewItem>
      <errorID>d6de0d86-73f7-408a-90a7-c28a7672c645</errorID>
      <errorWord>(</errorWord>
      <group>L1_Format</group>
      <groupName>格式问题</groupName>
      <ability>L2_HalfPunc</ability>
      <abilityName>全半角检查</abilityName>
      <candidateList>
        <item>（</item>
      </candidateList>
      <explain>文本全半角错误。</explain>
      <paraID>29984A73</paraID>
      <start>3</start>
      <end>4</end>
      <status>unmodified</status>
      <modifiedWord/>
      <trackRevisions>false</trackRevisions>
    </reviewItem>
    <reviewItem>
      <errorID>0c22b3c1-e073-4869-aba5-97ce705cb852</errorID>
      <errorWord>)</errorWord>
      <group>L1_Format</group>
      <groupName>格式问题</groupName>
      <ability>L2_HalfPunc</ability>
      <abilityName>全半角检查</abilityName>
      <candidateList>
        <item>）</item>
      </candidateList>
      <explain>文本全半角错误。</explain>
      <paraID>29984A73</paraID>
      <start>10</start>
      <end>11</end>
      <status>unmodified</status>
      <modifiedWord/>
      <trackRevisions>false</trackRevisions>
    </reviewItem>
    <reviewItem>
      <errorID>4c80fdb7-7521-45c4-abf2-a7409f24646e</errorID>
      <errorWord>(</errorWord>
      <group>L1_Format</group>
      <groupName>格式问题</groupName>
      <ability>L2_HalfPunc</ability>
      <abilityName>全半角检查</abilityName>
      <candidateList>
        <item>（</item>
      </candidateList>
      <explain>文本全半角错误。</explain>
      <paraID>329F9129</paraID>
      <start>5</start>
      <end>6</end>
      <status>unmodified</status>
      <modifiedWord/>
      <trackRevisions>false</trackRevisions>
    </reviewItem>
    <reviewItem>
      <errorID>524bdb06-78fa-4b99-803f-c63dcb0a97dd</errorID>
      <errorWord>)</errorWord>
      <group>L1_Format</group>
      <groupName>格式问题</groupName>
      <ability>L2_HalfPunc</ability>
      <abilityName>全半角检查</abilityName>
      <candidateList>
        <item>）</item>
      </candidateList>
      <explain>文本全半角错误。</explain>
      <paraID>329F9129</paraID>
      <start>12</start>
      <end>13</end>
      <status>unmodified</status>
      <modifiedWord/>
      <trackRevisions>false</trackRevisions>
    </reviewItem>
    <reviewItem>
      <errorID>1faea285-b3aa-4960-a40b-bcccd370c41c</errorID>
      <errorWord>(</errorWord>
      <group>L1_Format</group>
      <groupName>格式问题</groupName>
      <ability>L2_HalfPunc</ability>
      <abilityName>全半角检查</abilityName>
      <candidateList>
        <item>（</item>
      </candidateList>
      <explain>文本全半角错误。</explain>
      <paraID>444A2631</paraID>
      <start>3</start>
      <end>4</end>
      <status>unmodified</status>
      <modifiedWord/>
      <trackRevisions>false</trackRevisions>
    </reviewItem>
    <reviewItem>
      <errorID>fb21831c-5f2a-42c7-958f-1c4fe70e1e14</errorID>
      <errorWord>)</errorWord>
      <group>L1_Format</group>
      <groupName>格式问题</groupName>
      <ability>L2_HalfPunc</ability>
      <abilityName>全半角检查</abilityName>
      <candidateList>
        <item>）</item>
      </candidateList>
      <explain>文本全半角错误。</explain>
      <paraID>444A2631</paraID>
      <start>10</start>
      <end>11</end>
      <status>unmodified</status>
      <modifiedWord/>
      <trackRevisions>false</trackRevisions>
    </reviewItem>
    <reviewItem>
      <errorID>c14b5925-96c6-4960-9391-463c0a354d04</errorID>
      <errorWord>(</errorWord>
      <group>L1_Format</group>
      <groupName>格式问题</groupName>
      <ability>L2_HalfPunc</ability>
      <abilityName>全半角检查</abilityName>
      <candidateList>
        <item>（</item>
      </candidateList>
      <explain>文本全半角错误。</explain>
      <paraID>1BE368E3</paraID>
      <start>5</start>
      <end>6</end>
      <status>unmodified</status>
      <modifiedWord/>
      <trackRevisions>false</trackRevisions>
    </reviewItem>
    <reviewItem>
      <errorID>89721b86-e39d-4a25-8e02-6c0df85ebd12</errorID>
      <errorWord>)</errorWord>
      <group>L1_Format</group>
      <groupName>格式问题</groupName>
      <ability>L2_HalfPunc</ability>
      <abilityName>全半角检查</abilityName>
      <candidateList>
        <item>）</item>
      </candidateList>
      <explain>文本全半角错误。</explain>
      <paraID>1BE368E3</paraID>
      <start>12</start>
      <end>13</end>
      <status>unmodified</status>
      <modifiedWord/>
      <trackRevisions>false</trackRevisions>
    </reviewItem>
    <reviewItem>
      <errorID>8123e193-4149-4fe6-8fbb-6746d4281783</errorID>
      <errorWord>17m3</errorWord>
      <group>L1_Word</group>
      <groupName>字词问题</groupName>
      <ability>L2_Typo</ability>
      <abilityName>字词错误</abilityName>
      <candidateList>
        <item>17m³</item>
      </candidateList>
      <explain/>
      <paraID>1EDF8AA4</paraID>
      <start>32</start>
      <end>36</end>
      <status>unmodified</status>
      <modifiedWord/>
      <trackRevisions>false</trackRevisions>
    </reviewItem>
    <reviewItem>
      <errorID>5b71b886-5341-44ee-bfa1-b00ebae153c2</errorID>
      <errorWord>3000m3</errorWord>
      <group>L1_Word</group>
      <groupName>字词问题</groupName>
      <ability>L2_Typo</ability>
      <abilityName>字词错误</abilityName>
      <candidateList>
        <item>3000m³</item>
      </candidateList>
      <explain/>
      <paraID>196CD100</paraID>
      <start>17</start>
      <end>23</end>
      <status>unmodified</status>
      <modifiedWord/>
      <trackRevisions>false</trackRevisions>
    </reviewItem>
    <reviewItem>
      <errorID>619d3c04-d4ea-4adc-9015-785b87a50853</errorID>
      <errorWord>1200m3</errorWord>
      <group>L1_Word</group>
      <groupName>字词问题</groupName>
      <ability>L2_Typo</ability>
      <abilityName>字词错误</abilityName>
      <candidateList>
        <item>1200m³</item>
      </candidateList>
      <explain/>
      <paraID>196CD100</paraID>
      <start>42</start>
      <end>48</end>
      <status>unmodified</status>
      <modifiedWord/>
      <trackRevisions>false</trackRevisions>
    </reviewItem>
    <reviewItem>
      <errorID>ec331538-5377-44ef-8c37-b84b147a66fd</errorID>
      <errorWord>0m3</errorWord>
      <group>L1_Word</group>
      <groupName>字词问题</groupName>
      <ability>L2_Typo</ability>
      <abilityName>字词错误</abilityName>
      <candidateList>
        <item>0m³</item>
      </candidateList>
      <explain/>
      <paraID>196CD100</paraID>
      <start>108</start>
      <end>111</end>
      <status>unmodified</status>
      <modifiedWord/>
      <trackRevisions>false</trackRevisions>
    </reviewItem>
    <reviewItem>
      <errorID>800d7550-43a2-4740-822b-6f9f367be1d5</errorID>
      <errorWord>05m3</errorWord>
      <group>L1_Word</group>
      <groupName>字词问题</groupName>
      <ability>L2_Typo</ability>
      <abilityName>字词错误</abilityName>
      <candidateList>
        <item>05m³</item>
      </candidateList>
      <explain/>
      <paraID>418E1F76</paraID>
      <start>49</start>
      <end>53</end>
      <status>unmodified</status>
      <modifiedWord/>
      <trackRevisions>false</trackRevisions>
    </reviewItem>
    <reviewItem>
      <errorID>c7469000-2d0f-485e-a324-58b1ffc9246e</errorID>
      <errorWord>经</errorWord>
      <group>L1_Punc</group>
      <groupName>标点问题</groupName>
      <ability>L2_Punc</ability>
      <abilityName>标点符号检查</abilityName>
      <candidateList>
        <item>，经</item>
      </candidateList>
      <explain/>
      <paraID>662BC837</paraID>
      <start>94</start>
      <end>95</end>
      <status>unmodified</status>
      <modifiedWord/>
      <trackRevisions>false</trackRevisions>
    </reviewItem>
    <reviewItem>
      <errorID>f57023db-4e08-424c-bf86-7d6f4cce5f99</errorID>
      <errorWord>29m3</errorWord>
      <group>L1_Word</group>
      <groupName>字词问题</groupName>
      <ability>L2_Typo</ability>
      <abilityName>字词错误</abilityName>
      <candidateList>
        <item>29m³</item>
      </candidateList>
      <explain/>
      <paraID>662BC837</paraID>
      <start>129</start>
      <end>133</end>
      <status>unmodified</status>
      <modifiedWord/>
      <trackRevisions>false</trackRevisions>
    </reviewItem>
    <reviewItem>
      <errorID>cde0b9e5-2a80-4f01-91d4-12b751d1699e</errorID>
      <errorWord>4m3</errorWord>
      <group>L1_Word</group>
      <groupName>字词问题</groupName>
      <ability>L2_Typo</ability>
      <abilityName>字词错误</abilityName>
      <candidateList>
        <item>4m³</item>
      </candidateList>
      <explain/>
      <paraID>662BC837</paraID>
      <start>152</start>
      <end>155</end>
      <status>unmodified</status>
      <modifiedWord/>
      <trackRevisions>false</trackRevisions>
    </reviewItem>
    <reviewItem>
      <errorID>2f552f9c-e996-4169-9c1a-bfef80f5a6e6</errorID>
      <errorWord>7m3</errorWord>
      <group>L1_Word</group>
      <groupName>字词问题</groupName>
      <ability>L2_Typo</ability>
      <abilityName>字词错误</abilityName>
      <candidateList>
        <item>7m³</item>
      </candidateList>
      <explain/>
      <paraID>662BC837</paraID>
      <start>175</start>
      <end>178</end>
      <status>unmodified</status>
      <modifiedWord/>
      <trackRevisions>false</trackRevisions>
    </reviewItem>
    <reviewItem>
      <errorID>dea6ecb8-144d-41e5-8b96-2fa46f5c8542</errorID>
      <errorWord>0m3</errorWord>
      <group>L1_Word</group>
      <groupName>字词问题</groupName>
      <ability>L2_Typo</ability>
      <abilityName>字词错误</abilityName>
      <candidateList>
        <item>0m³</item>
      </candidateList>
      <explain/>
      <paraID>662BC837</paraID>
      <start>201</start>
      <end>204</end>
      <status>unmodified</status>
      <modifiedWord/>
      <trackRevisions>false</trackRevisions>
    </reviewItem>
    <reviewItem>
      <errorID>24047ef1-37b9-4c55-9760-aa3cba72240b</errorID>
      <errorWord>  </errorWord>
      <group>L1_Punc</group>
      <groupName>标点问题</groupName>
      <ability>L2_Punc</ability>
      <abilityName>标点符号检查</abilityName>
      <candidateList>
        <item/>
      </candidateList>
      <explain>此处空格冗余，建议删除。</explain>
      <paraID>2E55D05C</paraID>
      <start>20</start>
      <end>22</end>
      <status>unmodified</status>
      <modifiedWord/>
      <trackRevisions>false</trackRevisions>
    </reviewItem>
    <reviewItem>
      <errorID>1f15c60e-6d7d-45ef-a789-d329fc49f724</errorID>
      <errorWord>m3</errorWord>
      <group>L1_Word</group>
      <groupName>字词问题</groupName>
      <ability>L2_Typo</ability>
      <abilityName>字词错误</abilityName>
      <candidateList>
        <item>m³</item>
      </candidateList>
      <explain/>
      <paraID>2E55D05C</paraID>
      <start>26</start>
      <end>28</end>
      <status>unmodified</status>
      <modifiedWord/>
      <trackRevisions>false</trackRevisions>
    </reviewItem>
    <reviewItem>
      <errorID>e55ff9c5-d7ba-4b60-b3db-f3c5ed4af491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53195182</paraID>
      <start>0</start>
      <end>2</end>
      <status>unmodified</status>
      <modifiedWord/>
      <trackRevisions>false</trackRevisions>
    </reviewItem>
    <reviewItem>
      <errorID>8355a04f-c0d5-46b1-89ec-16b4e0274184</errorID>
      <errorWord>瓦斯</errorWord>
      <group>L1_Word</group>
      <groupName>字词问题</groupName>
      <ability>L2_Typo</ability>
      <abilityName>字词错误</abilityName>
      <candidateList>
        <item>的瓦斯</item>
      </candidateList>
      <explain/>
      <paraID> 7333392</paraID>
      <start>8</start>
      <end>10</end>
      <status>unmodified</status>
      <modifiedWord/>
      <trackRevisions>false</trackRevisions>
    </reviewItem>
    <reviewItem>
      <errorID>6e1f9a2f-3bf9-4f36-a490-8704b67487cd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2FC317D1</paraID>
      <start>0</start>
      <end>2</end>
      <status>unmodified</status>
      <modifiedWord/>
      <trackRevisions>false</trackRevisions>
    </reviewItem>
    <reviewItem>
      <errorID>81ff7c57-cdde-4c2c-a450-74e3f749ac62</errorID>
      <errorWord>(</errorWord>
      <group>L1_Format</group>
      <groupName>格式问题</groupName>
      <ability>L2_HalfPunc</ability>
      <abilityName>全半角检查</abilityName>
      <candidateList>
        <item>（</item>
      </candidateList>
      <explain>文本全半角错误。</explain>
      <paraID>59A7D5EB</paraID>
      <start>6</start>
      <end>7</end>
      <status>unmodified</status>
      <modifiedWord/>
      <trackRevisions>false</trackRevisions>
    </reviewItem>
    <reviewItem>
      <errorID>c7ca8195-7787-4647-871b-d2d9b0085742</errorID>
      <errorWord>)</errorWord>
      <group>L1_Format</group>
      <groupName>格式问题</groupName>
      <ability>L2_HalfPunc</ability>
      <abilityName>全半角检查</abilityName>
      <candidateList>
        <item>）</item>
      </candidateList>
      <explain>文本全半角错误。</explain>
      <paraID>59A7D5EB</paraID>
      <start>12</start>
      <end>13</end>
      <status>unmodified</status>
      <modifiedWord/>
      <trackRevisions>false</trackRevisions>
    </reviewItem>
    <reviewItem>
      <errorID>2cacd117-3ff3-4202-b032-de8741c93524</errorID>
      <errorWord>:</errorWord>
      <group>L1_Format</group>
      <groupName>格式问题</groupName>
      <ability>L2_HalfPunc</ability>
      <abilityName>全半角检查</abilityName>
      <candidateList>
        <item>：</item>
      </candidateList>
      <explain>文本全半角错误。</explain>
      <paraID>3552FE06</paraID>
      <start>6</start>
      <end>7</end>
      <status>unmodified</status>
      <modifiedWord/>
      <trackRevisions>false</trackRevisions>
    </reviewItem>
    <reviewItem>
      <errorID>ad4616bc-bda8-40e0-bcda-51d187a85658</errorID>
      <errorWord>螯合禁锢</errorWord>
      <group>L1_Grammar</group>
      <groupName>语法问题</groupName>
      <ability>L2_Grammar</ability>
      <abilityName>语法错误</abilityName>
      <candidateList>
        <item>螯合</item>
      </candidateList>
      <explain/>
      <paraID>3552FE06</paraID>
      <start>69</start>
      <end>73</end>
      <status>unmodified</status>
      <modifiedWord/>
      <trackRevisions>false</trackRevisions>
    </reviewItem>
    <reviewItem>
      <errorID>a5550a9b-ed0a-45d8-9eb2-db59e5447cc0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49ED355A</paraID>
      <start>0</start>
      <end>2</end>
      <status>unmodified</status>
      <modifiedWord/>
      <trackRevisions>false</trackRevisions>
    </reviewItem>
    <reviewItem>
      <errorID>0d96dff5-6117-491e-a1e7-b106f198f1a4</errorID>
      <errorWord>(</errorWord>
      <group>L1_Format</group>
      <groupName>格式问题</groupName>
      <ability>L2_HalfPunc</ability>
      <abilityName>全半角检查</abilityName>
      <candidateList>
        <item>（</item>
      </candidateList>
      <explain>文本全半角错误。</explain>
      <paraID> 8442731</paraID>
      <start>86</start>
      <end>87</end>
      <status>unmodified</status>
      <modifiedWord/>
      <trackRevisions>false</trackRevisions>
    </reviewItem>
    <reviewItem>
      <errorID>9d2aa25d-5751-431d-8ced-bef8bee2cb3c</errorID>
      <errorWord>进入</errorWord>
      <group>L1_Punc</group>
      <groupName>标点问题</groupName>
      <ability>L2_Punc</ability>
      <abilityName>标点符号检查</abilityName>
      <candidateList>
        <item>，进入</item>
      </candidateList>
      <explain/>
      <paraID>221911C1</paraID>
      <start>21</start>
      <end>23</end>
      <status>unmodified</status>
      <modifiedWord/>
      <trackRevisions>false</trackRevisions>
    </reviewItem>
    <reviewItem>
      <errorID>5e7d771d-7018-4bf6-8830-48eb1634973a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3D3EB56F</paraID>
      <start>0</start>
      <end>2</end>
      <status>unmodified</status>
      <modifiedWord/>
      <trackRevisions>false</trackRevisions>
    </reviewItem>
    <reviewItem>
      <errorID>f52a2677-f9cc-4d88-a462-281220580320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3376DF8</paraID>
      <start>0</start>
      <end>2</end>
      <status>unmodified</status>
      <modifiedWord/>
      <trackRevisions>false</trackRevisions>
    </reviewItem>
    <reviewItem>
      <errorID>40e7bf36-e41e-4bbc-86c5-1bff16330253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17B51B73</paraID>
      <start>0</start>
      <end>2</end>
      <status>unmodified</status>
      <modifiedWord/>
      <trackRevisions>false</trackRevisions>
    </reviewItem>
    <reviewItem>
      <errorID>beceb97e-641f-4df0-9399-4ff5e0c0479e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4FD2BD34</paraID>
      <start>0</start>
      <end>2</end>
      <status>unmodified</status>
      <modifiedWord/>
      <trackRevisions>false</trackRevisions>
    </reviewItem>
    <reviewItem>
      <errorID>7f7cfbde-5695-4872-b3d1-a336aa97733d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4AE8F381</paraID>
      <start>0</start>
      <end>2</end>
      <status>unmodified</status>
      <modifiedWord/>
      <trackRevisions>false</trackRevisions>
    </reviewItem>
    <reviewItem>
      <errorID>f631fd7b-bbbb-408e-a998-e4ee44c6db9f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6C2BCF0E</paraID>
      <start>0</start>
      <end>2</end>
      <status>unmodified</status>
      <modifiedWord/>
      <trackRevisions>false</trackRevisions>
    </reviewItem>
    <reviewItem>
      <errorID>3611bf5e-0132-41bf-8fd9-078a7856345f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221AF16E</paraID>
      <start>0</start>
      <end>2</end>
      <status>unmodified</status>
      <modifiedWord/>
      <trackRevisions>false</trackRevisions>
    </reviewItem>
    <reviewItem>
      <errorID>0ea5ca67-cab0-44e1-be00-d498aedc0133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23BA37FC</paraID>
      <start>0</start>
      <end>2</end>
      <status>unmodified</status>
      <modifiedWord/>
      <trackRevisions>false</trackRevisions>
    </reviewItem>
    <reviewItem>
      <errorID>a6fc67bf-c004-48af-b6ad-e5271bcbe97a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6ABAB519</paraID>
      <start>0</start>
      <end>2</end>
      <status>unmodified</status>
      <modifiedWord/>
      <trackRevisions>false</trackRevisions>
    </reviewItem>
    <reviewItem>
      <errorID>4b188a1a-d38b-465d-9783-4e592ff4a696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44E283B7</paraID>
      <start>0</start>
      <end>2</end>
      <status>unmodified</status>
      <modifiedWord/>
      <trackRevisions>false</trackRevisions>
    </reviewItem>
    <reviewItem>
      <errorID>b550ddac-f891-4a81-a4d6-cf4f8bd8bbb6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47823068</paraID>
      <start>0</start>
      <end>2</end>
      <status>unmodified</status>
      <modifiedWord/>
      <trackRevisions>false</trackRevisions>
    </reviewItem>
    <reviewItem>
      <errorID>fe3e4fd6-72f0-4cb5-a909-2413f558e27b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3C72FC9F</paraID>
      <start>0</start>
      <end>2</end>
      <status>unmodified</status>
      <modifiedWord/>
      <trackRevisions>false</trackRevisions>
    </reviewItem>
    <reviewItem>
      <errorID>dcb745b2-ffd7-4407-aa62-cc100493cb14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1364B2CB</paraID>
      <start>0</start>
      <end>2</end>
      <status>unmodified</status>
      <modifiedWord/>
      <trackRevisions>false</trackRevisions>
    </reviewItem>
    <reviewItem>
      <errorID>ac0a711c-d18c-4d50-993d-b4a9ac01ffdb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338A3D65</paraID>
      <start>0</start>
      <end>2</end>
      <status>unmodified</status>
      <modifiedWord/>
      <trackRevisions>false</trackRevisions>
    </reviewItem>
    <reviewItem>
      <errorID>9ed43e35-4882-4482-b93d-36e6d9c082bf</errorID>
      <errorWord>瓦斯</errorWord>
      <group>L1_Word</group>
      <groupName>字词问题</groupName>
      <ability>L2_Typo</ability>
      <abilityName>字词错误</abilityName>
      <candidateList>
        <item>的瓦斯</item>
      </candidateList>
      <explain/>
      <paraID>338A3D65</paraID>
      <start>35</start>
      <end>37</end>
      <status>unmodified</status>
      <modifiedWord/>
      <trackRevisions>false</trackRevisions>
    </reviewItem>
    <reviewItem>
      <errorID>324a26f6-54ed-4373-a16d-32a061692a0a</errorID>
      <errorWord>其它杂物</errorWord>
      <group>L1_Word</group>
      <groupName>字词问题</groupName>
      <ability>L2_Alias</ability>
      <abilityName>也作/曾用词</abilityName>
      <candidateList>
        <item>其他杂物</item>
      </candidateList>
      <explain>词汇[其它杂物]为不规范表述或旧称，其规范书面表述为[其他杂物]。</explain>
      <paraID>69F20F6A</paraID>
      <start>7</start>
      <end>11</end>
      <status>unmodified</status>
      <modifiedWord/>
      <trackRevisions>false</trackRevisions>
    </reviewItem>
    <reviewItem>
      <errorID>9b87ea48-becd-4913-987e-dd881969c014</errorID>
      <errorWord>(</errorWord>
      <group>L1_Format</group>
      <groupName>格式问题</groupName>
      <ability>L2_HalfPunc</ability>
      <abilityName>全半角检查</abilityName>
      <candidateList>
        <item>（</item>
      </candidateList>
      <explain>文本全半角错误。</explain>
      <paraID>47DC8FD8</paraID>
      <start>92</start>
      <end>93</end>
      <status>unmodified</status>
      <modifiedWord/>
      <trackRevisions>false</trackRevisions>
    </reviewItem>
    <reviewItem>
      <errorID>0822d2f6-98aa-4ead-85a4-027fc0bdf306</errorID>
      <errorWord>)</errorWord>
      <group>L1_Format</group>
      <groupName>格式问题</groupName>
      <ability>L2_HalfPunc</ability>
      <abilityName>全半角检查</abilityName>
      <candidateList>
        <item>）</item>
      </candidateList>
      <explain>文本全半角错误。</explain>
      <paraID>47DC8FD8</paraID>
      <start>106</start>
      <end>107</end>
      <status>unmodified</status>
      <modifiedWord/>
      <trackRevisions>false</trackRevisions>
    </reviewItem>
    <reviewItem>
      <errorID>1855ffdb-4bd6-4a5a-bf4b-f748b6c2caf9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1263A9F2</paraID>
      <start>0</start>
      <end>2</end>
      <status>unmodified</status>
      <modifiedWord/>
      <trackRevisions>false</trackRevisions>
    </reviewItem>
    <reviewItem>
      <errorID>a654c773-d82a-4a17-8a39-ee711c7a238d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4DAEEED6</paraID>
      <start>0</start>
      <end>2</end>
      <status>unmodified</status>
      <modifiedWord/>
      <trackRevisions>false</trackRevisions>
    </reviewItem>
    <reviewItem>
      <errorID>dbc07afb-378f-4345-9601-e36af722938b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50EC75B8</paraID>
      <start>0</start>
      <end>2</end>
      <status>unmodified</status>
      <modifiedWord/>
      <trackRevisions>false</trackRevisions>
    </reviewItem>
    <reviewItem>
      <errorID>1199dcf2-6ea5-490d-a73b-481c05a064ef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386750B2</paraID>
      <start>0</start>
      <end>2</end>
      <status>unmodified</status>
      <modifiedWord/>
      <trackRevisions>false</trackRevisions>
    </reviewItem>
    <reviewItem>
      <errorID>34b15f5c-57e8-49fa-b194-b2339ebf88d9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8808BD5</paraID>
      <start>0</start>
      <end>2</end>
      <status>unmodified</status>
      <modifiedWord/>
      <trackRevisions>false</trackRevisions>
    </reviewItem>
    <reviewItem>
      <errorID>d49065a0-595a-4ac6-ba3b-98f78dcb70c4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57DEC8</paraID>
      <start>0</start>
      <end>2</end>
      <status>unmodified</status>
      <modifiedWord/>
      <trackRevisions>false</trackRevisions>
    </reviewItem>
    <reviewItem>
      <errorID>a4bf4871-8f8c-4865-93e1-e744526299c6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5CBD533C</paraID>
      <start>0</start>
      <end>2</end>
      <status>unmodified</status>
      <modifiedWord/>
      <trackRevisions>false</trackRevisions>
    </reviewItem>
    <reviewItem>
      <errorID>abe74170-500f-42da-bbe4-6d6e228130e1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52742732</paraID>
      <start>0</start>
      <end>2</end>
      <status>unmodified</status>
      <modifiedWord/>
      <trackRevisions>false</trackRevisions>
    </reviewItem>
    <reviewItem>
      <errorID>9cd6a4ca-8e0b-420c-99e4-d275df5601ed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51846C53</paraID>
      <start>0</start>
      <end>2</end>
      <status>unmodified</status>
      <modifiedWord/>
      <trackRevisions>false</trackRevisions>
    </reviewItem>
    <reviewItem>
      <errorID>3ba712ca-184b-4d98-b608-13157787b6c7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22E82244</paraID>
      <start>0</start>
      <end>3</end>
      <status>unmodified</status>
      <modifiedWord/>
      <trackRevisions>false</trackRevisions>
    </reviewItem>
    <reviewItem>
      <errorID>27fe9a62-a9ff-4802-8b12-544e1590eeaa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83BBEC4</paraID>
      <start>0</start>
      <end>2</end>
      <status>unmodified</status>
      <modifiedWord/>
      <trackRevisions>false</trackRevisions>
    </reviewItem>
    <reviewItem>
      <errorID>00cfe3cd-806d-4e13-9664-68924322dbf3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5C271D5C</paraID>
      <start>0</start>
      <end>2</end>
      <status>unmodified</status>
      <modifiedWord/>
      <trackRevisions>false</trackRevisions>
    </reviewItem>
    <reviewItem>
      <errorID>1965e04d-edec-4f33-a21c-265006ab1233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1BEFF2F6</paraID>
      <start>0</start>
      <end>2</end>
      <status>unmodified</status>
      <modifiedWord/>
      <trackRevisions>false</trackRevisions>
    </reviewItem>
    <reviewItem>
      <errorID>486fc4db-95d3-4fea-bbca-513d30ddf338</errorID>
      <errorWord>-</errorWord>
      <group>L1_Punc</group>
      <groupName>标点问题</groupName>
      <ability>L2_Punc</ability>
      <abilityName>标点符号检查</abilityName>
      <candidateList>
        <item>—</item>
      </candidateList>
      <explain/>
      <paraID>15C19EDE</paraID>
      <start>1</start>
      <end>2</end>
      <status>unmodified</status>
      <modifiedWord/>
      <trackRevisions>false</trackRevisions>
    </reviewItem>
    <reviewItem>
      <errorID>e002b1bf-cefa-4608-a9ba-e80bb1991c53</errorID>
      <errorWord>--</errorWord>
      <group>L1_Punc</group>
      <groupName>标点问题</groupName>
      <ability>L2_Punc</ability>
      <abilityName>标点符号检查</abilityName>
      <candidateList>
        <item>—</item>
      </candidateList>
      <explain/>
      <paraID>15C19EDE</paraID>
      <start>9</start>
      <end>11</end>
      <status>unmodified</status>
      <modifiedWord/>
      <trackRevisions>false</trackRevisions>
    </reviewItem>
    <reviewItem>
      <errorID>cad622a7-00eb-4be8-bb64-ea254fb47344</errorID>
      <errorWord>-</errorWord>
      <group>L1_Format</group>
      <groupName>格式问题</groupName>
      <ability>L2_HalfPunc</ability>
      <abilityName>全半角检查</abilityName>
      <candidateList>
        <item>－</item>
      </candidateList>
      <explain>文本全半角错误。</explain>
      <paraID>15C19EDE</paraID>
      <start>21</start>
      <end>22</end>
      <status>unmodified</status>
      <modifiedWord/>
      <trackRevisions>false</trackRevisions>
    </reviewItem>
    <reviewItem>
      <errorID>b4ce07bc-1b88-4ed5-8d71-5e734742349e</errorID>
      <errorWord>-</errorWord>
      <group>L1_Format</group>
      <groupName>格式问题</groupName>
      <ability>L2_HalfPunc</ability>
      <abilityName>全半角检查</abilityName>
      <candidateList>
        <item>－</item>
      </candidateList>
      <explain>文本全半角错误。</explain>
      <paraID>15C19EDE</paraID>
      <start>32</start>
      <end>33</end>
      <status>unmodified</status>
      <modifiedWord/>
      <trackRevisions>false</trackRevisions>
    </reviewItem>
    <reviewItem>
      <errorID>4dd05fc5-c215-44dd-85f4-85d7a0599cde</errorID>
      <errorWord>-</errorWord>
      <group>L1_Format</group>
      <groupName>格式问题</groupName>
      <ability>L2_HalfPunc</ability>
      <abilityName>全半角检查</abilityName>
      <candidateList>
        <item>－</item>
      </candidateList>
      <explain>文本全半角错误。</explain>
      <paraID>507A93F6</paraID>
      <start>1</start>
      <end>2</end>
      <status>unmodified</status>
      <modifiedWord/>
      <trackRevisions>false</trackRevisions>
    </reviewItem>
    <reviewItem>
      <errorID>a72af961-be08-45d3-b48d-356734721e6c</errorID>
      <errorWord>-</errorWord>
      <group>L1_Format</group>
      <groupName>格式问题</groupName>
      <ability>L2_HalfPunc</ability>
      <abilityName>全半角检查</abilityName>
      <candidateList>
        <item>－</item>
      </candidateList>
      <explain>文本全半角错误。</explain>
      <paraID>507A93F6</paraID>
      <start>7</start>
      <end>8</end>
      <status>unmodified</status>
      <modifiedWord/>
      <trackRevisions>false</trackRevisions>
    </reviewItem>
    <reviewItem>
      <errorID>719a5542-3c0a-40dd-a947-a2f499036b64</errorID>
      <errorWord>-</errorWord>
      <group>L1_Format</group>
      <groupName>格式问题</groupName>
      <ability>L2_HalfPunc</ability>
      <abilityName>全半角检查</abilityName>
      <candidateList>
        <item>－</item>
      </candidateList>
      <explain>文本全半角错误。</explain>
      <paraID>507A93F6</paraID>
      <start>13</start>
      <end>14</end>
      <status>unmodified</status>
      <modifiedWord/>
      <trackRevisions>false</trackRevisions>
    </reviewItem>
    <reviewItem>
      <errorID>917c2da6-a393-43a2-9afe-5f0c652daf85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7A42F9E</paraID>
      <start>0</start>
      <end>2</end>
      <status>unmodified</status>
      <modifiedWord/>
      <trackRevisions>false</trackRevisions>
    </reviewItem>
    <reviewItem>
      <errorID>9faac12e-92b5-4827-91d4-a25bc84ee7c8</errorID>
      <errorWord>、</errorWord>
      <group>L1_Punc</group>
      <groupName>标点问题</groupName>
      <ability>L2_Punc</ability>
      <abilityName>标点符号检查</abilityName>
      <candidateList>
        <item>，</item>
      </candidateList>
      <explain/>
      <paraID>6BAE1D48</paraID>
      <start>33</start>
      <end>34</end>
      <status>unmodified</status>
      <modifiedWord/>
      <trackRevisions>false</trackRevisions>
    </reviewItem>
    <reviewItem>
      <errorID>11496ea9-4d17-488c-adb0-65282280f2a7</errorID>
      <errorWord>管路上</errorWord>
      <group>L1_Word</group>
      <groupName>字词问题</groupName>
      <ability>L2_Typo</ability>
      <abilityName>字词错误</abilityName>
      <candidateList>
        <item>管路</item>
      </candidateList>
      <explain/>
      <paraID>3EAE7DDE</paraID>
      <start>2</start>
      <end>5</end>
      <status>unmodified</status>
      <modifiedWord/>
      <trackRevisions>false</trackRevisions>
    </reviewItem>
    <reviewItem>
      <errorID>f5ea1e4e-7603-40fc-9903-98e966355667</errorID>
      <errorWord>入口</errorWord>
      <group>L1_Word</group>
      <groupName>字词问题</groupName>
      <ability>L2_Typo</ability>
      <abilityName>字词错误</abilityName>
      <candidateList>
        <item>出口</item>
      </candidateList>
      <explain/>
      <paraID>3EAE7DDE</paraID>
      <start>8</start>
      <end>10</end>
      <status>unmodified</status>
      <modifiedWord/>
      <trackRevisions>false</trackRevisions>
    </reviewItem>
    <reviewItem>
      <errorID>9d076275-714e-4572-a72c-22e63415555c</errorID>
      <errorWord>配置</errorWord>
      <group>L1_Word</group>
      <groupName>字词问题</groupName>
      <ability>L2_Typo</ability>
      <abilityName>字词错误</abilityName>
      <candidateList>
        <item>上配置</item>
      </candidateList>
      <explain/>
      <paraID>3EAE7DDE</paraID>
      <start>11</start>
      <end>13</end>
      <status>unmodified</status>
      <modifiedWord/>
      <trackRevisions>false</trackRevisions>
    </reviewItem>
    <reviewItem>
      <errorID>99882d4e-a7ca-4180-9b69-81442ed825e8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EFA12E1</paraID>
      <start>0</start>
      <end>2</end>
      <status>unmodified</status>
      <modifiedWord/>
      <trackRevisions>false</trackRevisions>
    </reviewItem>
    <reviewItem>
      <errorID>fca68bb1-703b-4bdc-9481-43b14d8b824e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6A568340</paraID>
      <start>0</start>
      <end>2</end>
      <status>unmodified</status>
      <modifiedWord/>
      <trackRevisions>false</trackRevisions>
    </reviewItem>
    <reviewItem>
      <errorID>84746728-31ee-453b-9b8b-7cc1f4fac96b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520473DA</paraID>
      <start>0</start>
      <end>3</end>
      <status>unmodified</status>
      <modifiedWord/>
      <trackRevisions>false</trackRevisions>
    </reviewItem>
    <reviewItem>
      <errorID>c86b36a3-3fab-4390-81db-2681376203f0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35495212</paraID>
      <start>0</start>
      <end>3</end>
      <status>unmodified</status>
      <modifiedWord/>
      <trackRevisions>false</trackRevisions>
    </reviewItem>
    <reviewItem>
      <errorID>41afa46a-5649-4f70-a1ee-46153019b9a8</errorID>
      <errorWord>丰</errorWord>
      <group>L1_Word</group>
      <groupName>字词问题</groupName>
      <ability>L2_Typo</ability>
      <abilityName>字词错误</abilityName>
      <candidateList>
        <item>丰县</item>
      </candidateList>
      <explain/>
      <paraID>6FF4F18D</paraID>
      <start>40</start>
      <end>41</end>
      <status>unmodified</status>
      <modifiedWord/>
      <trackRevisions>false</trackRevisions>
    </reviewItem>
    <reviewItem>
      <errorID>5da29ddc-2a60-401e-832e-63a34362b1f3</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6FF4F18D</paraID>
      <start>144</start>
      <end>150</end>
      <status>unmodified</status>
      <modifiedWord/>
      <trackRevisions>false</trackRevisions>
    </reviewItem>
    <reviewItem>
      <errorID>fab0fc87-0b0d-4e50-b156-7318d36fa509</errorID>
      <errorWord>多为</errorWord>
      <group>L1_Word</group>
      <groupName>字词问题</groupName>
      <ability>L2_Typo</ability>
      <abilityName>字词错误</abilityName>
      <candidateList>
        <item>以</item>
      </candidateList>
      <explain/>
      <paraID>3FDF466A</paraID>
      <start>57</start>
      <end>59</end>
      <status>unmodified</status>
      <modifiedWord/>
      <trackRevisions>false</trackRevisions>
    </reviewItem>
    <reviewItem>
      <errorID>e14eaed3-7bca-4a62-987c-22320ec7e0e8</errorID>
      <errorWord>丰</errorWord>
      <group>L1_Word</group>
      <groupName>字词问题</groupName>
      <ability>L2_Typo</ability>
      <abilityName>字词错误</abilityName>
      <candidateList>
        <item>丰县</item>
      </candidateList>
      <explain/>
      <paraID>4483FAE7</paraID>
      <start>40</start>
      <end>41</end>
      <status>unmodified</status>
      <modifiedWord/>
      <trackRevisions>false</trackRevisions>
    </reviewItem>
    <reviewItem>
      <errorID>e007f8f7-1df0-49d9-9ad3-f74fdf2b92de</errorID>
      <errorWord>区</errorWord>
      <group>L1_Word</group>
      <groupName>字词问题</groupName>
      <ability>L2_Typo</ability>
      <abilityName>字词错误</abilityName>
      <candidateList>
        <item>本区</item>
      </candidateList>
      <explain/>
      <paraID>3BB3138E</paraID>
      <start>30</start>
      <end>31</end>
      <status>unmodified</status>
      <modifiedWord/>
      <trackRevisions>false</trackRevisions>
    </reviewItem>
    <reviewItem>
      <errorID>dd2d12e4-62c1-4bcc-b97a-ce94e2889e7e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6EFF1DEF</paraID>
      <start>0</start>
      <end>3</end>
      <status>unmodified</status>
      <modifiedWord/>
      <trackRevisions>false</trackRevisions>
    </reviewItem>
    <reviewItem>
      <errorID>4e72af95-89ca-42f4-b36c-b48adfd300e6</errorID>
      <errorWord>---</errorWord>
      <group>L1_Punc</group>
      <groupName>标点问题</groupName>
      <ability>L2_Punc</ability>
      <abilityName>标点符号检查</abilityName>
      <candidateList>
        <item>——</item>
      </candidateList>
      <explain/>
      <paraID>308D53A3</paraID>
      <start>47</start>
      <end>50</end>
      <status>unmodified</status>
      <modifiedWord/>
      <trackRevisions>false</trackRevisions>
    </reviewItem>
    <reviewItem>
      <errorID>ee48b6c6-7d76-4ace-b671-70883b4864ac</errorID>
      <errorWord>煤资源</errorWord>
      <group>L1_Word</group>
      <groupName>字词问题</groupName>
      <ability>L2_Typo</ability>
      <abilityName>字词错误</abilityName>
      <candidateList>
        <item>煤炭资源</item>
      </candidateList>
      <explain/>
      <paraID>72CB099E</paraID>
      <start>172</start>
      <end>175</end>
      <status>unmodified</status>
      <modifiedWord/>
      <trackRevisions>false</trackRevisions>
    </reviewItem>
    <reviewItem>
      <errorID>f23c5eea-6cdb-4ea2-bf42-9ea4892635d8</errorID>
      <errorWord>为</errorWord>
      <group>L1_Word</group>
      <groupName>字词问题</groupName>
      <ability>L2_Typo</ability>
      <abilityName>字词错误</abilityName>
      <candidateList>
        <item>为全</item>
      </candidateList>
      <explain/>
      <paraID>72CB099E</paraID>
      <start>193</start>
      <end>194</end>
      <status>unmodified</status>
      <modifiedWord/>
      <trackRevisions>false</trackRevisions>
    </reviewItem>
    <reviewItem>
      <errorID>f8474746-5965-481e-86b2-99e9c34b3c26</errorID>
      <errorWord>区</errorWord>
      <group>L1_Word</group>
      <groupName>字词问题</groupName>
      <ability>L2_Typo</ability>
      <abilityName>字词错误</abilityName>
      <candidateList>
        <item>本区</item>
      </candidateList>
      <explain/>
      <paraID>72CB099E</paraID>
      <start>194</start>
      <end>195</end>
      <status>unmodified</status>
      <modifiedWord/>
      <trackRevisions>false</trackRevisions>
    </reviewItem>
    <reviewItem>
      <errorID>b2dc47c4-52b1-4e69-aec3-888769812f67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2D2579BC</paraID>
      <start>0</start>
      <end>3</end>
      <status>unmodified</status>
      <modifiedWord/>
      <trackRevisions>false</trackRevisions>
    </reviewItem>
    <reviewItem>
      <errorID>fa34a53d-ae40-4cda-b5f0-6b5e9ad75b15</errorID>
      <errorWord>、</errorWord>
      <group>L1_Punc</group>
      <groupName>标点问题</groupName>
      <ability>L2_Punc</ability>
      <abilityName>标点符号检查</abilityName>
      <candidateList/>
      <explain/>
      <paraID> F976B93</paraID>
      <start>0</start>
      <end>1</end>
      <status>unmodified</status>
      <modifiedWord/>
      <trackRevisions>false</trackRevisions>
    </reviewItem>
    <reviewItem>
      <errorID>9a538c07-b8fe-4dba-9c0d-10a3b744b2e7</errorID>
      <errorWord>为</errorWord>
      <group>L1_Word</group>
      <groupName>字词问题</groupName>
      <ability>L2_Typo</ability>
      <abilityName>字词错误</abilityName>
      <candidateList>
        <item>以</item>
      </candidateList>
      <explain/>
      <paraID>1DCD863E</paraID>
      <start>69</start>
      <end>70</end>
      <status>unmodified</status>
      <modifiedWord/>
      <trackRevisions>false</trackRevisions>
    </reviewItem>
    <reviewItem>
      <errorID>4dd6f2e1-5196-4433-a9d7-e31b548c034f</errorID>
      <errorWord>在</errorWord>
      <group>L1_Word</group>
      <groupName>字词问题</groupName>
      <ability>L2_Typo</ability>
      <abilityName>字词错误</abilityName>
      <candidateList>
        <item>根据</item>
      </candidateList>
      <explain/>
      <paraID>314D5345</paraID>
      <start>0</start>
      <end>1</end>
      <status>unmodified</status>
      <modifiedWord/>
      <trackRevisions>false</trackRevisions>
    </reviewItem>
    <reviewItem>
      <errorID>1fa7fbb1-5cfd-401c-8d59-3c30497707ba</errorID>
      <errorWord>》上</errorWord>
      <group>L1_Word</group>
      <groupName>字词问题</groupName>
      <ability>L2_Typo</ability>
      <abilityName>字词错误</abilityName>
      <candidateList>
        <item>》</item>
      </candidateList>
      <explain/>
      <paraID>314D5345</paraID>
      <start>10</start>
      <end>12</end>
      <status>unmodified</status>
      <modifiedWord/>
      <trackRevisions>false</trackRevisions>
    </reviewItem>
    <reviewItem>
      <errorID>665fb01a-31ec-4a7f-85a0-5aa659e05abc</errorID>
      <errorWord>管束植物</errorWord>
      <group>L1_Word</group>
      <groupName>字词问题</groupName>
      <ability>L2_Typo</ability>
      <abilityName>字词错误</abilityName>
      <candidateList>
        <item>沉水植物</item>
      </candidateList>
      <explain/>
      <paraID>3D1BA1BE</paraID>
      <start>124</start>
      <end>128</end>
      <status>unmodified</status>
      <modifiedWord/>
      <trackRevisions>false</trackRevisions>
    </reviewItem>
    <reviewItem>
      <errorID>fd60b9f3-9b53-4e21-a400-3eafbb06f578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3E9B2A1</paraID>
      <start>0</start>
      <end>2</end>
      <status>unmodified</status>
      <modifiedWord/>
      <trackRevisions>false</trackRevisions>
    </reviewItem>
    <reviewItem>
      <errorID>56a2a3fc-7af6-4cc2-bde6-37e4eb47534e</errorID>
      <errorWord>~</errorWord>
      <group>L1_Format</group>
      <groupName>格式问题</groupName>
      <ability>L2_HalfPunc</ability>
      <abilityName>全半角检查</abilityName>
      <candidateList>
        <item>～</item>
      </candidateList>
      <explain>文本全半角错误。</explain>
      <paraID>497B8513</paraID>
      <start>47</start>
      <end>48</end>
      <status>unmodified</status>
      <modifiedWord/>
      <trackRevisions>false</trackRevisions>
    </reviewItem>
    <reviewItem>
      <errorID>33786f3a-e9ca-4edf-8c04-47efeae2062e</errorID>
      <errorWord>-</errorWord>
      <group>L1_Format</group>
      <groupName>格式问题</groupName>
      <ability>L2_HalfPunc</ability>
      <abilityName>全半角检查</abilityName>
      <candidateList>
        <item>－</item>
      </candidateList>
      <explain>文本全半角错误。</explain>
      <paraID>497B8513</paraID>
      <start>157</start>
      <end>158</end>
      <status>unmodified</status>
      <modifiedWord/>
      <trackRevisions>false</trackRevisions>
    </reviewItem>
    <reviewItem>
      <errorID>dd6c0a4e-afa2-483f-88a6-6aa2664377be</errorID>
      <errorWord>~</errorWord>
      <group>L1_Format</group>
      <groupName>格式问题</groupName>
      <ability>L2_HalfPunc</ability>
      <abilityName>全半角检查</abilityName>
      <candidateList>
        <item>～</item>
      </candidateList>
      <explain>文本全半角错误。</explain>
      <paraID>497B8513</paraID>
      <start>167</start>
      <end>168</end>
      <status>unmodified</status>
      <modifiedWord/>
      <trackRevisions>false</trackRevisions>
    </reviewItem>
    <reviewItem>
      <errorID>5f20e9bc-3938-4853-9f54-9c5ca47b471c</errorID>
      <errorWord>彻</errorWord>
      <group>L1_Word</group>
      <groupName>字词问题</groupName>
      <ability>L2_Typo</ability>
      <abilityName>字词错误</abilityName>
      <candidateList>
        <item>坳</item>
      </candidateList>
      <explain/>
      <paraID>1D47FE60</paraID>
      <start>7</start>
      <end>8</end>
      <status>unmodified</status>
      <modifiedWord/>
      <trackRevisions>false</trackRevisions>
    </reviewItem>
    <reviewItem>
      <errorID>278d932e-6148-4fba-ae7a-24a28030adb3</errorID>
      <errorWord> </errorWord>
      <group>L1_Word</group>
      <groupName>字词问题</groupName>
      <ability>L2_Typo</ability>
      <abilityName>字词错误</abilityName>
      <candidateList>
        <item>°</item>
      </candidateList>
      <explain/>
      <paraID>1D47FE60</paraID>
      <start>109</start>
      <end>110</end>
      <status>unmodified</status>
      <modifiedWord/>
      <trackRevisions>false</trackRevisions>
    </reviewItem>
    <reviewItem>
      <errorID>ed7c1b61-7bf0-402c-9143-dd0c9a44f08b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7D96F6EC</paraID>
      <start>0</start>
      <end>2</end>
      <status>unmodified</status>
      <modifiedWord/>
      <trackRevisions>false</trackRevisions>
    </reviewItem>
    <reviewItem>
      <errorID>12ece884-b9a8-4137-88d6-39ffc94e3439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7CE1E6D2</paraID>
      <start>125</start>
      <end>126</end>
      <status>unmodified</status>
      <modifiedWord/>
      <trackRevisions>false</trackRevisions>
    </reviewItem>
    <reviewItem>
      <errorID>b87fa1f2-72cb-4196-90a6-3a2a56e6104b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3B1AE9B9</paraID>
      <start>0</start>
      <end>2</end>
      <status>unmodified</status>
      <modifiedWord/>
      <trackRevisions>false</trackRevisions>
    </reviewItem>
    <reviewItem>
      <errorID>9d11ca60-cbef-48de-b5f8-bd791e8b3231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6A6E15</paraID>
      <start>172</start>
      <end>173</end>
      <status>unmodified</status>
      <modifiedWord/>
      <trackRevisions>false</trackRevisions>
    </reviewItem>
    <reviewItem>
      <errorID>1ebc1dc8-9660-489c-a466-534df5a40590</errorID>
      <errorWord>~</errorWord>
      <group>L1_Format</group>
      <groupName>格式问题</groupName>
      <ability>L2_HalfPunc</ability>
      <abilityName>全半角检查</abilityName>
      <candidateList>
        <item>～</item>
      </candidateList>
      <explain>文本全半角错误。</explain>
      <paraID>332A510A</paraID>
      <start>106</start>
      <end>107</end>
      <status>unmodified</status>
      <modifiedWord/>
      <trackRevisions>false</trackRevisions>
    </reviewItem>
    <reviewItem>
      <errorID>96594f4f-60b6-419a-852d-3c80e4a030b9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332A510A</paraID>
      <start>116</start>
      <end>117</end>
      <status>unmodified</status>
      <modifiedWord/>
      <trackRevisions>false</trackRevisions>
    </reviewItem>
    <reviewItem>
      <errorID>ebf4e1d1-adca-40f3-9c7e-db9e517a5110</errorID>
      <errorWord>流径</errorWord>
      <group>L1_Word</group>
      <groupName>字词问题</groupName>
      <ability>L2_Typo</ability>
      <abilityName>字词错误</abilityName>
      <candidateList>
        <item>流经</item>
      </candidateList>
      <explain/>
      <paraID>6109BDDB</paraID>
      <start>18</start>
      <end>20</end>
      <status>unmodified</status>
      <modifiedWord/>
      <trackRevisions>false</trackRevisions>
    </reviewItem>
    <reviewItem>
      <errorID>bb667404-271e-48de-aa58-331b5e3a906d</errorID>
      <errorWord>~</errorWord>
      <group>L1_Format</group>
      <groupName>格式问题</groupName>
      <ability>L2_HalfPunc</ability>
      <abilityName>全半角检查</abilityName>
      <candidateList>
        <item>～</item>
      </candidateList>
      <explain>文本全半角错误。</explain>
      <paraID>6109BDDB</paraID>
      <start>35</start>
      <end>36</end>
      <status>unmodified</status>
      <modifiedWord/>
      <trackRevisions>false</trackRevisions>
    </reviewItem>
    <reviewItem>
      <errorID>b8340567-d610-4c08-89ff-260662b0b833</errorID>
      <errorWord>~</errorWord>
      <group>L1_Format</group>
      <groupName>格式问题</groupName>
      <ability>L2_HalfPunc</ability>
      <abilityName>全半角检查</abilityName>
      <candidateList>
        <item>～</item>
      </candidateList>
      <explain>文本全半角错误。</explain>
      <paraID>2388B201</paraID>
      <start>28</start>
      <end>29</end>
      <status>unmodified</status>
      <modifiedWord/>
      <trackRevisions>false</trackRevisions>
    </reviewItem>
    <reviewItem>
      <errorID>6e488db9-4a98-4c83-93c6-40804566228b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26ADEBE3</paraID>
      <start>0</start>
      <end>2</end>
      <status>unmodified</status>
      <modifiedWord/>
      <trackRevisions>false</trackRevisions>
    </reviewItem>
    <reviewItem>
      <errorID>f3cb5b07-3e48-4788-bf0e-c6b0a2cdb410</errorID>
      <errorWord>(</errorWord>
      <group>L1_Format</group>
      <groupName>格式问题</groupName>
      <ability>L2_HalfPunc</ability>
      <abilityName>全半角检查</abilityName>
      <candidateList>
        <item>（</item>
      </candidateList>
      <explain>文本全半角错误。</explain>
      <paraID> F4FDE8D</paraID>
      <start>65</start>
      <end>66</end>
      <status>unmodified</status>
      <modifiedWord/>
      <trackRevisions>false</trackRevisions>
    </reviewItem>
    <reviewItem>
      <errorID>b430c9b6-0ced-4e26-b9e8-4c0ae428856d</errorID>
      <errorWord>)</errorWord>
      <group>L1_Format</group>
      <groupName>格式问题</groupName>
      <ability>L2_HalfPunc</ability>
      <abilityName>全半角检查</abilityName>
      <candidateList>
        <item>）</item>
      </candidateList>
      <explain>文本全半角错误。</explain>
      <paraID> F4FDE8D</paraID>
      <start>67</start>
      <end>68</end>
      <status>unmodified</status>
      <modifiedWord/>
      <trackRevisions>false</trackRevisions>
    </reviewItem>
    <reviewItem>
      <errorID>5d6789e3-8204-4a93-a71f-712e65c00f42</errorID>
      <errorWord>,</errorWord>
      <group>L1_Format</group>
      <groupName>格式问题</groupName>
      <ability>L2_HalfPunc</ability>
      <abilityName>全半角检查</abilityName>
      <candidateList>
        <item>，</item>
      </candidateList>
      <explain>文本全半角错误。</explain>
      <paraID> F4FDE8D</paraID>
      <start>172</start>
      <end>173</end>
      <status>unmodified</status>
      <modifiedWord/>
      <trackRevisions>false</trackRevisions>
    </reviewItem>
    <reviewItem>
      <errorID>40054b8f-ac49-48c1-a057-78a54a2e86ee</errorID>
      <errorWord>厚</errorWord>
      <group>L1_Word</group>
      <groupName>字词问题</groupName>
      <ability>L2_Typo</ability>
      <abilityName>字词错误</abilityName>
      <candidateList>
        <item>厚度</item>
      </candidateList>
      <explain/>
      <paraID> F4FDE8D</paraID>
      <start>224</start>
      <end>225</end>
      <status>unmodified</status>
      <modifiedWord/>
      <trackRevisions>false</trackRevisions>
    </reviewItem>
    <reviewItem>
      <errorID>95f60688-90a9-485b-91d5-c55a5e166f85</errorID>
      <errorWord>,</errorWord>
      <group>L1_Format</group>
      <groupName>格式问题</groupName>
      <ability>L2_HalfPunc</ability>
      <abilityName>全半角检查</abilityName>
      <candidateList>
        <item>，</item>
      </candidateList>
      <explain>文本全半角错误。</explain>
      <paraID> F4FDE8D</paraID>
      <start>237</start>
      <end>238</end>
      <status>unmodified</status>
      <modifiedWord/>
      <trackRevisions>false</trackRevisions>
    </reviewItem>
    <reviewItem>
      <errorID>4ffd0b07-0953-48e8-a1e7-606e10a88677</errorID>
      <errorWord>)</errorWord>
      <group>L1_Format</group>
      <groupName>格式问题</groupName>
      <ability>L2_HalfPunc</ability>
      <abilityName>全半角检查</abilityName>
      <candidateList>
        <item>）</item>
      </candidateList>
      <explain>文本全半角错误。</explain>
      <paraID>1010D052</paraID>
      <start>55</start>
      <end>56</end>
      <status>unmodified</status>
      <modifiedWord/>
      <trackRevisions>false</trackRevisions>
    </reviewItem>
    <reviewItem>
      <errorID>dbd06e3b-64c2-4390-8c5a-70c1d363173b</errorID>
      <errorWord>)</errorWord>
      <group>L1_Format</group>
      <groupName>格式问题</groupName>
      <ability>L2_HalfPunc</ability>
      <abilityName>全半角检查</abilityName>
      <candidateList>
        <item>）</item>
      </candidateList>
      <explain>文本全半角错误。</explain>
      <paraID> 725CFCF</paraID>
      <start>56</start>
      <end>57</end>
      <status>unmodified</status>
      <modifiedWord/>
      <trackRevisions>false</trackRevisions>
    </reviewItem>
    <reviewItem>
      <errorID>72fd2ada-360d-4bc4-bfc3-bc11577e0e09</errorID>
      <errorWord>,</errorWord>
      <group>L1_Format</group>
      <groupName>格式问题</groupName>
      <ability>L2_HalfPunc</ability>
      <abilityName>全半角检查</abilityName>
      <candidateList>
        <item>，</item>
      </candidateList>
      <explain>文本全半角错误。</explain>
      <paraID> 725CFCF</paraID>
      <start>81</start>
      <end>82</end>
      <status>unmodified</status>
      <modifiedWord/>
      <trackRevisions>false</trackRevisions>
    </reviewItem>
    <reviewItem>
      <errorID>fc0060ac-e887-421f-b2ea-0494f0d6d91d</errorID>
      <errorWord>,</errorWord>
      <group>L1_Format</group>
      <groupName>格式问题</groupName>
      <ability>L2_HalfPunc</ability>
      <abilityName>全半角检查</abilityName>
      <candidateList>
        <item>，</item>
      </candidateList>
      <explain>文本全半角错误。</explain>
      <paraID>7BFF571D</paraID>
      <start>145</start>
      <end>146</end>
      <status>unmodified</status>
      <modifiedWord/>
      <trackRevisions>false</trackRevisions>
    </reviewItem>
    <reviewItem>
      <errorID>e5bd58e8-8e6b-491c-8de1-0428acb794af</errorID>
      <errorWord>,</errorWord>
      <group>L1_Format</group>
      <groupName>格式问题</groupName>
      <ability>L2_HalfPunc</ability>
      <abilityName>全半角检查</abilityName>
      <candidateList>
        <item>，</item>
      </candidateList>
      <explain>文本全半角错误。</explain>
      <paraID>7BFF571D</paraID>
      <start>174</start>
      <end>175</end>
      <status>unmodified</status>
      <modifiedWord/>
      <trackRevisions>false</trackRevisions>
    </reviewItem>
    <reviewItem>
      <errorID>5979e627-dda8-4455-87ca-263f1fd17da9</errorID>
      <errorWord>或其它因素</errorWord>
      <group>L1_Word</group>
      <groupName>字词问题</groupName>
      <ability>L2_Alias</ability>
      <abilityName>也作/曾用词</abilityName>
      <candidateList>
        <item>或其他因素</item>
      </candidateList>
      <explain>词汇[或其它因素]为不规范表述或旧称，其规范书面表述为[或其他因素]。</explain>
      <paraID> 8BA8753</paraID>
      <start>165</start>
      <end>170</end>
      <status>unmodified</status>
      <modifiedWord/>
      <trackRevisions>false</trackRevisions>
    </reviewItem>
    <reviewItem>
      <errorID>507aa2a5-caba-4f82-9085-cd8211c3e26c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36D6E310</paraID>
      <start>0</start>
      <end>2</end>
      <status>unmodified</status>
      <modifiedWord/>
      <trackRevisions>false</trackRevisions>
    </reviewItem>
    <reviewItem>
      <errorID>77a0f003-1ec7-401d-9834-db19ebc3afac</errorID>
      <errorWord>(</errorWord>
      <group>L1_Format</group>
      <groupName>格式问题</groupName>
      <ability>L2_HalfPunc</ability>
      <abilityName>全半角检查</abilityName>
      <candidateList>
        <item>（</item>
      </candidateList>
      <explain>文本全半角错误。</explain>
      <paraID>2E3A56A2</paraID>
      <start>58</start>
      <end>59</end>
      <status>unmodified</status>
      <modifiedWord/>
      <trackRevisions>false</trackRevisions>
    </reviewItem>
    <reviewItem>
      <errorID>3851df9f-7961-496f-821d-fcbeae328430</errorID>
      <errorWord>)</errorWord>
      <group>L1_Format</group>
      <groupName>格式问题</groupName>
      <ability>L2_HalfPunc</ability>
      <abilityName>全半角检查</abilityName>
      <candidateList>
        <item>）</item>
      </candidateList>
      <explain>文本全半角错误。</explain>
      <paraID>2E3A56A2</paraID>
      <start>63</start>
      <end>64</end>
      <status>unmodified</status>
      <modifiedWord/>
      <trackRevisions>false</trackRevisions>
    </reviewItem>
    <reviewItem>
      <errorID>d135cba1-53e0-43c1-afd2-b66c7ab842c2</errorID>
      <errorWord>(</errorWord>
      <group>L1_Format</group>
      <groupName>格式问题</groupName>
      <ability>L2_HalfPunc</ability>
      <abilityName>全半角检查</abilityName>
      <candidateList>
        <item>（</item>
      </candidateList>
      <explain>文本全半角错误。</explain>
      <paraID>334095F4</paraID>
      <start>3</start>
      <end>4</end>
      <status>unmodified</status>
      <modifiedWord/>
      <trackRevisions>false</trackRevisions>
    </reviewItem>
    <reviewItem>
      <errorID>2b1dc3f7-7fa2-463e-b365-0c8fbe0ea452</errorID>
      <errorWord>)</errorWord>
      <group>L1_Format</group>
      <groupName>格式问题</groupName>
      <ability>L2_HalfPunc</ability>
      <abilityName>全半角检查</abilityName>
      <candidateList>
        <item>）</item>
      </candidateList>
      <explain>文本全半角错误。</explain>
      <paraID>334095F4</paraID>
      <start>9</start>
      <end>10</end>
      <status>unmodified</status>
      <modifiedWord/>
      <trackRevisions>false</trackRevisions>
    </reviewItem>
    <reviewItem>
      <errorID>fd02c2cf-83ad-413f-acd3-a629fd0819dd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67087A04</paraID>
      <start>0</start>
      <end>2</end>
      <status>unmodified</status>
      <modifiedWord/>
      <trackRevisions>false</trackRevisions>
    </reviewItem>
    <reviewItem>
      <errorID>145279fc-c90d-4bb7-8082-cc9439d34e63</errorID>
      <errorWord>例</errorWord>
      <group>L1_Word</group>
      <groupName>字词问题</groupName>
      <ability>L2_Typo</ability>
      <abilityName>字词错误</abilityName>
      <candidateList>
        <item>例为</item>
      </candidateList>
      <explain/>
      <paraID>160B420C</paraID>
      <start>37</start>
      <end>38</end>
      <status>unmodified</status>
      <modifiedWord/>
      <trackRevisions>false</trackRevisions>
    </reviewItem>
    <reviewItem>
      <errorID>62a68623-dcd2-4fdc-8b7e-1177b87dcc1e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3C1DAA10</paraID>
      <start>0</start>
      <end>2</end>
      <status>unmodified</status>
      <modifiedWord/>
      <trackRevisions>false</trackRevisions>
    </reviewItem>
    <reviewItem>
      <errorID>037bf60f-244a-4e6f-8bd0-991f312d5010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25295547</paraID>
      <start>0</start>
      <end>2</end>
      <status>unmodified</status>
      <modifiedWord/>
      <trackRevisions>false</trackRevisions>
    </reviewItem>
    <reviewItem>
      <errorID>63aae589-9e18-4089-ad9c-1bbd7a6676dd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119BF692</paraID>
      <start>0</start>
      <end>1</end>
      <status>unmodified</status>
      <modifiedWord/>
      <trackRevisions>false</trackRevisions>
    </reviewItem>
    <reviewItem>
      <errorID>0424dd4e-003d-4ad3-9d7e-5fcd900ccbaa</errorID>
      <errorWord>(</errorWord>
      <group>L1_Format</group>
      <groupName>格式问题</groupName>
      <ability>L2_HalfPunc</ability>
      <abilityName>全半角检查</abilityName>
      <candidateList>
        <item>（</item>
      </candidateList>
      <explain>文本全半角错误。</explain>
      <paraID>119BF692</paraID>
      <start>8</start>
      <end>9</end>
      <status>unmodified</status>
      <modifiedWord/>
      <trackRevisions>false</trackRevisions>
    </reviewItem>
    <reviewItem>
      <errorID>4f4e0182-1dcb-45d0-acfc-404108709d11</errorID>
      <errorWord>)</errorWord>
      <group>L1_Format</group>
      <groupName>格式问题</groupName>
      <ability>L2_HalfPunc</ability>
      <abilityName>全半角检查</abilityName>
      <candidateList>
        <item>）</item>
      </candidateList>
      <explain>文本全半角错误。</explain>
      <paraID>119BF692</paraID>
      <start>11</start>
      <end>12</end>
      <status>unmodified</status>
      <modifiedWord/>
      <trackRevisions>false</trackRevisions>
    </reviewItem>
    <reviewItem>
      <errorID>d97b21bb-5b89-4fd8-ba03-3453d7d996be</errorID>
      <errorWord>(</errorWord>
      <group>L1_Format</group>
      <groupName>格式问题</groupName>
      <ability>L2_HalfPunc</ability>
      <abilityName>全半角检查</abilityName>
      <candidateList>
        <item>（</item>
      </candidateList>
      <explain>文本全半角错误。</explain>
      <paraID>3614BE34</paraID>
      <start>10</start>
      <end>11</end>
      <status>unmodified</status>
      <modifiedWord/>
      <trackRevisions>false</trackRevisions>
    </reviewItem>
    <reviewItem>
      <errorID>09e34b44-c69f-44d5-9b50-fbc3cefa4dda</errorID>
      <errorWord>)</errorWord>
      <group>L1_Format</group>
      <groupName>格式问题</groupName>
      <ability>L2_HalfPunc</ability>
      <abilityName>全半角检查</abilityName>
      <candidateList>
        <item>）</item>
      </candidateList>
      <explain>文本全半角错误。</explain>
      <paraID>3614BE34</paraID>
      <start>13</start>
      <end>14</end>
      <status>unmodified</status>
      <modifiedWord/>
      <trackRevisions>false</trackRevisions>
    </reviewItem>
    <reviewItem>
      <errorID>723d7300-76c8-44ff-8360-ec8a053c0824</errorID>
      <errorWord>(</errorWord>
      <group>L1_Format</group>
      <groupName>格式问题</groupName>
      <ability>L2_HalfPunc</ability>
      <abilityName>全半角检查</abilityName>
      <candidateList>
        <item>（</item>
      </candidateList>
      <explain>文本全半角错误。</explain>
      <paraID>3614BE34</paraID>
      <start>40</start>
      <end>41</end>
      <status>unmodified</status>
      <modifiedWord/>
      <trackRevisions>false</trackRevisions>
    </reviewItem>
    <reviewItem>
      <errorID>ae0e315f-094e-4c44-98c9-d5c1b9ecddc3</errorID>
      <errorWord>[2005]</errorWord>
      <group>L1_Punc</group>
      <groupName>标点问题</groupName>
      <ability>L2_Punc</ability>
      <abilityName>标点符号检查</abilityName>
      <candidateList>
        <item>〔2005〕</item>
      </candidateList>
      <explain/>
      <paraID>3614BE34</paraID>
      <start>51</start>
      <end>57</end>
      <status>unmodified</status>
      <modifiedWord/>
      <trackRevisions>false</trackRevisions>
    </reviewItem>
    <reviewItem>
      <errorID>fc08ea3f-0e70-4e4b-8143-29b0ce6f9c16</errorID>
      <errorWord>)</errorWord>
      <group>L1_Format</group>
      <groupName>格式问题</groupName>
      <ability>L2_HalfPunc</ability>
      <abilityName>全半角检查</abilityName>
      <candidateList>
        <item>）</item>
      </candidateList>
      <explain>文本全半角错误。</explain>
      <paraID>3614BE34</paraID>
      <start>74</start>
      <end>75</end>
      <status>unmodified</status>
      <modifiedWord/>
      <trackRevisions>false</trackRevisions>
    </reviewItem>
    <reviewItem>
      <errorID>ddf5b0a8-c310-4cb4-a2c2-6a92bab76ee7</errorID>
      <errorWord>(</errorWord>
      <group>L1_Format</group>
      <groupName>格式问题</groupName>
      <ability>L2_HalfPunc</ability>
      <abilityName>全半角检查</abilityName>
      <candidateList>
        <item>（</item>
      </candidateList>
      <explain>文本全半角错误。</explain>
      <paraID>7A442050</paraID>
      <start>27</start>
      <end>28</end>
      <status>unmodified</status>
      <modifiedWord/>
      <trackRevisions>false</trackRevisions>
    </reviewItem>
    <reviewItem>
      <errorID>db63a340-e7f0-46e7-a473-72c4ad10562a</errorID>
      <errorWord>)</errorWord>
      <group>L1_Format</group>
      <groupName>格式问题</groupName>
      <ability>L2_HalfPunc</ability>
      <abilityName>全半角检查</abilityName>
      <candidateList>
        <item>）</item>
      </candidateList>
      <explain>文本全半角错误。</explain>
      <paraID>7A442050</paraID>
      <start>44</start>
      <end>45</end>
      <status>unmodified</status>
      <modifiedWord/>
      <trackRevisions>false</trackRevisions>
    </reviewItem>
    <reviewItem>
      <errorID>7812f868-de49-4870-93e4-7331203092bd</errorID>
      <errorWord>(</errorWord>
      <group>L1_Format</group>
      <groupName>格式问题</groupName>
      <ability>L2_HalfPunc</ability>
      <abilityName>全半角检查</abilityName>
      <candidateList>
        <item>（</item>
      </candidateList>
      <explain>文本全半角错误。</explain>
      <paraID>7CA26991</paraID>
      <start>15</start>
      <end>16</end>
      <status>unmodified</status>
      <modifiedWord/>
      <trackRevisions>false</trackRevisions>
    </reviewItem>
    <reviewItem>
      <errorID>063852f4-69ce-4d5b-ab1c-cdb62ce6cc1b</errorID>
      <errorWord>)</errorWord>
      <group>L1_Format</group>
      <groupName>格式问题</groupName>
      <ability>L2_HalfPunc</ability>
      <abilityName>全半角检查</abilityName>
      <candidateList>
        <item>）</item>
      </candidateList>
      <explain>文本全半角错误。</explain>
      <paraID>7CA26991</paraID>
      <start>28</start>
      <end>29</end>
      <status>unmodified</status>
      <modifiedWord/>
      <trackRevisions>false</trackRevisions>
    </reviewItem>
    <reviewItem>
      <errorID>b1318059-e0f0-4585-9775-e8bc20f6e7e8</errorID>
      <errorWord>(</errorWord>
      <group>L1_Format</group>
      <groupName>格式问题</groupName>
      <ability>L2_HalfPunc</ability>
      <abilityName>全半角检查</abilityName>
      <candidateList>
        <item>（</item>
      </candidateList>
      <explain>文本全半角错误。</explain>
      <paraID>7CA26991</paraID>
      <start>34</start>
      <end>35</end>
      <status>unmodified</status>
      <modifiedWord/>
      <trackRevisions>false</trackRevisions>
    </reviewItem>
    <reviewItem>
      <errorID>0a5467de-b133-4ae6-aed5-f8dc392beb90</errorID>
      <errorWord>)</errorWord>
      <group>L1_Format</group>
      <groupName>格式问题</groupName>
      <ability>L2_HalfPunc</ability>
      <abilityName>全半角检查</abilityName>
      <candidateList>
        <item>）</item>
      </candidateList>
      <explain>文本全半角错误。</explain>
      <paraID>7CA26991</paraID>
      <start>37</start>
      <end>38</end>
      <status>unmodified</status>
      <modifiedWord/>
      <trackRevisions>false</trackRevisions>
    </reviewItem>
    <reviewItem>
      <errorID>65cbe3b0-25b1-408f-a3a0-6f79db2b689f</errorID>
      <errorWord>(</errorWord>
      <group>L1_Format</group>
      <groupName>格式问题</groupName>
      <ability>L2_HalfPunc</ability>
      <abilityName>全半角检查</abilityName>
      <candidateList>
        <item>（</item>
      </candidateList>
      <explain>文本全半角错误。</explain>
      <paraID>7CA26991</paraID>
      <start>79</start>
      <end>80</end>
      <status>unmodified</status>
      <modifiedWord/>
      <trackRevisions>false</trackRevisions>
    </reviewItem>
    <reviewItem>
      <errorID>1edf5667-d5e5-4d5e-8016-90eb76a8164d</errorID>
      <errorWord>)</errorWord>
      <group>L1_Format</group>
      <groupName>格式问题</groupName>
      <ability>L2_HalfPunc</ability>
      <abilityName>全半角检查</abilityName>
      <candidateList>
        <item>）</item>
      </candidateList>
      <explain>文本全半角错误。</explain>
      <paraID>7CA26991</paraID>
      <start>92</start>
      <end>93</end>
      <status>unmodified</status>
      <modifiedWord/>
      <trackRevisions>false</trackRevisions>
    </reviewItem>
    <reviewItem>
      <errorID>944aa663-5982-4b26-b6b4-2b3619ddf289</errorID>
      <errorWord>(</errorWord>
      <group>L1_Format</group>
      <groupName>格式问题</groupName>
      <ability>L2_HalfPunc</ability>
      <abilityName>全半角检查</abilityName>
      <candidateList>
        <item>（</item>
      </candidateList>
      <explain>文本全半角错误。</explain>
      <paraID> E3A700F</paraID>
      <start>7</start>
      <end>8</end>
      <status>unmodified</status>
      <modifiedWord/>
      <trackRevisions>false</trackRevisions>
    </reviewItem>
    <reviewItem>
      <errorID>1af944ec-c760-412b-8ece-0f43a5a5b509</errorID>
      <errorWord>)</errorWord>
      <group>L1_Format</group>
      <groupName>格式问题</groupName>
      <ability>L2_HalfPunc</ability>
      <abilityName>全半角检查</abilityName>
      <candidateList>
        <item>）</item>
      </candidateList>
      <explain>文本全半角错误。</explain>
      <paraID> E3A700F</paraID>
      <start>10</start>
      <end>11</end>
      <status>unmodified</status>
      <modifiedWord/>
      <trackRevisions>false</trackRevisions>
    </reviewItem>
    <reviewItem>
      <errorID>8c41d1bb-fd5d-4e1b-b76e-1076f1c2d33a</errorID>
      <errorWord>(</errorWord>
      <group>L1_Format</group>
      <groupName>格式问题</groupName>
      <ability>L2_HalfPunc</ability>
      <abilityName>全半角检查</abilityName>
      <candidateList>
        <item>（</item>
      </candidateList>
      <explain>文本全半角错误。</explain>
      <paraID> E3A700F</paraID>
      <start>40</start>
      <end>41</end>
      <status>unmodified</status>
      <modifiedWord/>
      <trackRevisions>false</trackRevisions>
    </reviewItem>
    <reviewItem>
      <errorID>57696001-5a71-45ab-91e9-3eb9b34f5865</errorID>
      <errorWord>[2008]</errorWord>
      <group>L1_Punc</group>
      <groupName>标点问题</groupName>
      <ability>L2_Punc</ability>
      <abilityName>标点符号检查</abilityName>
      <candidateList>
        <item>〔2008〕</item>
      </candidateList>
      <explain/>
      <paraID>2D27BDBB</paraID>
      <start>7</start>
      <end>13</end>
      <status>unmodified</status>
      <modifiedWord/>
      <trackRevisions>false</trackRevisions>
    </reviewItem>
    <reviewItem>
      <errorID>194b180c-fb62-4b58-aa3d-845fddb90a4f</errorID>
      <errorWord>)</errorWord>
      <group>L1_Format</group>
      <groupName>格式问题</groupName>
      <ability>L2_HalfPunc</ability>
      <abilityName>全半角检查</abilityName>
      <candidateList>
        <item>）</item>
      </candidateList>
      <explain>文本全半角错误。</explain>
      <paraID>2D27BDBB</paraID>
      <start>29</start>
      <end>30</end>
      <status>unmodified</status>
      <modifiedWord/>
      <trackRevisions>false</trackRevisions>
    </reviewItem>
    <reviewItem>
      <errorID>dc3d5f57-4230-4904-b2ca-7e5a64d74955</errorID>
      <errorWord>(</errorWord>
      <group>L1_Format</group>
      <groupName>格式问题</groupName>
      <ability>L2_HalfPunc</ability>
      <abilityName>全半角检查</abilityName>
      <candidateList>
        <item>（</item>
      </candidateList>
      <explain>文本全半角错误。</explain>
      <paraID>7B68CDC5</paraID>
      <start>27</start>
      <end>28</end>
      <status>unmodified</status>
      <modifiedWord/>
      <trackRevisions>false</trackRevisions>
    </reviewItem>
    <reviewItem>
      <errorID>252fa035-062c-4ba8-a5dd-8b64b7b06299</errorID>
      <errorWord>)</errorWord>
      <group>L1_Format</group>
      <groupName>格式问题</groupName>
      <ability>L2_HalfPunc</ability>
      <abilityName>全半角检查</abilityName>
      <candidateList>
        <item>）</item>
      </candidateList>
      <explain>文本全半角错误。</explain>
      <paraID>7B68CDC5</paraID>
      <start>44</start>
      <end>45</end>
      <status>unmodified</status>
      <modifiedWord/>
      <trackRevisions>false</trackRevisions>
    </reviewItem>
    <reviewItem>
      <errorID>5e946602-19c2-439f-95fa-ebb93fc44142</errorID>
      <errorWord>(</errorWord>
      <group>L1_Format</group>
      <groupName>格式问题</groupName>
      <ability>L2_HalfPunc</ability>
      <abilityName>全半角检查</abilityName>
      <candidateList>
        <item>（</item>
      </candidateList>
      <explain>文本全半角错误。</explain>
      <paraID>2CD52276</paraID>
      <start>15</start>
      <end>16</end>
      <status>unmodified</status>
      <modifiedWord/>
      <trackRevisions>false</trackRevisions>
    </reviewItem>
    <reviewItem>
      <errorID>ae4897ba-99e9-455f-8f71-7124e839632b</errorID>
      <errorWord>)</errorWord>
      <group>L1_Format</group>
      <groupName>格式问题</groupName>
      <ability>L2_HalfPunc</ability>
      <abilityName>全半角检查</abilityName>
      <candidateList>
        <item>）</item>
      </candidateList>
      <explain>文本全半角错误。</explain>
      <paraID>2CD52276</paraID>
      <start>28</start>
      <end>29</end>
      <status>unmodified</status>
      <modifiedWord/>
      <trackRevisions>false</trackRevisions>
    </reviewItem>
    <reviewItem>
      <errorID>1ef22b0e-99b8-4e04-88be-e69430f75043</errorID>
      <errorWord>(</errorWord>
      <group>L1_Format</group>
      <groupName>格式问题</groupName>
      <ability>L2_HalfPunc</ability>
      <abilityName>全半角检查</abilityName>
      <candidateList>
        <item>（</item>
      </candidateList>
      <explain>文本全半角错误。</explain>
      <paraID>2CD52276</paraID>
      <start>34</start>
      <end>35</end>
      <status>unmodified</status>
      <modifiedWord/>
      <trackRevisions>false</trackRevisions>
    </reviewItem>
    <reviewItem>
      <errorID>aa133088-60e7-428d-ac92-90accc4be43a</errorID>
      <errorWord>)</errorWord>
      <group>L1_Format</group>
      <groupName>格式问题</groupName>
      <ability>L2_HalfPunc</ability>
      <abilityName>全半角检查</abilityName>
      <candidateList>
        <item>）</item>
      </candidateList>
      <explain>文本全半角错误。</explain>
      <paraID>2CD52276</paraID>
      <start>37</start>
      <end>38</end>
      <status>unmodified</status>
      <modifiedWord/>
      <trackRevisions>false</trackRevisions>
    </reviewItem>
    <reviewItem>
      <errorID>1f20c752-8e61-4e39-ac9e-1037bd714036</errorID>
      <errorWord>(</errorWord>
      <group>L1_Format</group>
      <groupName>格式问题</groupName>
      <ability>L2_HalfPunc</ability>
      <abilityName>全半角检查</abilityName>
      <candidateList>
        <item>（</item>
      </candidateList>
      <explain>文本全半角错误。</explain>
      <paraID>2CD52276</paraID>
      <start>79</start>
      <end>80</end>
      <status>unmodified</status>
      <modifiedWord/>
      <trackRevisions>false</trackRevisions>
    </reviewItem>
    <reviewItem>
      <errorID>ad26696c-8b1a-4e47-87aa-78fe0a0e3009</errorID>
      <errorWord>)</errorWord>
      <group>L1_Format</group>
      <groupName>格式问题</groupName>
      <ability>L2_HalfPunc</ability>
      <abilityName>全半角检查</abilityName>
      <candidateList>
        <item>）</item>
      </candidateList>
      <explain>文本全半角错误。</explain>
      <paraID>2CD52276</paraID>
      <start>92</start>
      <end>93</end>
      <status>unmodified</status>
      <modifiedWord/>
      <trackRevisions>false</trackRevisions>
    </reviewItem>
    <reviewItem>
      <errorID>a4da59b4-5213-4288-ac6e-5bf52099ab64</errorID>
      <errorWord>(</errorWord>
      <group>L1_Format</group>
      <groupName>格式问题</groupName>
      <ability>L2_HalfPunc</ability>
      <abilityName>全半角检查</abilityName>
      <candidateList>
        <item>（</item>
      </candidateList>
      <explain>文本全半角错误。</explain>
      <paraID>6D10AD54</paraID>
      <start>29</start>
      <end>30</end>
      <status>unmodified</status>
      <modifiedWord/>
      <trackRevisions>false</trackRevisions>
    </reviewItem>
    <reviewItem>
      <errorID>02d92761-ad25-4df4-b006-d674920c7496</errorID>
      <errorWord>[2021]16号</errorWord>
      <group>L1_Knowledge</group>
      <groupName>知识性问题</groupName>
      <ability>L2_Knowledge</ability>
      <abilityName>其他知识</abilityName>
      <candidateList>
        <item>〔2021〕16号</item>
      </candidateList>
      <explain>发文字号格式错误。</explain>
      <paraID>3A32FBAF</paraID>
      <start>11</start>
      <end>20</end>
      <status>unmodified</status>
      <modifiedWord/>
      <trackRevisions>false</trackRevisions>
    </reviewItem>
    <reviewItem>
      <errorID>cb526dea-0312-4adf-a55b-21295b333e2b</errorID>
      <errorWord>)</errorWord>
      <group>L1_Format</group>
      <groupName>格式问题</groupName>
      <ability>L2_HalfPunc</ability>
      <abilityName>全半角检查</abilityName>
      <candidateList>
        <item>）</item>
      </candidateList>
      <explain>文本全半角错误。</explain>
      <paraID>3A32FBAF</paraID>
      <start>33</start>
      <end>34</end>
      <status>unmodified</status>
      <modifiedWord/>
      <trackRevisions>false</trackRevisions>
    </reviewItem>
    <reviewItem>
      <errorID>2a9217da-317d-4bd7-a0b4-c431f38acb33</errorID>
      <errorWord>(</errorWord>
      <group>L1_Format</group>
      <groupName>格式问题</groupName>
      <ability>L2_HalfPunc</ability>
      <abilityName>全半角检查</abilityName>
      <candidateList>
        <item>（</item>
      </candidateList>
      <explain>文本全半角错误。</explain>
      <paraID>22CB0D0E</paraID>
      <start>31</start>
      <end>32</end>
      <status>unmodified</status>
      <modifiedWord/>
      <trackRevisions>false</trackRevisions>
    </reviewItem>
    <reviewItem>
      <errorID>6f16451a-bed2-4b8a-8a54-57f9f92199eb</errorID>
      <errorWord>)</errorWord>
      <group>L1_Format</group>
      <groupName>格式问题</groupName>
      <ability>L2_HalfPunc</ability>
      <abilityName>全半角检查</abilityName>
      <candidateList>
        <item>）</item>
      </candidateList>
      <explain>文本全半角错误。</explain>
      <paraID>22CB0D0E</paraID>
      <start>48</start>
      <end>49</end>
      <status>unmodified</status>
      <modifiedWord/>
      <trackRevisions>false</trackRevisions>
    </reviewItem>
    <reviewItem>
      <errorID>2485dcfc-6612-4023-8edd-030239697ea8</errorID>
      <errorWord>(</errorWord>
      <group>L1_Format</group>
      <groupName>格式问题</groupName>
      <ability>L2_HalfPunc</ability>
      <abilityName>全半角检查</abilityName>
      <candidateList>
        <item>（</item>
      </candidateList>
      <explain>文本全半角错误。</explain>
      <paraID>587237E9</paraID>
      <start>10</start>
      <end>11</end>
      <status>unmodified</status>
      <modifiedWord/>
      <trackRevisions>false</trackRevisions>
    </reviewItem>
    <reviewItem>
      <errorID>5bdff46a-9236-438e-a9df-6b327de9bda8</errorID>
      <errorWord>)</errorWord>
      <group>L1_Format</group>
      <groupName>格式问题</groupName>
      <ability>L2_HalfPunc</ability>
      <abilityName>全半角检查</abilityName>
      <candidateList>
        <item>）</item>
      </candidateList>
      <explain>文本全半角错误。</explain>
      <paraID>587237E9</paraID>
      <start>23</start>
      <end>24</end>
      <status>unmodified</status>
      <modifiedWord/>
      <trackRevisions>false</trackRevisions>
    </reviewItem>
    <reviewItem>
      <errorID>98c486d9-6b59-42d6-972d-f260c0b5b711</errorID>
      <errorWord>(</errorWord>
      <group>L1_Format</group>
      <groupName>格式问题</groupName>
      <ability>L2_HalfPunc</ability>
      <abilityName>全半角检查</abilityName>
      <candidateList>
        <item>（</item>
      </candidateList>
      <explain>文本全半角错误。</explain>
      <paraID>587237E9</paraID>
      <start>38</start>
      <end>39</end>
      <status>unmodified</status>
      <modifiedWord/>
      <trackRevisions>false</trackRevisions>
    </reviewItem>
    <reviewItem>
      <errorID>b63c3ba8-004c-4829-b64e-a91385905591</errorID>
      <errorWord>)</errorWord>
      <group>L1_Format</group>
      <groupName>格式问题</groupName>
      <ability>L2_HalfPunc</ability>
      <abilityName>全半角检查</abilityName>
      <candidateList>
        <item>）</item>
      </candidateList>
      <explain>文本全半角错误。</explain>
      <paraID>587237E9</paraID>
      <start>41</start>
      <end>42</end>
      <status>unmodified</status>
      <modifiedWord/>
      <trackRevisions>false</trackRevisions>
    </reviewItem>
    <reviewItem>
      <errorID>ca5bcc99-395a-4f29-9268-1d9163862de7</errorID>
      <errorWord>(</errorWord>
      <group>L1_Format</group>
      <groupName>格式问题</groupName>
      <ability>L2_HalfPunc</ability>
      <abilityName>全半角检查</abilityName>
      <candidateList>
        <item>（</item>
      </candidateList>
      <explain>文本全半角错误。</explain>
      <paraID>587237E9</paraID>
      <start>64</start>
      <end>65</end>
      <status>unmodified</status>
      <modifiedWord/>
      <trackRevisions>false</trackRevisions>
    </reviewItem>
    <reviewItem>
      <errorID>813db4be-90e0-4f27-83ed-82ee18138760</errorID>
      <errorWord>)</errorWord>
      <group>L1_Format</group>
      <groupName>格式问题</groupName>
      <ability>L2_HalfPunc</ability>
      <abilityName>全半角检查</abilityName>
      <candidateList>
        <item>）</item>
      </candidateList>
      <explain>文本全半角错误。</explain>
      <paraID>587237E9</paraID>
      <start>72</start>
      <end>73</end>
      <status>unmodified</status>
      <modifiedWord/>
      <trackRevisions>false</trackRevisions>
    </reviewItem>
    <reviewItem>
      <errorID>f4b8dd8a-b142-4c57-a05a-2d4fd34df82c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587237E9</paraID>
      <start>100</start>
      <end>101</end>
      <status>unmodified</status>
      <modifiedWord/>
      <trackRevisions>false</trackRevisions>
    </reviewItem>
    <reviewItem>
      <errorID>1ca82d29-392a-41dc-832a-bfcc6d076842</errorID>
      <errorWord>(</errorWord>
      <group>L1_Format</group>
      <groupName>格式问题</groupName>
      <ability>L2_HalfPunc</ability>
      <abilityName>全半角检查</abilityName>
      <candidateList>
        <item>（</item>
      </candidateList>
      <explain>文本全半角错误。</explain>
      <paraID>60077413</paraID>
      <start>31</start>
      <end>32</end>
      <status>unmodified</status>
      <modifiedWord/>
      <trackRevisions>false</trackRevisions>
    </reviewItem>
    <reviewItem>
      <errorID>a20ff84f-49ba-4af1-96ae-5e5705449547</errorID>
      <errorWord>)</errorWord>
      <group>L1_Format</group>
      <groupName>格式问题</groupName>
      <ability>L2_HalfPunc</ability>
      <abilityName>全半角检查</abilityName>
      <candidateList>
        <item>）</item>
      </candidateList>
      <explain>文本全半角错误。</explain>
      <paraID>60077413</paraID>
      <start>48</start>
      <end>49</end>
      <status>unmodified</status>
      <modifiedWord/>
      <trackRevisions>false</trackRevisions>
    </reviewItem>
    <reviewItem>
      <errorID>4b2a53af-0100-4dbc-ad09-0c303bb83cf9</errorID>
      <errorWord>(</errorWord>
      <group>L1_Format</group>
      <groupName>格式问题</groupName>
      <ability>L2_HalfPunc</ability>
      <abilityName>全半角检查</abilityName>
      <candidateList>
        <item>（</item>
      </candidateList>
      <explain>文本全半角错误。</explain>
      <paraID>680B9E20</paraID>
      <start>10</start>
      <end>11</end>
      <status>unmodified</status>
      <modifiedWord/>
      <trackRevisions>false</trackRevisions>
    </reviewItem>
    <reviewItem>
      <errorID>f66000b2-5270-4e37-af9d-2365486830ad</errorID>
      <errorWord>)</errorWord>
      <group>L1_Format</group>
      <groupName>格式问题</groupName>
      <ability>L2_HalfPunc</ability>
      <abilityName>全半角检查</abilityName>
      <candidateList>
        <item>）</item>
      </candidateList>
      <explain>文本全半角错误。</explain>
      <paraID>680B9E20</paraID>
      <start>23</start>
      <end>24</end>
      <status>unmodified</status>
      <modifiedWord/>
      <trackRevisions>false</trackRevisions>
    </reviewItem>
    <reviewItem>
      <errorID>cdc65c3f-2492-46a0-a10d-1cbb52475048</errorID>
      <errorWord>(</errorWord>
      <group>L1_Format</group>
      <groupName>格式问题</groupName>
      <ability>L2_HalfPunc</ability>
      <abilityName>全半角检查</abilityName>
      <candidateList>
        <item>（</item>
      </candidateList>
      <explain>文本全半角错误。</explain>
      <paraID>680B9E20</paraID>
      <start>38</start>
      <end>39</end>
      <status>unmodified</status>
      <modifiedWord/>
      <trackRevisions>false</trackRevisions>
    </reviewItem>
    <reviewItem>
      <errorID>c3d5bdd0-e420-481d-ba62-c1fc1eaaef4f</errorID>
      <errorWord>)</errorWord>
      <group>L1_Format</group>
      <groupName>格式问题</groupName>
      <ability>L2_HalfPunc</ability>
      <abilityName>全半角检查</abilityName>
      <candidateList>
        <item>）</item>
      </candidateList>
      <explain>文本全半角错误。</explain>
      <paraID>680B9E20</paraID>
      <start>41</start>
      <end>42</end>
      <status>unmodified</status>
      <modifiedWord/>
      <trackRevisions>false</trackRevisions>
    </reviewItem>
    <reviewItem>
      <errorID>d0969461-a24c-41c2-8430-b15e4276f856</errorID>
      <errorWord>(</errorWord>
      <group>L1_Format</group>
      <groupName>格式问题</groupName>
      <ability>L2_HalfPunc</ability>
      <abilityName>全半角检查</abilityName>
      <candidateList>
        <item>（</item>
      </candidateList>
      <explain>文本全半角错误。</explain>
      <paraID>680B9E20</paraID>
      <start>64</start>
      <end>65</end>
      <status>unmodified</status>
      <modifiedWord/>
      <trackRevisions>false</trackRevisions>
    </reviewItem>
    <reviewItem>
      <errorID>b26f9aa1-1372-4aa2-8a4f-a07557ce0aa1</errorID>
      <errorWord>)</errorWord>
      <group>L1_Format</group>
      <groupName>格式问题</groupName>
      <ability>L2_HalfPunc</ability>
      <abilityName>全半角检查</abilityName>
      <candidateList>
        <item>）</item>
      </candidateList>
      <explain>文本全半角错误。</explain>
      <paraID>680B9E20</paraID>
      <start>72</start>
      <end>73</end>
      <status>unmodified</status>
      <modifiedWord/>
      <trackRevisions>false</trackRevisions>
    </reviewItem>
    <reviewItem>
      <errorID>3a1a85d4-443a-496c-b129-6ba634e9e1fe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680B9E20</paraID>
      <start>100</start>
      <end>101</end>
      <status>unmodified</status>
      <modifiedWord/>
      <trackRevisions>false</trackRevisions>
    </reviewItem>
    <reviewItem>
      <errorID>7a0dafb2-5406-4a96-a05d-0ecdcce8f628</errorID>
      <errorWord>)</errorWord>
      <group>L1_Format</group>
      <groupName>格式问题</groupName>
      <ability>L2_HalfPunc</ability>
      <abilityName>全半角检查</abilityName>
      <candidateList>
        <item>）</item>
      </candidateList>
      <explain>文本全半角错误。</explain>
      <paraID>5F027004</paraID>
      <start>64</start>
      <end>65</end>
      <status>unmodified</status>
      <modifiedWord/>
      <trackRevisions>false</trackRevisions>
    </reviewItem>
    <reviewItem>
      <errorID>505d78f5-2035-46ab-9d18-3b0dabea0dd3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32A4E6C2</paraID>
      <start>0</start>
      <end>3</end>
      <status>unmodified</status>
      <modifiedWord/>
      <trackRevisions>false</trackRevisions>
    </reviewItem>
    <reviewItem>
      <errorID>9dc14dc3-6aba-442c-83a1-efaa62a92529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3013EBD4</paraID>
      <start>0</start>
      <end>3</end>
      <status>unmodified</status>
      <modifiedWord/>
      <trackRevisions>false</trackRevisions>
    </reviewItem>
    <reviewItem>
      <errorID>f2582664-2c71-4cac-957e-67eb9df89af4</errorID>
      <errorWord>进</errorWord>
      <group>L1_Word</group>
      <groupName>字词问题</groupName>
      <ability>L2_Typo</ability>
      <abilityName>字词错误</abilityName>
      <candidateList>
        <item>进入</item>
      </candidateList>
      <explain/>
      <paraID>45E2DDE6</paraID>
      <start>72</start>
      <end>73</end>
      <status>unmodified</status>
      <modifiedWord/>
      <trackRevisions>false</trackRevisions>
    </reviewItem>
    <reviewItem>
      <errorID>11f8430d-4e59-4885-ab00-940f43c7076d</errorID>
      <errorWord>进</errorWord>
      <group>L1_Word</group>
      <groupName>字词问题</groupName>
      <ability>L2_Typo</ability>
      <abilityName>字词错误</abilityName>
      <candidateList>
        <item>进入</item>
      </candidateList>
      <explain/>
      <paraID>45E2DDE6</paraID>
      <start>101</start>
      <end>102</end>
      <status>unmodified</status>
      <modifiedWord/>
      <trackRevisions>false</trackRevisions>
    </reviewItem>
    <reviewItem>
      <errorID>c657e5ca-3cdc-425b-abe4-9e1aed624ad7</errorID>
      <errorWord>井</errorWord>
      <group>L1_Word</group>
      <groupName>字词问题</groupName>
      <ability>L2_Typo</ability>
      <abilityName>字词错误</abilityName>
      <candidateList>
        <item>井污</item>
      </candidateList>
      <explain/>
      <paraID>45E2DDE6</paraID>
      <start>106</start>
      <end>107</end>
      <status>unmodified</status>
      <modifiedWord/>
      <trackRevisions>false</trackRevisions>
    </reviewItem>
    <reviewItem>
      <errorID>930be870-64b9-45ed-8620-99a4bb7acc7c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29D72712</paraID>
      <start>0</start>
      <end>3</end>
      <status>unmodified</status>
      <modifiedWord/>
      <trackRevisions>false</trackRevisions>
    </reviewItem>
    <reviewItem>
      <errorID>09456215-01a4-4655-94d5-ad8e630c0c66</errorID>
      <errorWord>,</errorWord>
      <group>L1_Format</group>
      <groupName>格式问题</groupName>
      <ability>L2_HalfPunc</ability>
      <abilityName>全半角检查</abilityName>
      <candidateList>
        <item>，</item>
      </candidateList>
      <explain>文本全半角错误。</explain>
      <paraID>2684F37F</paraID>
      <start>64</start>
      <end>65</end>
      <status>unmodified</status>
      <modifiedWord/>
      <trackRevisions>false</trackRevisions>
    </reviewItem>
    <reviewItem>
      <errorID>8bbe256d-05b7-4250-8738-aa8e940efa42</errorID>
      <errorWord>～</errorWord>
      <group>L1_Format</group>
      <groupName>格式问题</groupName>
      <ability>L2_HalfPunc</ability>
      <abilityName>全半角检查</abilityName>
      <candidateList>
        <item>~</item>
      </candidateList>
      <explain>文本全半角错误。</explain>
      <paraID>6A49E5EF</paraID>
      <start>1</start>
      <end>2</end>
      <status>unmodified</status>
      <modifiedWord/>
      <trackRevisions>false</trackRevisions>
    </reviewItem>
    <reviewItem>
      <errorID>de7452e4-d674-4436-b493-5debbd9d7dd0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286013C2</paraID>
      <start>0</start>
      <end>2</end>
      <status>unmodified</status>
      <modifiedWord/>
      <trackRevisions>false</trackRevisions>
    </reviewItem>
    <reviewItem>
      <errorID>a8a5bba4-ee65-4239-8079-f3a5bae579d6</errorID>
      <errorWord>(</errorWord>
      <group>L1_Format</group>
      <groupName>格式问题</groupName>
      <ability>L2_HalfPunc</ability>
      <abilityName>全半角检查</abilityName>
      <candidateList>
        <item>（</item>
      </candidateList>
      <explain>文本全半角错误。</explain>
      <paraID>5A00CFEF</paraID>
      <start>27</start>
      <end>28</end>
      <status>unmodified</status>
      <modifiedWord/>
      <trackRevisions>false</trackRevisions>
    </reviewItem>
    <reviewItem>
      <errorID>70bd8a51-b267-4427-89dd-b3174ae42333</errorID>
      <errorWord>)</errorWord>
      <group>L1_Format</group>
      <groupName>格式问题</groupName>
      <ability>L2_HalfPunc</ability>
      <abilityName>全半角检查</abilityName>
      <candidateList>
        <item>）</item>
      </candidateList>
      <explain>文本全半角错误。</explain>
      <paraID>5A00CFEF</paraID>
      <start>32</start>
      <end>33</end>
      <status>unmodified</status>
      <modifiedWord/>
      <trackRevisions>false</trackRevisions>
    </reviewItem>
    <reviewItem>
      <errorID>447cda4e-8678-4833-90c5-fbb6c04d5540</errorID>
      <errorWord>(</errorWord>
      <group>L1_Format</group>
      <groupName>格式问题</groupName>
      <ability>L2_HalfPunc</ability>
      <abilityName>全半角检查</abilityName>
      <candidateList>
        <item>（</item>
      </candidateList>
      <explain>文本全半角错误。</explain>
      <paraID>5A00CFEF</paraID>
      <start>37</start>
      <end>38</end>
      <status>unmodified</status>
      <modifiedWord/>
      <trackRevisions>false</trackRevisions>
    </reviewItem>
    <reviewItem>
      <errorID>3d36a108-aaa6-41a6-962e-c13999e0d293</errorID>
      <errorWord>)</errorWord>
      <group>L1_Format</group>
      <groupName>格式问题</groupName>
      <ability>L2_HalfPunc</ability>
      <abilityName>全半角检查</abilityName>
      <candidateList>
        <item>）</item>
      </candidateList>
      <explain>文本全半角错误。</explain>
      <paraID>5A00CFEF</paraID>
      <start>40</start>
      <end>41</end>
      <status>unmodified</status>
      <modifiedWord/>
      <trackRevisions>false</trackRevisions>
    </reviewItem>
    <reviewItem>
      <errorID>6b78c52e-6183-4bf4-8862-ff6e2f60bfa1</errorID>
      <errorWord>(</errorWord>
      <group>L1_Format</group>
      <groupName>格式问题</groupName>
      <ability>L2_HalfPunc</ability>
      <abilityName>全半角检查</abilityName>
      <candidateList>
        <item>（</item>
      </candidateList>
      <explain>文本全半角错误。</explain>
      <paraID>5A00CFEF</paraID>
      <start>42</start>
      <end>43</end>
      <status>unmodified</status>
      <modifiedWord/>
      <trackRevisions>false</trackRevisions>
    </reviewItem>
    <reviewItem>
      <errorID>a46f15a9-85a0-435f-b36a-6344d3868516</errorID>
      <errorWord>)</errorWord>
      <group>L1_Format</group>
      <groupName>格式问题</groupName>
      <ability>L2_HalfPunc</ability>
      <abilityName>全半角检查</abilityName>
      <candidateList>
        <item>）</item>
      </candidateList>
      <explain>文本全半角错误。</explain>
      <paraID>5A00CFEF</paraID>
      <start>55</start>
      <end>56</end>
      <status>unmodified</status>
      <modifiedWord/>
      <trackRevisions>false</trackRevisions>
    </reviewItem>
    <reviewItem>
      <errorID>9abcafed-0a66-4307-87c0-7dc1bca22198</errorID>
      <errorWord>(</errorWord>
      <group>L1_Format</group>
      <groupName>格式问题</groupName>
      <ability>L2_HalfPunc</ability>
      <abilityName>全半角检查</abilityName>
      <candidateList>
        <item>（</item>
      </candidateList>
      <explain>文本全半角错误。</explain>
      <paraID>1E2F898C</paraID>
      <start>22</start>
      <end>23</end>
      <status>unmodified</status>
      <modifiedWord/>
      <trackRevisions>false</trackRevisions>
    </reviewItem>
    <reviewItem>
      <errorID>5c040ddd-a41c-44ff-b66b-995f5ee5969e</errorID>
      <errorWord>)</errorWord>
      <group>L1_Format</group>
      <groupName>格式问题</groupName>
      <ability>L2_HalfPunc</ability>
      <abilityName>全半角检查</abilityName>
      <candidateList>
        <item>）</item>
      </candidateList>
      <explain>文本全半角错误。</explain>
      <paraID>1E2F898C</paraID>
      <start>27</start>
      <end>28</end>
      <status>unmodified</status>
      <modifiedWord/>
      <trackRevisions>false</trackRevisions>
    </reviewItem>
    <reviewItem>
      <errorID>18d08f81-eab2-4466-9f16-da8d5617c83d</errorID>
      <errorWord>(</errorWord>
      <group>L1_Format</group>
      <groupName>格式问题</groupName>
      <ability>L2_HalfPunc</ability>
      <abilityName>全半角检查</abilityName>
      <candidateList>
        <item>（</item>
      </candidateList>
      <explain>文本全半角错误。</explain>
      <paraID>1E2F898C</paraID>
      <start>32</start>
      <end>33</end>
      <status>unmodified</status>
      <modifiedWord/>
      <trackRevisions>false</trackRevisions>
    </reviewItem>
    <reviewItem>
      <errorID>67c3ce3e-9bce-4712-931e-c8168b0aaca9</errorID>
      <errorWord>)</errorWord>
      <group>L1_Format</group>
      <groupName>格式问题</groupName>
      <ability>L2_HalfPunc</ability>
      <abilityName>全半角检查</abilityName>
      <candidateList>
        <item>）</item>
      </candidateList>
      <explain>文本全半角错误。</explain>
      <paraID>1E2F898C</paraID>
      <start>35</start>
      <end>36</end>
      <status>unmodified</status>
      <modifiedWord/>
      <trackRevisions>false</trackRevisions>
    </reviewItem>
    <reviewItem>
      <errorID>278fe7ef-e022-443f-9fb9-0cb908e84f5d</errorID>
      <errorWord>(</errorWord>
      <group>L1_Format</group>
      <groupName>格式问题</groupName>
      <ability>L2_HalfPunc</ability>
      <abilityName>全半角检查</abilityName>
      <candidateList>
        <item>（</item>
      </candidateList>
      <explain>文本全半角错误。</explain>
      <paraID>1E2F898C</paraID>
      <start>37</start>
      <end>38</end>
      <status>unmodified</status>
      <modifiedWord/>
      <trackRevisions>false</trackRevisions>
    </reviewItem>
    <reviewItem>
      <errorID>2a8c4c88-9166-4bf8-b46e-9a5b4949dbec</errorID>
      <errorWord>)</errorWord>
      <group>L1_Format</group>
      <groupName>格式问题</groupName>
      <ability>L2_HalfPunc</ability>
      <abilityName>全半角检查</abilityName>
      <candidateList>
        <item>）</item>
      </candidateList>
      <explain>文本全半角错误。</explain>
      <paraID>1E2F898C</paraID>
      <start>50</start>
      <end>51</end>
      <status>unmodified</status>
      <modifiedWord/>
      <trackRevisions>false</trackRevisions>
    </reviewItem>
    <reviewItem>
      <errorID>60936dc2-a690-4ae6-9205-611c3601e2de</errorID>
      <errorWord>(</errorWord>
      <group>L1_Format</group>
      <groupName>格式问题</groupName>
      <ability>L2_HalfPunc</ability>
      <abilityName>全半角检查</abilityName>
      <candidateList>
        <item>（</item>
      </candidateList>
      <explain>文本全半角错误。</explain>
      <paraID>1E2F898C</paraID>
      <start>87</start>
      <end>88</end>
      <status>unmodified</status>
      <modifiedWord/>
      <trackRevisions>false</trackRevisions>
    </reviewItem>
    <reviewItem>
      <errorID>65ef4e65-d0d3-40ce-8b1a-ba1a519a724a</errorID>
      <errorWord>)</errorWord>
      <group>L1_Format</group>
      <groupName>格式问题</groupName>
      <ability>L2_HalfPunc</ability>
      <abilityName>全半角检查</abilityName>
      <candidateList>
        <item>）</item>
      </candidateList>
      <explain>文本全半角错误。</explain>
      <paraID>1E2F898C</paraID>
      <start>92</start>
      <end>93</end>
      <status>unmodified</status>
      <modifiedWord/>
      <trackRevisions>false</trackRevisions>
    </reviewItem>
    <reviewItem>
      <errorID>83d8cd47-7abc-48f7-8975-4a55e310465f</errorID>
      <errorWord>(</errorWord>
      <group>L1_Format</group>
      <groupName>格式问题</groupName>
      <ability>L2_HalfPunc</ability>
      <abilityName>全半角检查</abilityName>
      <candidateList>
        <item>（</item>
      </candidateList>
      <explain>文本全半角错误。</explain>
      <paraID>1E2F898C</paraID>
      <start>97</start>
      <end>98</end>
      <status>unmodified</status>
      <modifiedWord/>
      <trackRevisions>false</trackRevisions>
    </reviewItem>
    <reviewItem>
      <errorID>38a21b66-0501-422a-8d7b-851bd1c5018f</errorID>
      <errorWord>)</errorWord>
      <group>L1_Format</group>
      <groupName>格式问题</groupName>
      <ability>L2_HalfPunc</ability>
      <abilityName>全半角检查</abilityName>
      <candidateList>
        <item>）</item>
      </candidateList>
      <explain>文本全半角错误。</explain>
      <paraID>1E2F898C</paraID>
      <start>100</start>
      <end>101</end>
      <status>unmodified</status>
      <modifiedWord/>
      <trackRevisions>false</trackRevisions>
    </reviewItem>
    <reviewItem>
      <errorID>b5621af5-3fb8-43dc-ad94-9a9542eae3f7</errorID>
      <errorWord>(</errorWord>
      <group>L1_Format</group>
      <groupName>格式问题</groupName>
      <ability>L2_HalfPunc</ability>
      <abilityName>全半角检查</abilityName>
      <candidateList>
        <item>（</item>
      </candidateList>
      <explain>文本全半角错误。</explain>
      <paraID>1E2F898C</paraID>
      <start>102</start>
      <end>103</end>
      <status>unmodified</status>
      <modifiedWord/>
      <trackRevisions>false</trackRevisions>
    </reviewItem>
    <reviewItem>
      <errorID>62cca78b-c175-4ea7-9c71-73f8325898ec</errorID>
      <errorWord>(</errorWord>
      <group>L1_Format</group>
      <groupName>格式问题</groupName>
      <ability>L2_HalfPunc</ability>
      <abilityName>全半角检查</abilityName>
      <candidateList>
        <item>（</item>
      </candidateList>
      <explain>文本全半角错误。</explain>
      <paraID>141073C4</paraID>
      <start>4</start>
      <end>5</end>
      <status>unmodified</status>
      <modifiedWord/>
      <trackRevisions>false</trackRevisions>
    </reviewItem>
    <reviewItem>
      <errorID>8c8d4421-421e-460f-9703-02caefc385c1</errorID>
      <errorWord>)</errorWord>
      <group>L1_Format</group>
      <groupName>格式问题</groupName>
      <ability>L2_HalfPunc</ability>
      <abilityName>全半角检查</abilityName>
      <candidateList>
        <item>）</item>
      </candidateList>
      <explain>文本全半角错误。</explain>
      <paraID>2343E03D</paraID>
      <start>5</start>
      <end>6</end>
      <status>unmodified</status>
      <modifiedWord/>
      <trackRevisions>false</trackRevisions>
    </reviewItem>
    <reviewItem>
      <errorID>8d1e644f-cc60-4a41-9c83-618ce7480b04</errorID>
      <errorWord>)</errorWord>
      <group>L1_Format</group>
      <groupName>格式问题</groupName>
      <ability>L2_HalfPunc</ability>
      <abilityName>全半角检查</abilityName>
      <candidateList>
        <item>）</item>
      </candidateList>
      <explain>文本全半角错误。</explain>
      <paraID>1E5DAA5A</paraID>
      <start>26</start>
      <end>27</end>
      <status>unmodified</status>
      <modifiedWord/>
      <trackRevisions>false</trackRevisions>
    </reviewItem>
    <reviewItem>
      <errorID>9bbc4fac-01dc-4d51-abfd-4b63d8248401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66124D9</paraID>
      <start>0</start>
      <end>2</end>
      <status>unmodified</status>
      <modifiedWord/>
      <trackRevisions>false</trackRevisions>
    </reviewItem>
    <reviewItem>
      <errorID>65a3a4fb-6309-412f-972d-fd35e9b6eb82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5FA464F1</paraID>
      <start>0</start>
      <end>2</end>
      <status>unmodified</status>
      <modifiedWord/>
      <trackRevisions>false</trackRevisions>
    </reviewItem>
    <reviewItem>
      <errorID>3f7719f8-2ac6-4713-8dae-b9d253a93f61</errorID>
      <errorWord>(</errorWord>
      <group>L1_Format</group>
      <groupName>格式问题</groupName>
      <ability>L2_HalfPunc</ability>
      <abilityName>全半角检查</abilityName>
      <candidateList>
        <item>（</item>
      </candidateList>
      <explain>文本全半角错误。</explain>
      <paraID>13A3F710</paraID>
      <start>168</start>
      <end>169</end>
      <status>unmodified</status>
      <modifiedWord/>
      <trackRevisions>false</trackRevisions>
    </reviewItem>
    <reviewItem>
      <errorID>05ee7547-de5a-424f-9dc4-bc07be528b79</errorID>
      <errorWord>)</errorWord>
      <group>L1_Format</group>
      <groupName>格式问题</groupName>
      <ability>L2_HalfPunc</ability>
      <abilityName>全半角检查</abilityName>
      <candidateList>
        <item>）</item>
      </candidateList>
      <explain>文本全半角错误。</explain>
      <paraID>13A3F710</paraID>
      <start>181</start>
      <end>182</end>
      <status>unmodified</status>
      <modifiedWord/>
      <trackRevisions>false</trackRevisions>
    </reviewItem>
    <reviewItem>
      <errorID>884c1d3b-c22a-4fc8-90b6-d70e6e884384</errorID>
      <errorWord>(</errorWord>
      <group>L1_Format</group>
      <groupName>格式问题</groupName>
      <ability>L2_HalfPunc</ability>
      <abilityName>全半角检查</abilityName>
      <candidateList>
        <item>（</item>
      </candidateList>
      <explain>文本全半角错误。</explain>
      <paraID>13A3F710</paraID>
      <start>184</start>
      <end>185</end>
      <status>unmodified</status>
      <modifiedWord/>
      <trackRevisions>false</trackRevisions>
    </reviewItem>
    <reviewItem>
      <errorID>351181c2-dd5c-4358-8720-6d117b209d59</errorID>
      <errorWord>)</errorWord>
      <group>L1_Format</group>
      <groupName>格式问题</groupName>
      <ability>L2_HalfPunc</ability>
      <abilityName>全半角检查</abilityName>
      <candidateList>
        <item>）</item>
      </candidateList>
      <explain>文本全半角错误。</explain>
      <paraID>13A3F710</paraID>
      <start>188</start>
      <end>189</end>
      <status>unmodified</status>
      <modifiedWord/>
      <trackRevisions>false</trackRevisions>
    </reviewItem>
    <reviewItem>
      <errorID>0a92b1b7-217d-4366-b807-17debf520552</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7732A0B4</paraID>
      <start>9</start>
      <end>12</end>
      <status>unmodified</status>
      <modifiedWord/>
      <trackRevisions>false</trackRevisions>
    </reviewItem>
    <reviewItem>
      <errorID>df321a4c-661b-4684-a88e-d50bc55c28b9</errorID>
      <errorWord>程</errorWord>
      <group>L1_Word</group>
      <groupName>字词问题</groupName>
      <ability>L2_Typo</ability>
      <abilityName>字词错误</abilityName>
      <candidateList>
        <item>程中</item>
      </candidateList>
      <explain/>
      <paraID>2896F8CE</paraID>
      <start>11</start>
      <end>12</end>
      <status>unmodified</status>
      <modifiedWord/>
      <trackRevisions>false</trackRevisions>
    </reviewItem>
    <reviewItem>
      <errorID>016a73c3-0111-4a18-95dd-27af03a7ffcf</errorID>
      <errorWord>减小</errorWord>
      <group>L1_Word</group>
      <groupName>字词问题</groupName>
      <ability>L2_Typo</ability>
      <abilityName>字词错误</abilityName>
      <candidateList>
        <item>减少</item>
      </candidateList>
      <explain/>
      <paraID>4CE94045</paraID>
      <start>56</start>
      <end>58</end>
      <status>unmodified</status>
      <modifiedWord/>
      <trackRevisions>false</trackRevisions>
    </reviewItem>
    <reviewItem>
      <errorID>5e321d01-5f5c-4783-b39d-207f60d816bf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364E4E57</paraID>
      <start>0</start>
      <end>2</end>
      <status>unmodified</status>
      <modifiedWord/>
      <trackRevisions>false</trackRevisions>
    </reviewItem>
    <reviewItem>
      <errorID>533c783a-8ac5-4aa0-a4a6-2fce4fcd5541</errorID>
      <errorWord>，</errorWord>
      <group>L1_Format</group>
      <groupName>格式问题</groupName>
      <ability>L2_HalfPunc</ability>
      <abilityName>全半角检查</abilityName>
      <candidateList>
        <item>,</item>
      </candidateList>
      <explain>文本全半角错误。</explain>
      <paraID>3CC8562E</paraID>
      <start>7</start>
      <end>8</end>
      <status>unmodified</status>
      <modifiedWord/>
      <trackRevisions>false</trackRevisions>
    </reviewItem>
    <reviewItem>
      <errorID>c8561a5c-1c10-46f7-8b77-66c7ac46ba10</errorID>
      <errorWord>，</errorWord>
      <group>L1_Format</group>
      <groupName>格式问题</groupName>
      <ability>L2_HalfPunc</ability>
      <abilityName>全半角检查</abilityName>
      <candidateList>
        <item>,</item>
      </candidateList>
      <explain>文本全半角错误。</explain>
      <paraID>56E81681</paraID>
      <start>7</start>
      <end>8</end>
      <status>unmodified</status>
      <modifiedWord/>
      <trackRevisions>false</trackRevisions>
    </reviewItem>
    <reviewItem>
      <errorID>620cd10b-4bb9-4226-a90d-4a85df763f32</errorID>
      <errorWord>，</errorWord>
      <group>L1_Format</group>
      <groupName>格式问题</groupName>
      <ability>L2_HalfPunc</ability>
      <abilityName>全半角检查</abilityName>
      <candidateList>
        <item>,</item>
      </candidateList>
      <explain>文本全半角错误。</explain>
      <paraID>28F84D5B</paraID>
      <start>8</start>
      <end>9</end>
      <status>unmodified</status>
      <modifiedWord/>
      <trackRevisions>false</trackRevisions>
    </reviewItem>
    <reviewItem>
      <errorID>ffa25282-a1da-4411-b036-a1a53f83e9af</errorID>
      <errorWord>，</errorWord>
      <group>L1_Format</group>
      <groupName>格式问题</groupName>
      <ability>L2_HalfPunc</ability>
      <abilityName>全半角检查</abilityName>
      <candidateList>
        <item>,</item>
      </candidateList>
      <explain>文本全半角错误。</explain>
      <paraID> 2211653</paraID>
      <start>8</start>
      <end>9</end>
      <status>unmodified</status>
      <modifiedWord/>
      <trackRevisions>false</trackRevisions>
    </reviewItem>
    <reviewItem>
      <errorID>25e808d0-cfbc-4583-ba41-c5bf84514b20</errorID>
      <errorWord>，</errorWord>
      <group>L1_Format</group>
      <groupName>格式问题</groupName>
      <ability>L2_HalfPunc</ability>
      <abilityName>全半角检查</abilityName>
      <candidateList>
        <item>,</item>
      </candidateList>
      <explain>文本全半角错误。</explain>
      <paraID>225EEA5B</paraID>
      <start>8</start>
      <end>9</end>
      <status>unmodified</status>
      <modifiedWord/>
      <trackRevisions>false</trackRevisions>
    </reviewItem>
    <reviewItem>
      <errorID>b1747c1e-a3f0-4074-8651-155abfef4956</errorID>
      <errorWord>，</errorWord>
      <group>L1_Format</group>
      <groupName>格式问题</groupName>
      <ability>L2_HalfPunc</ability>
      <abilityName>全半角检查</abilityName>
      <candidateList>
        <item>,</item>
      </candidateList>
      <explain>文本全半角错误。</explain>
      <paraID>2F1BE414</paraID>
      <start>8</start>
      <end>9</end>
      <status>unmodified</status>
      <modifiedWord/>
      <trackRevisions>false</trackRevisions>
    </reviewItem>
    <reviewItem>
      <errorID>1e0e5035-9ee5-4a41-a166-c8bc581f5c81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2F90F9C5</paraID>
      <start>0</start>
      <end>2</end>
      <status>unmodified</status>
      <modifiedWord/>
      <trackRevisions>false</trackRevisions>
    </reviewItem>
    <reviewItem>
      <errorID>35ea26ac-575a-4faa-9534-9768fb443f82</errorID>
      <errorWord>(</errorWord>
      <group>L1_Format</group>
      <groupName>格式问题</groupName>
      <ability>L2_HalfPunc</ability>
      <abilityName>全半角检查</abilityName>
      <candidateList>
        <item>（</item>
      </candidateList>
      <explain>文本全半角错误。</explain>
      <paraID>4D892293</paraID>
      <start>128</start>
      <end>129</end>
      <status>unmodified</status>
      <modifiedWord/>
      <trackRevisions>false</trackRevisions>
    </reviewItem>
    <reviewItem>
      <errorID>2f297c5b-87c8-4103-8191-00c09a09eb7e</errorID>
      <errorWord>)</errorWord>
      <group>L1_Format</group>
      <groupName>格式问题</groupName>
      <ability>L2_HalfPunc</ability>
      <abilityName>全半角检查</abilityName>
      <candidateList>
        <item>）</item>
      </candidateList>
      <explain>文本全半角错误。</explain>
      <paraID>4D892293</paraID>
      <start>141</start>
      <end>142</end>
      <status>unmodified</status>
      <modifiedWord/>
      <trackRevisions>false</trackRevisions>
    </reviewItem>
    <reviewItem>
      <errorID>399f480d-737d-4918-9351-fcfa9a699f5c</errorID>
      <errorWord>(</errorWord>
      <group>L1_Format</group>
      <groupName>格式问题</groupName>
      <ability>L2_HalfPunc</ability>
      <abilityName>全半角检查</abilityName>
      <candidateList>
        <item>（</item>
      </candidateList>
      <explain>文本全半角错误。</explain>
      <paraID>4D892293</paraID>
      <start>144</start>
      <end>145</end>
      <status>unmodified</status>
      <modifiedWord/>
      <trackRevisions>false</trackRevisions>
    </reviewItem>
    <reviewItem>
      <errorID>f593dd61-de6c-49c7-955f-cdb5ec12481a</errorID>
      <errorWord>)</errorWord>
      <group>L1_Format</group>
      <groupName>格式问题</groupName>
      <ability>L2_HalfPunc</ability>
      <abilityName>全半角检查</abilityName>
      <candidateList>
        <item>）</item>
      </candidateList>
      <explain>文本全半角错误。</explain>
      <paraID>4D892293</paraID>
      <start>148</start>
      <end>149</end>
      <status>unmodified</status>
      <modifiedWord/>
      <trackRevisions>false</trackRevisions>
    </reviewItem>
    <reviewItem>
      <errorID>8d0e4726-7a77-4086-9159-85bd59f651c9</errorID>
      <errorWord>根据在线数据显示</errorWord>
      <group>L1_Grammar</group>
      <groupName>语法问题</groupName>
      <ability>L2_Grammar</ability>
      <abilityName>语法错误</abilityName>
      <candidateList>
        <item>根据在线数据</item>
      </candidateList>
      <explain>该表达中的“根据在线数据显示”存在语义重复。</explain>
      <paraID>4CDCFC3A</paraID>
      <start>0</start>
      <end>8</end>
      <status>unmodified</status>
      <modifiedWord/>
      <trackRevisions>false</trackRevisions>
    </reviewItem>
    <reviewItem>
      <errorID>3b07ba0c-fcd1-4568-a566-99214bfab2d4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3C27C5A</paraID>
      <start>0</start>
      <end>2</end>
      <status>unmodified</status>
      <modifiedWord/>
      <trackRevisions>false</trackRevisions>
    </reviewItem>
    <reviewItem>
      <errorID>c0a341c1-46a3-413d-ba27-110e2483bff1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6CEF1447</paraID>
      <start>0</start>
      <end>2</end>
      <status>unmodified</status>
      <modifiedWord/>
      <trackRevisions>false</trackRevisions>
    </reviewItem>
    <reviewItem>
      <errorID>f581521d-c44d-4865-824e-60de5f912d94</errorID>
      <errorWord>:</errorWord>
      <group>L1_Format</group>
      <groupName>格式问题</groupName>
      <ability>L2_HalfPunc</ability>
      <abilityName>全半角检查</abilityName>
      <candidateList>
        <item>：</item>
      </candidateList>
      <explain>文本全半角错误。</explain>
      <paraID> D19F872</paraID>
      <start>21</start>
      <end>22</end>
      <status>unmodified</status>
      <modifiedWord/>
      <trackRevisions>false</trackRevisions>
    </reviewItem>
    <reviewItem>
      <errorID>f4572c8a-2361-4454-9cb5-0913ea827e25</errorID>
      <errorWord>（</errorWord>
      <group>L1_Punc</group>
      <groupName>标点问题</groupName>
      <ability>L2_Punc</ability>
      <abilityName>标点符号检查</abilityName>
      <candidateList/>
      <explain>同一形式括号套用。</explain>
      <paraID>  51B62B</paraID>
      <start>12</start>
      <end>13</end>
      <status>unmodified</status>
      <modifiedWord/>
      <trackRevisions>false</trackRevisions>
    </reviewItem>
    <reviewItem>
      <errorID>daede9ad-767d-444e-92ba-3da477d35a9e</errorID>
      <errorWord>(</errorWord>
      <group>L1_Punc</group>
      <groupName>标点问题</groupName>
      <ability>L2_Punc</ability>
      <abilityName>标点符号检查</abilityName>
      <candidateList/>
      <explain>同一形式括号套用。</explain>
      <paraID>  51B62B</paraID>
      <start>15</start>
      <end>16</end>
      <status>unmodified</status>
      <modifiedWord/>
      <trackRevisions>false</trackRevisions>
    </reviewItem>
    <reviewItem>
      <errorID>713d9e71-b7ae-4f60-b81a-80784425c6d1</errorID>
      <errorWord>)</errorWord>
      <group>L1_Punc</group>
      <groupName>标点问题</groupName>
      <ability>L2_Punc</ability>
      <abilityName>标点符号检查</abilityName>
      <candidateList/>
      <explain>同一形式括号套用。</explain>
      <paraID>  51B62B</paraID>
      <start>17</start>
      <end>18</end>
      <status>unmodified</status>
      <modifiedWord/>
      <trackRevisions>false</trackRevisions>
    </reviewItem>
    <reviewItem>
      <errorID>6d45fac0-6113-43c7-8437-34e7e84aee21</errorID>
      <errorWord>）</errorWord>
      <group>L1_Punc</group>
      <groupName>标点问题</groupName>
      <ability>L2_Punc</ability>
      <abilityName>标点符号检查</abilityName>
      <candidateList/>
      <explain>同一形式括号套用。</explain>
      <paraID>  51B62B</paraID>
      <start>18</start>
      <end>19</end>
      <status>unmodified</status>
      <modifiedWord/>
      <trackRevisions>false</trackRevisions>
    </reviewItem>
    <reviewItem>
      <errorID>821904dd-485d-403b-a0f5-0b50f579781c</errorID>
      <errorWord>减震</errorWord>
      <group>L1_Word</group>
      <groupName>字词问题</groupName>
      <ability>L2_Typo</ability>
      <abilityName>字词错误</abilityName>
      <candidateList>
        <item>减振</item>
      </candidateList>
      <explain>存在发音相同字词的误用。</explain>
      <paraID>75645DF2</paraID>
      <start>13</start>
      <end>15</end>
      <status>unmodified</status>
      <modifiedWord/>
      <trackRevisions>false</trackRevisions>
    </reviewItem>
    <reviewItem>
      <errorID>a67bd53c-48b3-442f-b9ef-7f99c23f5b29</errorID>
      <errorWord>、、</errorWord>
      <group>L1_Punc</group>
      <groupName>标点问题</groupName>
      <ability>L2_Punc</ability>
      <abilityName>标点符号检查</abilityName>
      <candidateList>
        <item>、</item>
      </candidateList>
      <explain/>
      <paraID>75645DF2</paraID>
      <start>15</start>
      <end>17</end>
      <status>unmodified</status>
      <modifiedWord/>
      <trackRevisions>false</trackRevisions>
    </reviewItem>
    <reviewItem>
      <errorID>eba279bb-9312-4394-94e7-96e21d4e909c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73EBBACE</paraID>
      <start>1</start>
      <end>3</end>
      <status>unmodified</status>
      <modifiedWord/>
      <trackRevisions>false</trackRevisions>
    </reviewItem>
    <reviewItem>
      <errorID>9467a203-8300-420d-9147-7620bb2962fd</errorID>
      <errorWord>（</errorWord>
      <group>L1_Format</group>
      <groupName>格式问题</groupName>
      <ability>L2_HalfPunc</ability>
      <abilityName>全半角检查</abilityName>
      <candidateList>
        <item>(</item>
      </candidateList>
      <explain>文本全半角错误。</explain>
      <paraID>576C101E</paraID>
      <start>6</start>
      <end>7</end>
      <status>unmodified</status>
      <modifiedWord/>
      <trackRevisions>false</trackRevisions>
    </reviewItem>
    <reviewItem>
      <errorID>4a575ebb-8651-4212-b42f-16152bb06332</errorID>
      <errorWord>）</errorWord>
      <group>L1_Format</group>
      <groupName>格式问题</groupName>
      <ability>L2_HalfPunc</ability>
      <abilityName>全半角检查</abilityName>
      <candidateList>
        <item>)</item>
      </candidateList>
      <explain>文本全半角错误。</explain>
      <paraID>576C101E</paraID>
      <start>8</start>
      <end>9</end>
      <status>unmodified</status>
      <modifiedWord/>
      <trackRevisions>false</trackRevisions>
    </reviewItem>
    <reviewItem>
      <errorID>02b6db0c-afdd-400a-82aa-98fb0ad89723</errorID>
      <errorWord>:</errorWord>
      <group>L1_Format</group>
      <groupName>格式问题</groupName>
      <ability>L2_HalfPunc</ability>
      <abilityName>全半角检查</abilityName>
      <candidateList>
        <item>：</item>
      </candidateList>
      <explain>文本全半角错误。</explain>
      <paraID>59B55B6A</paraID>
      <start>8</start>
      <end>9</end>
      <status>unmodified</status>
      <modifiedWord/>
      <trackRevisions>false</trackRevisions>
    </reviewItem>
    <reviewItem>
      <errorID>ab5e14ca-d49e-46a3-ac4d-0aa7dc3836e5</errorID>
      <errorWord>(</errorWord>
      <group>L1_Format</group>
      <groupName>格式问题</groupName>
      <ability>L2_HalfPunc</ability>
      <abilityName>全半角检查</abilityName>
      <candidateList>
        <item>（</item>
      </candidateList>
      <explain>文本全半角错误。</explain>
      <paraID>5A0AD347</paraID>
      <start>19</start>
      <end>20</end>
      <status>unmodified</status>
      <modifiedWord/>
      <trackRevisions>false</trackRevisions>
    </reviewItem>
    <reviewItem>
      <errorID>61fd1e04-54f8-47a1-9fad-d04ae2c9a287</errorID>
      <errorWord>)</errorWord>
      <group>L1_Format</group>
      <groupName>格式问题</groupName>
      <ability>L2_HalfPunc</ability>
      <abilityName>全半角检查</abilityName>
      <candidateList>
        <item>）</item>
      </candidateList>
      <explain>文本全半角错误。</explain>
      <paraID>5A0AD347</paraID>
      <start>24</start>
      <end>25</end>
      <status>unmodified</status>
      <modifiedWord/>
      <trackRevisions>false</trackRevisions>
    </reviewItem>
    <reviewItem>
      <errorID>ce199c7b-fa08-43ed-ad9c-3a6b911fbcae</errorID>
      <errorWord>,</errorWord>
      <group>L1_Format</group>
      <groupName>格式问题</groupName>
      <ability>L2_HalfPunc</ability>
      <abilityName>全半角检查</abilityName>
      <candidateList>
        <item>，</item>
      </candidateList>
      <explain>文本全半角错误。</explain>
      <paraID>4831E912</paraID>
      <start>160</start>
      <end>161</end>
      <status>unmodified</status>
      <modifiedWord/>
      <trackRevisions>false</trackRevisions>
    </reviewItem>
    <reviewItem>
      <errorID>5f29e5f5-58c4-49ec-bf45-8d2318f879de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55156337</paraID>
      <start>0</start>
      <end>2</end>
      <status>unmodified</status>
      <modifiedWord/>
      <trackRevisions>false</trackRevisions>
    </reviewItem>
    <reviewItem>
      <errorID>9f5d0321-ab58-4156-9af4-28cd6baded13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113DB44B</paraID>
      <start>0</start>
      <end>2</end>
      <status>unmodified</status>
      <modifiedWord/>
      <trackRevisions>false</trackRevisions>
    </reviewItem>
    <reviewItem>
      <errorID>d6c08ee3-8c6f-44f8-a3a7-eafaa2ac3654</errorID>
      <errorWord>输运</errorWord>
      <group>L1_Word</group>
      <groupName>字词问题</groupName>
      <ability>L2_Typo</ability>
      <abilityName>字词错误</abilityName>
      <candidateList>
        <item>运输</item>
      </candidateList>
      <explain/>
      <paraID>150E5694</paraID>
      <start>69</start>
      <end>71</end>
      <status>unmodified</status>
      <modifiedWord/>
      <trackRevisions>false</trackRevisions>
    </reviewItem>
    <reviewItem>
      <errorID>95fa0220-f539-4dc3-a72f-5a1f28be10e9</errorID>
      <errorWord>5%~15%</errorWord>
      <group>L1_Knowledge</group>
      <groupName>知识性问题</groupName>
      <ability>L2_Knowledge</ability>
      <abilityName>其他知识</abilityName>
      <candidateList>
        <item>5%～15%</item>
      </candidateList>
      <explain>1. “5%~15%”中的单位“%”仅出现在后一个数字上，容易引起歧义；根据《现代汉语标点符号数字用法规范手册》，数字表示范围两边需要使用统一的格式。2. 根据标点国标 4.13 中的规则，数字、时间或地域连接符应使用（视觉上更长的）“—”或“～”。</explain>
      <paraID>41EA4F75</paraID>
      <start>57</start>
      <end>63</end>
      <status>unmodified</status>
      <modifiedWord/>
      <trackRevisions>false</trackRevisions>
    </reviewItem>
    <reviewItem>
      <errorID>eb038ece-bc02-44ca-9942-61fc73019df1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1711BE6B</paraID>
      <start>0</start>
      <end>2</end>
      <status>unmodified</status>
      <modifiedWord/>
      <trackRevisions>false</trackRevisions>
    </reviewItem>
    <reviewItem>
      <errorID>f7e8a91e-838d-4edd-8317-aabebd533072</errorID>
      <errorWord>…，</errorWord>
      <group>L1_Punc</group>
      <groupName>标点问题</groupName>
      <ability>L2_Punc</ability>
      <abilityName>标点符号检查</abilityName>
      <candidateList>
        <item>…</item>
      </candidateList>
      <explain/>
      <paraID>6AF24DC3</paraID>
      <start>7</start>
      <end>9</end>
      <status>unmodified</status>
      <modifiedWord/>
      <trackRevisions>false</trackRevisions>
    </reviewItem>
    <reviewItem>
      <errorID>a46c8213-423f-47b3-a991-63eee6feb3b7</errorID>
      <errorWord>（</errorWord>
      <group>L1_Format</group>
      <groupName>格式问题</groupName>
      <ability>L2_HalfPunc</ability>
      <abilityName>全半角检查</abilityName>
      <candidateList>
        <item>(</item>
      </candidateList>
      <explain>文本全半角错误。</explain>
      <paraID> 6D566C6</paraID>
      <start>0</start>
      <end>1</end>
      <status>unmodified</status>
      <modifiedWord/>
      <trackRevisions>false</trackRevisions>
    </reviewItem>
    <reviewItem>
      <errorID>c2723caf-7e63-4d32-8789-213a46bfbe60</errorID>
      <errorWord>）</errorWord>
      <group>L1_Format</group>
      <groupName>格式问题</groupName>
      <ability>L2_HalfPunc</ability>
      <abilityName>全半角检查</abilityName>
      <candidateList>
        <item>)</item>
      </candidateList>
      <explain>文本全半角错误。</explain>
      <paraID> 6D566C6</paraID>
      <start>2</start>
      <end>3</end>
      <status>unmodified</status>
      <modifiedWord/>
      <trackRevisions>false</trackRevisions>
    </reviewItem>
    <reviewItem>
      <errorID>c6bb45e4-e6f1-426d-be7b-bee1dadeb7a5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A8981B4</paraID>
      <start>0</start>
      <end>2</end>
      <status>unmodified</status>
      <modifiedWord/>
      <trackRevisions>false</trackRevisions>
    </reviewItem>
    <reviewItem>
      <errorID>2a51ccdd-5495-4820-9dec-377dfe98a0ce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31B80E8</paraID>
      <start>0</start>
      <end>2</end>
      <status>unmodified</status>
      <modifiedWord/>
      <trackRevisions>false</trackRevisions>
    </reviewItem>
    <reviewItem>
      <errorID>4752324f-0092-4f11-bedc-a7dd8c11c977</errorID>
      <errorWord>(</errorWord>
      <group>L1_Format</group>
      <groupName>格式问题</groupName>
      <ability>L2_HalfPunc</ability>
      <abilityName>全半角检查</abilityName>
      <candidateList>
        <item>（</item>
      </candidateList>
      <explain>文本全半角错误。</explain>
      <paraID> 19D28C5</paraID>
      <start>45</start>
      <end>46</end>
      <status>unmodified</status>
      <modifiedWord/>
      <trackRevisions>false</trackRevisions>
    </reviewItem>
    <reviewItem>
      <errorID>3a17874c-17c1-4b0b-b76b-60a9a18c0f9f</errorID>
      <errorWord>)</errorWord>
      <group>L1_Format</group>
      <groupName>格式问题</groupName>
      <ability>L2_HalfPunc</ability>
      <abilityName>全半角检查</abilityName>
      <candidateList>
        <item>）</item>
      </candidateList>
      <explain>文本全半角错误。</explain>
      <paraID> 19D28C5</paraID>
      <start>57</start>
      <end>58</end>
      <status>unmodified</status>
      <modifiedWord/>
      <trackRevisions>false</trackRevisions>
    </reviewItem>
    <reviewItem>
      <errorID>7c365342-d72d-41f1-9c4d-320846d332f7</errorID>
      <errorWord>区别于其它</errorWord>
      <group>L1_Word</group>
      <groupName>字词问题</groupName>
      <ability>L2_Alias</ability>
      <abilityName>也作/曾用词</abilityName>
      <candidateList>
        <item>区别于其他</item>
      </candidateList>
      <explain>词汇[区别于其它]为不规范表述或旧称，其规范书面表述为[区别于其他]。</explain>
      <paraID> 19D28C5</paraID>
      <start>93</start>
      <end>98</end>
      <status>unmodified</status>
      <modifiedWord/>
      <trackRevisions>false</trackRevisions>
    </reviewItem>
    <reviewItem>
      <errorID>45f28a24-520c-4fa9-818a-b13414d4f8cd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778C8470</paraID>
      <start>0</start>
      <end>2</end>
      <status>unmodified</status>
      <modifiedWord/>
      <trackRevisions>false</trackRevisions>
    </reviewItem>
    <reviewItem>
      <errorID>8b8ab1ec-a35e-4851-8b75-9c47955e5e5d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D4B185B</paraID>
      <start>0</start>
      <end>2</end>
      <status>unmodified</status>
      <modifiedWord/>
      <trackRevisions>false</trackRevisions>
    </reviewItem>
    <reviewItem>
      <errorID>7088da45-1cf4-4753-be6a-ad2292c5f339</errorID>
      <errorWord>素质教肓</errorWord>
      <group>L1_Word</group>
      <groupName>字词问题</groupName>
      <ability>L2_Typo</ability>
      <abilityName>字词错误</abilityName>
      <candidateList>
        <item>素质教育</item>
      </candidateList>
      <explain/>
      <paraID>303B9C72</paraID>
      <start>108</start>
      <end>112</end>
      <status>unmodified</status>
      <modifiedWord/>
      <trackRevisions>false</trackRevisions>
    </reviewItem>
    <reviewItem>
      <errorID>ae1bc587-1519-474b-806e-217f4818ed4a</errorID>
      <errorWord>提高</errorWord>
      <group>L1_Grammar</group>
      <groupName>语法问题</groupName>
      <ability>L2_Grammar</ability>
      <abilityName>语法错误</abilityName>
      <candidateList>
        <item>增强</item>
      </candidateList>
      <explain>“提高～意识”搭配不当，建议修改为“增强～意识”。</explain>
      <paraID>303B9C72</paraID>
      <start>113</start>
      <end>115</end>
      <status>unmodified</status>
      <modifiedWord/>
      <trackRevisions>false</trackRevisions>
    </reviewItem>
    <reviewItem>
      <errorID>bdc577e2-2692-43b5-a518-e82b65a54f97</errorID>
      <errorWord>连动</errorWord>
      <group>L1_Word</group>
      <groupName>字词问题</groupName>
      <ability>L2_Typo</ability>
      <abilityName>字词错误</abilityName>
      <candidateList>
        <item>联动</item>
      </candidateList>
      <explain/>
      <paraID>303B9C72</paraID>
      <start>178</start>
      <end>180</end>
      <status>unmodified</status>
      <modifiedWord/>
      <trackRevisions>false</trackRevisions>
    </reviewItem>
    <reviewItem>
      <errorID>217d6ca8-3b5d-4c00-96e0-26405f695b04</errorID>
      <errorWord>]号</errorWord>
      <group>L1_Word</group>
      <groupName>字词问题</groupName>
      <ability>L2_Typo</ability>
      <abilityName>字词错误</abilityName>
      <candidateList>
        <item>]</item>
      </candidateList>
      <explain/>
      <paraID>4D94CBA0</paraID>
      <start>53</start>
      <end>55</end>
      <status>unmodified</status>
      <modifiedWord/>
      <trackRevisions>false</trackRevisions>
    </reviewItem>
    <reviewItem>
      <errorID>e080ae0d-0a16-44f2-a83e-503b1320884e</errorID>
      <errorWord>(</errorWord>
      <group>L1_Format</group>
      <groupName>格式问题</groupName>
      <ability>L2_HalfPunc</ability>
      <abilityName>全半角检查</abilityName>
      <candidateList>
        <item>（</item>
      </candidateList>
      <explain>文本全半角错误。</explain>
      <paraID>18BF27C3</paraID>
      <start>19</start>
      <end>20</end>
      <status>unmodified</status>
      <modifiedWord/>
      <trackRevisions>false</trackRevisions>
    </reviewItem>
    <reviewItem>
      <errorID>b069d2c9-4f0b-4393-9360-f67e9c310e36</errorID>
      <errorWord>)</errorWord>
      <group>L1_Format</group>
      <groupName>格式问题</groupName>
      <ability>L2_HalfPunc</ability>
      <abilityName>全半角检查</abilityName>
      <candidateList>
        <item>）</item>
      </candidateList>
      <explain>文本全半角错误。</explain>
      <paraID>18BF27C3</paraID>
      <start>32</start>
      <end>33</end>
      <status>unmodified</status>
      <modifiedWord/>
      <trackRevisions>false</trackRevisions>
    </reviewItem>
    <reviewItem>
      <errorID>f40e3cf8-c832-473c-bb2c-5c2a82b450fa</errorID>
      <errorWord>(</errorWord>
      <group>L1_Format</group>
      <groupName>格式问题</groupName>
      <ability>L2_HalfPunc</ability>
      <abilityName>全半角检查</abilityName>
      <candidateList>
        <item>（</item>
      </candidateList>
      <explain>文本全半角错误。</explain>
      <paraID>18BF27C3</paraID>
      <start>35</start>
      <end>36</end>
      <status>unmodified</status>
      <modifiedWord/>
      <trackRevisions>false</trackRevisions>
    </reviewItem>
    <reviewItem>
      <errorID>4e053eaa-3c56-4d1a-b480-19ec6c6618f3</errorID>
      <errorWord>)</errorWord>
      <group>L1_Format</group>
      <groupName>格式问题</groupName>
      <ability>L2_HalfPunc</ability>
      <abilityName>全半角检查</abilityName>
      <candidateList>
        <item>）</item>
      </candidateList>
      <explain>文本全半角错误。</explain>
      <paraID>18BF27C3</paraID>
      <start>39</start>
      <end>40</end>
      <status>unmodified</status>
      <modifiedWord/>
      <trackRevisions>false</trackRevisions>
    </reviewItem>
    <reviewItem>
      <errorID>d088735f-0e52-4f62-99ab-12ac3332ca79</errorID>
      <errorWord>)</errorWord>
      <group>L1_Format</group>
      <groupName>格式问题</groupName>
      <ability>L2_HalfPunc</ability>
      <abilityName>全半角检查</abilityName>
      <candidateList>
        <item>）</item>
      </candidateList>
      <explain>文本全半角错误。</explain>
      <paraID> 86BFA41</paraID>
      <start>45</start>
      <end>46</end>
      <status>unmodified</status>
      <modifiedWord/>
      <trackRevisions>false</trackRevisions>
    </reviewItem>
    <reviewItem>
      <errorID>6c698df7-08c1-4229-a7a7-d2ab74ad581d</errorID>
      <errorWord>)</errorWord>
      <group>L1_Format</group>
      <groupName>格式问题</groupName>
      <ability>L2_HalfPunc</ability>
      <abilityName>全半角检查</abilityName>
      <candidateList>
        <item>）</item>
      </candidateList>
      <explain>文本全半角错误。</explain>
      <paraID> 86BFA41</paraID>
      <start>56</start>
      <end>57</end>
      <status>unmodified</status>
      <modifiedWord/>
      <trackRevisions>false</trackRevisions>
    </reviewItem>
    <reviewItem>
      <errorID>ac8ebca5-245a-4f5d-bc88-1f1e26fdad9f</errorID>
      <errorWord>.</errorWord>
      <group>L1_Format</group>
      <groupName>格式问题</groupName>
      <ability>L2_HalfPunc</ability>
      <abilityName>全半角检查</abilityName>
      <candidateList>
        <item>。</item>
      </candidateList>
      <explain>文本全半角错误。</explain>
      <paraID>53C26A80</paraID>
      <start>55</start>
      <end>56</end>
      <status>unmodified</status>
      <modifiedWord/>
      <trackRevisions>false</trackRevisions>
    </reviewItem>
    <reviewItem>
      <errorID>6d7472ec-f0f4-4f37-b38a-69414c64834b</errorID>
      <errorWord>(</errorWord>
      <group>L1_Format</group>
      <groupName>格式问题</groupName>
      <ability>L2_HalfPunc</ability>
      <abilityName>全半角检查</abilityName>
      <candidateList>
        <item>（</item>
      </candidateList>
      <explain>文本全半角错误。</explain>
      <paraID> 7C1B3F9</paraID>
      <start>11</start>
      <end>12</end>
      <status>unmodified</status>
      <modifiedWord/>
      <trackRevisions>false</trackRevisions>
    </reviewItem>
    <reviewItem>
      <errorID>f438dae9-5a67-44a6-aa0b-b057ea75d7ef</errorID>
      <errorWord>)</errorWord>
      <group>L1_Format</group>
      <groupName>格式问题</groupName>
      <ability>L2_HalfPunc</ability>
      <abilityName>全半角检查</abilityName>
      <candidateList>
        <item>）</item>
      </candidateList>
      <explain>文本全半角错误。</explain>
      <paraID> 7C1B3F9</paraID>
      <start>16</start>
      <end>17</end>
      <status>unmodified</status>
      <modifiedWord/>
      <trackRevisions>false</trackRevisions>
    </reviewItem>
    <reviewItem>
      <errorID>21f3017e-0441-4822-8b41-15508556fc65</errorID>
      <errorWord>(</errorWord>
      <group>L1_Format</group>
      <groupName>格式问题</groupName>
      <ability>L2_HalfPunc</ability>
      <abilityName>全半角检查</abilityName>
      <candidateList>
        <item>（</item>
      </candidateList>
      <explain>文本全半角错误。</explain>
      <paraID> 7C1B3F9</paraID>
      <start>21</start>
      <end>22</end>
      <status>unmodified</status>
      <modifiedWord/>
      <trackRevisions>false</trackRevisions>
    </reviewItem>
    <reviewItem>
      <errorID>396488a9-42dc-4cee-805c-755e33479529</errorID>
      <errorWord>)</errorWord>
      <group>L1_Format</group>
      <groupName>格式问题</groupName>
      <ability>L2_HalfPunc</ability>
      <abilityName>全半角检查</abilityName>
      <candidateList>
        <item>）</item>
      </candidateList>
      <explain>文本全半角错误。</explain>
      <paraID> 7C1B3F9</paraID>
      <start>24</start>
      <end>25</end>
      <status>unmodified</status>
      <modifiedWord/>
      <trackRevisions>false</trackRevisions>
    </reviewItem>
    <reviewItem>
      <errorID>f9552ec2-f534-4dbd-b7fa-d275db157121</errorID>
      <errorWord>(</errorWord>
      <group>L1_Format</group>
      <groupName>格式问题</groupName>
      <ability>L2_HalfPunc</ability>
      <abilityName>全半角检查</abilityName>
      <candidateList>
        <item>（</item>
      </candidateList>
      <explain>文本全半角错误。</explain>
      <paraID> 7C1B3F9</paraID>
      <start>26</start>
      <end>27</end>
      <status>unmodified</status>
      <modifiedWord/>
      <trackRevisions>false</trackRevisions>
    </reviewItem>
    <reviewItem>
      <errorID>f0906043-8035-4883-9259-005dc91b59b3</errorID>
      <errorWord>)</errorWord>
      <group>L1_Format</group>
      <groupName>格式问题</groupName>
      <ability>L2_HalfPunc</ability>
      <abilityName>全半角检查</abilityName>
      <candidateList>
        <item>）</item>
      </candidateList>
      <explain>文本全半角错误。</explain>
      <paraID> 7C1B3F9</paraID>
      <start>39</start>
      <end>40</end>
      <status>unmodified</status>
      <modifiedWord/>
      <trackRevisions>false</trackRevisions>
    </reviewItem>
    <reviewItem>
      <errorID>59399912-db95-45f4-9236-0b89a63fa0a5</errorID>
      <errorWord>(</errorWord>
      <group>L1_Format</group>
      <groupName>格式问题</groupName>
      <ability>L2_HalfPunc</ability>
      <abilityName>全半角检查</abilityName>
      <candidateList>
        <item>（</item>
      </candidateList>
      <explain>文本全半角错误。</explain>
      <paraID>7534C7A1</paraID>
      <start>16</start>
      <end>17</end>
      <status>unmodified</status>
      <modifiedWord/>
      <trackRevisions>false</trackRevisions>
    </reviewItem>
    <reviewItem>
      <errorID>17490c3f-35ef-4636-8f8e-b04aa9d2a80c</errorID>
      <errorWord>)</errorWord>
      <group>L1_Format</group>
      <groupName>格式问题</groupName>
      <ability>L2_HalfPunc</ability>
      <abilityName>全半角检查</abilityName>
      <candidateList>
        <item>）</item>
      </candidateList>
      <explain>文本全半角错误。</explain>
      <paraID>7534C7A1</paraID>
      <start>21</start>
      <end>22</end>
      <status>unmodified</status>
      <modifiedWord/>
      <trackRevisions>false</trackRevisions>
    </reviewItem>
    <reviewItem>
      <errorID>bdf9e0bc-bfd8-480c-8a0a-303fb690e147</errorID>
      <errorWord>(</errorWord>
      <group>L1_Format</group>
      <groupName>格式问题</groupName>
      <ability>L2_HalfPunc</ability>
      <abilityName>全半角检查</abilityName>
      <candidateList>
        <item>（</item>
      </candidateList>
      <explain>文本全半角错误。</explain>
      <paraID>7534C7A1</paraID>
      <start>26</start>
      <end>27</end>
      <status>unmodified</status>
      <modifiedWord/>
      <trackRevisions>false</trackRevisions>
    </reviewItem>
    <reviewItem>
      <errorID>07b8fad1-7043-4ca1-8ad3-dfb026cbaa53</errorID>
      <errorWord>)</errorWord>
      <group>L1_Format</group>
      <groupName>格式问题</groupName>
      <ability>L2_HalfPunc</ability>
      <abilityName>全半角检查</abilityName>
      <candidateList>
        <item>）</item>
      </candidateList>
      <explain>文本全半角错误。</explain>
      <paraID>7534C7A1</paraID>
      <start>29</start>
      <end>30</end>
      <status>unmodified</status>
      <modifiedWord/>
      <trackRevisions>false</trackRevisions>
    </reviewItem>
    <reviewItem>
      <errorID>02bef550-55d9-4ab4-bff3-8d05cb6e3cc8</errorID>
      <errorWord>(</errorWord>
      <group>L1_Format</group>
      <groupName>格式问题</groupName>
      <ability>L2_HalfPunc</ability>
      <abilityName>全半角检查</abilityName>
      <candidateList>
        <item>（</item>
      </candidateList>
      <explain>文本全半角错误。</explain>
      <paraID>7534C7A1</paraID>
      <start>31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1329f0-4659-4b6d-b707-17a4a15bd86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73</Pages>
  <Words>17646</Words>
  <Characters>20351</Characters>
  <Lines>1</Lines>
  <Paragraphs>1</Paragraphs>
  <TotalTime>4</TotalTime>
  <ScaleCrop>false</ScaleCrop>
  <LinksUpToDate>false</LinksUpToDate>
  <CharactersWithSpaces>20830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2023-05-15T02:30:00Z</cp:lastPrinted>
  <dcterms:modified xsi:type="dcterms:W3CDTF">2026-08-11T09:00:59Z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207E43F67056400D9803E0EF1A983540_13</vt:lpwstr>
  </property>
  <property fmtid="{D5CDD505-2E9C-101B-9397-08002B2CF9AE}" pid="4" name="KSOTemplateDocerSaveRecord">
    <vt:lpwstr>eyJoZGlkIjoiYjk4MTdlNWRmMDY1YmUzMzBkNjM5MTYwYTA5NDliYmQiLCJ1c2VySWQiOiIzMDkxMDk3NTcifQ==</vt:lpwstr>
  </property>
</Properties>
</file>